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B4D94E" w14:textId="6FCC1D36" w:rsidR="00E90767" w:rsidRPr="00A570BF" w:rsidRDefault="00046536" w:rsidP="00A36BB8">
      <w:pPr>
        <w:autoSpaceDE w:val="0"/>
        <w:autoSpaceDN w:val="0"/>
        <w:adjustRightInd w:val="0"/>
        <w:spacing w:beforeLines="100" w:before="240" w:afterLines="100" w:after="240" w:line="36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pacing w:val="8"/>
          <w:sz w:val="28"/>
          <w:szCs w:val="24"/>
          <w:lang w:eastAsia="pl-PL"/>
        </w:rPr>
      </w:pPr>
      <w:bookmarkStart w:id="0" w:name="_GoBack"/>
      <w:bookmarkEnd w:id="0"/>
      <w:r w:rsidRPr="00A570BF">
        <w:rPr>
          <w:rFonts w:ascii="Times New Roman" w:eastAsia="Times New Roman" w:hAnsi="Times New Roman" w:cs="Times New Roman"/>
          <w:b/>
          <w:smallCaps/>
          <w:color w:val="000000"/>
          <w:spacing w:val="8"/>
          <w:sz w:val="28"/>
          <w:szCs w:val="24"/>
          <w:lang w:eastAsia="pl-PL"/>
        </w:rPr>
        <w:t>UZASADNIENIE</w:t>
      </w:r>
      <w:r w:rsidR="00F70E3C" w:rsidRPr="00A570BF">
        <w:rPr>
          <w:rFonts w:ascii="Times New Roman" w:eastAsia="Times New Roman" w:hAnsi="Times New Roman" w:cs="Times New Roman"/>
          <w:b/>
          <w:smallCaps/>
          <w:color w:val="000000"/>
          <w:spacing w:val="8"/>
          <w:sz w:val="28"/>
          <w:szCs w:val="24"/>
          <w:lang w:eastAsia="pl-PL"/>
        </w:rPr>
        <w:t xml:space="preserve"> NAJWAŻNIEJSZYCH ZMIAN WPROWADZONYCH W NOWYM TEKŚCIE PROJEKTU</w:t>
      </w:r>
    </w:p>
    <w:p w14:paraId="6E79CA1C" w14:textId="77777777" w:rsidR="000B767D" w:rsidRPr="00A570BF" w:rsidRDefault="000B767D" w:rsidP="00A36BB8">
      <w:pPr>
        <w:autoSpaceDE w:val="0"/>
        <w:autoSpaceDN w:val="0"/>
        <w:adjustRightInd w:val="0"/>
        <w:spacing w:beforeLines="100" w:before="240" w:afterLines="100" w:after="240" w:line="36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pacing w:val="8"/>
          <w:sz w:val="24"/>
          <w:szCs w:val="24"/>
          <w:lang w:eastAsia="pl-PL"/>
        </w:rPr>
      </w:pPr>
    </w:p>
    <w:p w14:paraId="2F0152E3" w14:textId="13744BBB" w:rsidR="001F4841" w:rsidRPr="00A36BB8" w:rsidRDefault="00A36BB8" w:rsidP="00A36BB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Lines="100" w:before="240" w:afterLines="100" w:after="240" w:line="36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F70E3C" w:rsidRPr="00A36BB8">
        <w:rPr>
          <w:rFonts w:ascii="Times New Roman" w:hAnsi="Times New Roman" w:cs="Times New Roman"/>
          <w:b/>
          <w:bCs/>
          <w:sz w:val="24"/>
          <w:szCs w:val="24"/>
        </w:rPr>
        <w:t xml:space="preserve">rt. 3 </w:t>
      </w:r>
    </w:p>
    <w:p w14:paraId="45E6AE76" w14:textId="50A44B45" w:rsidR="007C2631" w:rsidRDefault="00F70E3C" w:rsidP="007C2631">
      <w:pPr>
        <w:spacing w:beforeLines="100" w:before="240" w:afterLines="100" w:after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70BF">
        <w:rPr>
          <w:rFonts w:ascii="Times New Roman" w:hAnsi="Times New Roman" w:cs="Times New Roman"/>
          <w:sz w:val="24"/>
          <w:szCs w:val="24"/>
        </w:rPr>
        <w:t xml:space="preserve">Doprecyzowano, że do umowy zawieranej na podstawie art. 3 ust. 3 należy dołączyć kopię najbardziej aktualnego certyfikatu jakości potwierdzającego parametry jakościowe paliwa stałego. Wskazano również, że </w:t>
      </w:r>
      <w:r w:rsidR="007C2631">
        <w:rPr>
          <w:rFonts w:ascii="Times New Roman" w:hAnsi="Times New Roman" w:cs="Times New Roman"/>
          <w:sz w:val="24"/>
          <w:szCs w:val="24"/>
        </w:rPr>
        <w:t>t</w:t>
      </w:r>
      <w:r w:rsidR="007C2631" w:rsidRPr="007C2631">
        <w:rPr>
          <w:rFonts w:ascii="Times New Roman" w:hAnsi="Times New Roman" w:cs="Times New Roman"/>
          <w:sz w:val="24"/>
          <w:szCs w:val="24"/>
        </w:rPr>
        <w:t>ermin na dokonanie przez gminę płatności z tytułu realizacji umowy, o której mowa w ust. 3, wynosi 60 dni liczonych od dnia wydania</w:t>
      </w:r>
      <w:r w:rsidR="007C2631">
        <w:rPr>
          <w:rFonts w:ascii="Times New Roman" w:hAnsi="Times New Roman" w:cs="Times New Roman"/>
          <w:sz w:val="24"/>
          <w:szCs w:val="24"/>
        </w:rPr>
        <w:t xml:space="preserve"> paliwa stałego na rzecz gminy.</w:t>
      </w:r>
    </w:p>
    <w:p w14:paraId="1118E38B" w14:textId="05B683B0" w:rsidR="006A0BA9" w:rsidRPr="00A36BB8" w:rsidRDefault="00A36BB8" w:rsidP="007C263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Lines="100" w:before="240" w:afterLines="100" w:after="240" w:line="36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6A0BA9" w:rsidRPr="00A36BB8">
        <w:rPr>
          <w:rFonts w:ascii="Times New Roman" w:hAnsi="Times New Roman" w:cs="Times New Roman"/>
          <w:b/>
          <w:sz w:val="24"/>
          <w:szCs w:val="24"/>
        </w:rPr>
        <w:t>rt. 4</w:t>
      </w:r>
    </w:p>
    <w:p w14:paraId="7FED4CF7" w14:textId="79F1424D" w:rsidR="0053223A" w:rsidRPr="00A570BF" w:rsidRDefault="006A0BA9" w:rsidP="007C2631">
      <w:pPr>
        <w:spacing w:beforeLines="100" w:before="240" w:afterLines="100" w:after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70BF">
        <w:rPr>
          <w:rFonts w:ascii="Times New Roman" w:hAnsi="Times New Roman" w:cs="Times New Roman"/>
          <w:bCs/>
          <w:sz w:val="24"/>
          <w:szCs w:val="24"/>
        </w:rPr>
        <w:t>Wskazano, że i</w:t>
      </w:r>
      <w:r w:rsidR="001E6315" w:rsidRPr="00A570BF">
        <w:rPr>
          <w:rFonts w:ascii="Times New Roman" w:hAnsi="Times New Roman" w:cs="Times New Roman"/>
          <w:bCs/>
          <w:sz w:val="24"/>
          <w:szCs w:val="24"/>
        </w:rPr>
        <w:t xml:space="preserve">nny podmiot </w:t>
      </w:r>
      <w:r w:rsidR="001E6315" w:rsidRPr="007C2631">
        <w:rPr>
          <w:rFonts w:ascii="Times New Roman" w:hAnsi="Times New Roman" w:cs="Times New Roman"/>
          <w:sz w:val="24"/>
          <w:szCs w:val="24"/>
        </w:rPr>
        <w:t>może</w:t>
      </w:r>
      <w:r w:rsidR="001E6315" w:rsidRPr="00A570BF">
        <w:rPr>
          <w:rFonts w:ascii="Times New Roman" w:hAnsi="Times New Roman" w:cs="Times New Roman"/>
          <w:bCs/>
          <w:sz w:val="24"/>
          <w:szCs w:val="24"/>
        </w:rPr>
        <w:t xml:space="preserve"> przystąpić </w:t>
      </w:r>
      <w:r w:rsidR="001E6315" w:rsidRPr="00A570BF">
        <w:rPr>
          <w:rFonts w:ascii="Times New Roman" w:hAnsi="Times New Roman" w:cs="Times New Roman"/>
          <w:sz w:val="24"/>
          <w:szCs w:val="24"/>
        </w:rPr>
        <w:t xml:space="preserve">do zakupu paliwa stałego z przeznaczeniem dla gospodarstw domowych w celu jego sprzedaży </w:t>
      </w:r>
      <w:r w:rsidRPr="00A570BF">
        <w:rPr>
          <w:rFonts w:ascii="Times New Roman" w:hAnsi="Times New Roman" w:cs="Times New Roman"/>
          <w:sz w:val="24"/>
          <w:szCs w:val="24"/>
        </w:rPr>
        <w:t xml:space="preserve">w ramach zakupu preferencyjnego </w:t>
      </w:r>
      <w:r w:rsidR="001E6315" w:rsidRPr="00A570BF">
        <w:rPr>
          <w:rFonts w:ascii="Times New Roman" w:hAnsi="Times New Roman" w:cs="Times New Roman"/>
          <w:sz w:val="24"/>
          <w:szCs w:val="24"/>
        </w:rPr>
        <w:t>samodzielnie albo we współpracy z drugim innym podmiotem albo kilkoma innymi podmiotami</w:t>
      </w:r>
      <w:r w:rsidR="0053223A" w:rsidRPr="00A570BF">
        <w:rPr>
          <w:rFonts w:ascii="Times New Roman" w:hAnsi="Times New Roman" w:cs="Times New Roman"/>
          <w:sz w:val="24"/>
          <w:szCs w:val="24"/>
        </w:rPr>
        <w:t xml:space="preserve">. </w:t>
      </w:r>
      <w:r w:rsidR="007974B8">
        <w:rPr>
          <w:rFonts w:ascii="Times New Roman" w:hAnsi="Times New Roman" w:cs="Times New Roman"/>
          <w:sz w:val="24"/>
          <w:szCs w:val="24"/>
        </w:rPr>
        <w:t xml:space="preserve">Wynikowe zmiany w tym zakresie zostały również uwzględnione w art. 32. </w:t>
      </w:r>
      <w:r w:rsidR="007C2631">
        <w:rPr>
          <w:rFonts w:ascii="Times New Roman" w:hAnsi="Times New Roman" w:cs="Times New Roman"/>
          <w:sz w:val="24"/>
          <w:szCs w:val="24"/>
        </w:rPr>
        <w:t>Ww. innym podmiotem może być również sam podmiot wprowadzający do obrotu.</w:t>
      </w:r>
    </w:p>
    <w:p w14:paraId="4305E405" w14:textId="7CB67062" w:rsidR="0053223A" w:rsidRPr="00A570BF" w:rsidRDefault="0053223A" w:rsidP="00A36BB8">
      <w:pPr>
        <w:spacing w:beforeLines="100" w:before="240" w:afterLines="100" w:after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70BF">
        <w:rPr>
          <w:rFonts w:ascii="Times New Roman" w:hAnsi="Times New Roman" w:cs="Times New Roman"/>
          <w:sz w:val="24"/>
          <w:szCs w:val="24"/>
        </w:rPr>
        <w:t xml:space="preserve">Ponadto ustanowiono obowiązek informacyjny nałożony na podmiot wprowadzający do obrotu </w:t>
      </w:r>
      <w:r w:rsidR="006A0BA9" w:rsidRPr="00A570BF">
        <w:rPr>
          <w:rFonts w:ascii="Times New Roman" w:hAnsi="Times New Roman" w:cs="Times New Roman"/>
          <w:sz w:val="24"/>
          <w:szCs w:val="24"/>
        </w:rPr>
        <w:t xml:space="preserve">będący innym podmiotem, </w:t>
      </w:r>
      <w:r w:rsidRPr="00A570BF">
        <w:rPr>
          <w:rFonts w:ascii="Times New Roman" w:hAnsi="Times New Roman" w:cs="Times New Roman"/>
          <w:sz w:val="24"/>
          <w:szCs w:val="24"/>
        </w:rPr>
        <w:t>polegający na przekazaniu właściwej gminie informacji o innym podmiocie oferującym zakup preferencyjny paliwa stałego na jej terenie.  Następnie dana gmina będzie zobowiązana do zamieszczania w Biuletynie Informacji Publicznej na swojej stronie podmiotowej informacji o firmie oraz siedzibie podmiotu oferującego zakup preferencyjny paliwa stałego. Takie rozwiązanie umożliwi mieszkańcom danej gminy na dostęp do informacji o podmiocie sprzedającym paliwo stałe na zasadach określonych w ustawie.</w:t>
      </w:r>
    </w:p>
    <w:p w14:paraId="2D01E30A" w14:textId="3E2F011E" w:rsidR="00572C2E" w:rsidRPr="00A570BF" w:rsidRDefault="00572C2E" w:rsidP="00A36BB8">
      <w:pPr>
        <w:pStyle w:val="USTustnpkodeksu"/>
        <w:spacing w:beforeLines="100" w:before="240" w:afterLines="100" w:after="240"/>
        <w:rPr>
          <w:rFonts w:ascii="Times New Roman" w:hAnsi="Times New Roman" w:cs="Times New Roman"/>
          <w:szCs w:val="24"/>
        </w:rPr>
      </w:pPr>
      <w:r w:rsidRPr="00A570BF">
        <w:rPr>
          <w:rFonts w:ascii="Times New Roman" w:hAnsi="Times New Roman" w:cs="Times New Roman"/>
          <w:szCs w:val="24"/>
        </w:rPr>
        <w:t xml:space="preserve">Proponowana zmiana eliminuje </w:t>
      </w:r>
      <w:r w:rsidR="006D63A4">
        <w:rPr>
          <w:rFonts w:ascii="Times New Roman" w:hAnsi="Times New Roman" w:cs="Times New Roman"/>
          <w:szCs w:val="24"/>
        </w:rPr>
        <w:t xml:space="preserve">również </w:t>
      </w:r>
      <w:r w:rsidRPr="00A570BF">
        <w:rPr>
          <w:rFonts w:ascii="Times New Roman" w:hAnsi="Times New Roman" w:cs="Times New Roman"/>
          <w:szCs w:val="24"/>
        </w:rPr>
        <w:t xml:space="preserve">możliwość doliczania przez inny podmiot, który sprzedaje paliwo stałe nabyte na podstawie umowy, o której mowa w art. 3 ust. 3, na rzecz osób </w:t>
      </w:r>
      <w:r w:rsidRPr="00A570BF">
        <w:rPr>
          <w:rFonts w:ascii="Times New Roman" w:hAnsi="Times New Roman" w:cs="Times New Roman"/>
          <w:szCs w:val="24"/>
        </w:rPr>
        <w:lastRenderedPageBreak/>
        <w:t>fizycznych w gospodarstwach domowych, innych</w:t>
      </w:r>
      <w:r w:rsidR="006D63A4">
        <w:rPr>
          <w:rFonts w:ascii="Times New Roman" w:hAnsi="Times New Roman" w:cs="Times New Roman"/>
          <w:szCs w:val="24"/>
        </w:rPr>
        <w:t xml:space="preserve"> kosztów i opłat ponad określoną</w:t>
      </w:r>
      <w:r w:rsidRPr="00A570BF">
        <w:rPr>
          <w:rFonts w:ascii="Times New Roman" w:hAnsi="Times New Roman" w:cs="Times New Roman"/>
          <w:szCs w:val="24"/>
        </w:rPr>
        <w:t xml:space="preserve"> w ust. 3 cenę paliwa stałego, tj. 2200 zł/tonę. Podmiot ten może jedynie doliczyć koszty transportu, ale tylko w przypadku gdy dana osoba fizyczna w gospodarstwie domowym nabywająca to paliwo stałe zdecyduje się skorzystać z usługi transportu oferowanej przez ten inny podmiot. Skorzystanie z tej usługi ma być dobrowolne i nie może być ono warunkiem sprzedaży ani wydania paliwa stałego nabywcy.</w:t>
      </w:r>
    </w:p>
    <w:p w14:paraId="588A5080" w14:textId="1B2FAD68" w:rsidR="003F1BC7" w:rsidRPr="00A36BB8" w:rsidRDefault="00A36BB8" w:rsidP="00A36BB8">
      <w:pPr>
        <w:pStyle w:val="ARTartustawynprozporzdzenia"/>
        <w:numPr>
          <w:ilvl w:val="0"/>
          <w:numId w:val="1"/>
        </w:numPr>
        <w:spacing w:beforeLines="100" w:before="240" w:afterLines="100" w:after="240"/>
        <w:rPr>
          <w:rFonts w:ascii="Times New Roman" w:hAnsi="Times New Roman" w:cs="Times New Roman"/>
          <w:b/>
          <w:szCs w:val="24"/>
        </w:rPr>
      </w:pPr>
      <w:r w:rsidRPr="00A36BB8">
        <w:rPr>
          <w:rFonts w:ascii="Times New Roman" w:hAnsi="Times New Roman" w:cs="Times New Roman"/>
          <w:b/>
          <w:szCs w:val="24"/>
        </w:rPr>
        <w:t>a</w:t>
      </w:r>
      <w:r w:rsidR="003F1BC7" w:rsidRPr="00A36BB8">
        <w:rPr>
          <w:rFonts w:ascii="Times New Roman" w:hAnsi="Times New Roman" w:cs="Times New Roman"/>
          <w:b/>
          <w:szCs w:val="24"/>
        </w:rPr>
        <w:t>rt. 7</w:t>
      </w:r>
    </w:p>
    <w:p w14:paraId="505AACD0" w14:textId="26A29403" w:rsidR="005508AE" w:rsidRPr="00A570BF" w:rsidRDefault="005508AE" w:rsidP="00A36BB8">
      <w:pPr>
        <w:spacing w:beforeLines="100" w:before="240" w:afterLines="100" w:after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70BF">
        <w:rPr>
          <w:rFonts w:ascii="Times New Roman" w:hAnsi="Times New Roman" w:cs="Times New Roman"/>
          <w:sz w:val="24"/>
          <w:szCs w:val="24"/>
        </w:rPr>
        <w:t>Zgodnie z definicją zawartą w art. 2 pkt 3 projektowanej ustawy</w:t>
      </w:r>
      <w:r w:rsidR="006D63A4">
        <w:rPr>
          <w:rFonts w:ascii="Times New Roman" w:hAnsi="Times New Roman" w:cs="Times New Roman"/>
          <w:sz w:val="24"/>
          <w:szCs w:val="24"/>
        </w:rPr>
        <w:t>,</w:t>
      </w:r>
      <w:r w:rsidRPr="00A570BF">
        <w:rPr>
          <w:rFonts w:ascii="Times New Roman" w:hAnsi="Times New Roman" w:cs="Times New Roman"/>
          <w:sz w:val="24"/>
          <w:szCs w:val="24"/>
        </w:rPr>
        <w:t xml:space="preserve"> podmiot wprowadzający do obrotu posiada formę organizacyjno-prawną spółki kapitałowej. Z tego też względu przewidzianym w art. 7 ust. 2 projektowanej ustawy wyłączeniem odpowiedzialności za szkody wyrządzone spółce sprzecznym z prawem działaniem lub zaniechaniem należy objąć również członków organów oraz likwidatorów spółek akcyjnych. Podstawę tej odpowiedzialności stanowi art. 483 § 1 ustawy z dnia 15 września 2000 r. – Kodeks spółek handlowych, stąd w celu zrównania sytuacji prawnej decydentów w spółkach z ograniczoną odpowiedzialnością oraz spółkach akcyjnych konieczne jest uwzględnienie przedmiotowego przepisu w treści wyłączenia przewidzianego w art. 7 ust. 2 projektu ustawy.</w:t>
      </w:r>
    </w:p>
    <w:p w14:paraId="081DA131" w14:textId="614CEB10" w:rsidR="003F1BC7" w:rsidRPr="00A36BB8" w:rsidRDefault="00A36BB8" w:rsidP="00A36BB8">
      <w:pPr>
        <w:pStyle w:val="Akapitzlist"/>
        <w:numPr>
          <w:ilvl w:val="0"/>
          <w:numId w:val="1"/>
        </w:numPr>
        <w:spacing w:beforeLines="100" w:before="240" w:afterLines="100" w:after="240" w:line="36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BB8">
        <w:rPr>
          <w:rFonts w:ascii="Times New Roman" w:hAnsi="Times New Roman" w:cs="Times New Roman"/>
          <w:b/>
          <w:sz w:val="24"/>
          <w:szCs w:val="24"/>
        </w:rPr>
        <w:t>a</w:t>
      </w:r>
      <w:r w:rsidR="003F1BC7" w:rsidRPr="00A36BB8">
        <w:rPr>
          <w:rFonts w:ascii="Times New Roman" w:hAnsi="Times New Roman" w:cs="Times New Roman"/>
          <w:b/>
          <w:sz w:val="24"/>
          <w:szCs w:val="24"/>
        </w:rPr>
        <w:t>rt. 10</w:t>
      </w:r>
    </w:p>
    <w:p w14:paraId="274DE0BB" w14:textId="18D5D840" w:rsidR="00DC1B1C" w:rsidRDefault="003F1BC7" w:rsidP="00A36BB8">
      <w:pPr>
        <w:autoSpaceDE w:val="0"/>
        <w:autoSpaceDN w:val="0"/>
        <w:adjustRightInd w:val="0"/>
        <w:spacing w:beforeLines="100" w:before="240" w:afterLines="100" w:after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70BF">
        <w:rPr>
          <w:rFonts w:ascii="Times New Roman" w:hAnsi="Times New Roman" w:cs="Times New Roman"/>
          <w:sz w:val="24"/>
          <w:szCs w:val="24"/>
        </w:rPr>
        <w:t>Dodano</w:t>
      </w:r>
      <w:r w:rsidR="006D63A4">
        <w:rPr>
          <w:rFonts w:ascii="Times New Roman" w:hAnsi="Times New Roman" w:cs="Times New Roman"/>
          <w:sz w:val="24"/>
          <w:szCs w:val="24"/>
        </w:rPr>
        <w:t xml:space="preserve"> obowiązek dołączenia do wniosku </w:t>
      </w:r>
      <w:r w:rsidRPr="00A570BF">
        <w:rPr>
          <w:rFonts w:ascii="Times New Roman" w:hAnsi="Times New Roman" w:cs="Times New Roman"/>
          <w:sz w:val="24"/>
          <w:szCs w:val="24"/>
        </w:rPr>
        <w:t>oświadczenie, potwierdzające</w:t>
      </w:r>
      <w:r w:rsidR="006D63A4">
        <w:rPr>
          <w:rFonts w:ascii="Times New Roman" w:hAnsi="Times New Roman" w:cs="Times New Roman"/>
          <w:sz w:val="24"/>
          <w:szCs w:val="24"/>
        </w:rPr>
        <w:t>go</w:t>
      </w:r>
      <w:r w:rsidRPr="00A570BF">
        <w:rPr>
          <w:rFonts w:ascii="Times New Roman" w:hAnsi="Times New Roman" w:cs="Times New Roman"/>
          <w:sz w:val="24"/>
          <w:szCs w:val="24"/>
        </w:rPr>
        <w:t>, że wnioskodawca ani żaden członek jego gospodarstwa domowego, na rzecz którego dokonywany jest zakup preferencyjny, nie nabyli paliwa stałego na sezon grzewczy przypadający na lata 2022-23, po cenie niższej niż 2000 zł brutto za tonę w ilości co najmniej t</w:t>
      </w:r>
      <w:r w:rsidR="00692BBC" w:rsidRPr="00A570BF">
        <w:rPr>
          <w:rFonts w:ascii="Times New Roman" w:hAnsi="Times New Roman" w:cs="Times New Roman"/>
          <w:sz w:val="24"/>
          <w:szCs w:val="24"/>
        </w:rPr>
        <w:t>akiej</w:t>
      </w:r>
      <w:r w:rsidRPr="00A570BF">
        <w:rPr>
          <w:rFonts w:ascii="Times New Roman" w:hAnsi="Times New Roman" w:cs="Times New Roman"/>
          <w:sz w:val="24"/>
          <w:szCs w:val="24"/>
        </w:rPr>
        <w:t xml:space="preserve"> jak określona na podstawie przepisów wyda</w:t>
      </w:r>
      <w:r w:rsidR="007A6891" w:rsidRPr="00A570BF">
        <w:rPr>
          <w:rFonts w:ascii="Times New Roman" w:hAnsi="Times New Roman" w:cs="Times New Roman"/>
          <w:sz w:val="24"/>
          <w:szCs w:val="24"/>
        </w:rPr>
        <w:t xml:space="preserve">nych na podstawie art. 8 ust. 2. Analogiczne oświadczenie będzie składane wraz z wnioskiem o wydanie zaświadczenia na podstawie art. 13. </w:t>
      </w:r>
    </w:p>
    <w:p w14:paraId="5ED5C07A" w14:textId="4E861126" w:rsidR="007974B8" w:rsidRPr="00A570BF" w:rsidRDefault="007974B8" w:rsidP="00A36BB8">
      <w:pPr>
        <w:autoSpaceDE w:val="0"/>
        <w:autoSpaceDN w:val="0"/>
        <w:adjustRightInd w:val="0"/>
        <w:spacing w:beforeLines="100" w:before="240" w:afterLines="100" w:after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Chodzi tutaj o uniknięcie sytuacji, w której osoba uprawnienie do zakupu preferencyjnego przysługiwałoby osobie, które nabyła już wcześniej odpowiednią ilość węgla po akceptowalnej społecznie cenie, np. od krajowych kopalni. Ilość wskazywana w oświadczeniu będzie przy tym zależała od okresu, którego dotyczy wniosek. W przypadku </w:t>
      </w:r>
      <w:r>
        <w:rPr>
          <w:rFonts w:ascii="Times New Roman" w:hAnsi="Times New Roman" w:cs="Times New Roman"/>
          <w:sz w:val="24"/>
          <w:szCs w:val="24"/>
        </w:rPr>
        <w:lastRenderedPageBreak/>
        <w:t>wniosku dotyczącego zakupu do dnia 31 grudnia 2022 r., oświadczenie będzie wskazywało brak zakupu ilości najmniej taka jak przewidziana rozporządzeniem do tego właśnie dnia. Z kolei w przypadku wniosku dotyczącego okresu od 1 stycznia 2023 r., oświadczenie będzie odnosiło się już do ilości przewidzianej przez rozporządzenie na cały sezon grzewczy 2022-2023, gdyż w wolumenie tym należy uwzględnić węgiel nabyty w ramach zakupu preferencyjnego przed dniem 1 stycznia 2023 r.</w:t>
      </w:r>
    </w:p>
    <w:p w14:paraId="2C715998" w14:textId="2DE369E9" w:rsidR="00692BBC" w:rsidRPr="00A36BB8" w:rsidRDefault="00A36BB8" w:rsidP="00A36BB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Lines="100" w:before="240" w:afterLines="100" w:after="240" w:line="36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BB8">
        <w:rPr>
          <w:rFonts w:ascii="Times New Roman" w:hAnsi="Times New Roman" w:cs="Times New Roman"/>
          <w:b/>
          <w:sz w:val="24"/>
          <w:szCs w:val="24"/>
        </w:rPr>
        <w:t>a</w:t>
      </w:r>
      <w:r w:rsidR="008F1F33" w:rsidRPr="00A36BB8">
        <w:rPr>
          <w:rFonts w:ascii="Times New Roman" w:hAnsi="Times New Roman" w:cs="Times New Roman"/>
          <w:b/>
          <w:sz w:val="24"/>
          <w:szCs w:val="24"/>
        </w:rPr>
        <w:t>rt. 12</w:t>
      </w:r>
      <w:r w:rsidR="000615A8" w:rsidRPr="00A36B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2BBC" w:rsidRPr="00A36BB8">
        <w:rPr>
          <w:rFonts w:ascii="Times New Roman" w:hAnsi="Times New Roman" w:cs="Times New Roman"/>
          <w:b/>
          <w:sz w:val="24"/>
          <w:szCs w:val="24"/>
        </w:rPr>
        <w:t>i 13</w:t>
      </w:r>
    </w:p>
    <w:p w14:paraId="4A9AA01B" w14:textId="704294B6" w:rsidR="00692BBC" w:rsidRPr="00A36BB8" w:rsidRDefault="00692BBC" w:rsidP="00A36BB8">
      <w:pPr>
        <w:pStyle w:val="USTustnpkodeksu"/>
        <w:spacing w:beforeLines="100" w:before="240" w:afterLines="100" w:after="240"/>
        <w:rPr>
          <w:rFonts w:ascii="Times New Roman" w:hAnsi="Times New Roman" w:cs="Times New Roman"/>
          <w:szCs w:val="24"/>
        </w:rPr>
      </w:pPr>
      <w:r w:rsidRPr="00A570BF">
        <w:rPr>
          <w:rFonts w:ascii="Times New Roman" w:hAnsi="Times New Roman" w:cs="Times New Roman"/>
          <w:szCs w:val="24"/>
        </w:rPr>
        <w:t>Doprecyzowano, że</w:t>
      </w:r>
      <w:r w:rsidR="00594E07" w:rsidRPr="00A570BF">
        <w:rPr>
          <w:rFonts w:ascii="Times New Roman" w:hAnsi="Times New Roman" w:cs="Times New Roman"/>
          <w:szCs w:val="24"/>
        </w:rPr>
        <w:t xml:space="preserve"> wójt, burmistrz albo prezydent miasta może upoważnić </w:t>
      </w:r>
      <w:r w:rsidRPr="00A570BF">
        <w:rPr>
          <w:rFonts w:ascii="Times New Roman" w:hAnsi="Times New Roman" w:cs="Times New Roman"/>
          <w:szCs w:val="24"/>
        </w:rPr>
        <w:t xml:space="preserve">inne </w:t>
      </w:r>
      <w:r w:rsidR="00594E07" w:rsidRPr="00A570BF">
        <w:rPr>
          <w:rFonts w:ascii="Times New Roman" w:hAnsi="Times New Roman" w:cs="Times New Roman"/>
          <w:szCs w:val="24"/>
        </w:rPr>
        <w:t xml:space="preserve">osoby wymienione we wskazanym przepisie do prowadzenia postępowań w sprawach dotyczących </w:t>
      </w:r>
      <w:r w:rsidRPr="00A570BF">
        <w:rPr>
          <w:rFonts w:ascii="Times New Roman" w:hAnsi="Times New Roman" w:cs="Times New Roman"/>
          <w:szCs w:val="24"/>
        </w:rPr>
        <w:t xml:space="preserve"> weryfikacji wniosku o zakup lub </w:t>
      </w:r>
      <w:r w:rsidR="00594E07" w:rsidRPr="00A570BF">
        <w:rPr>
          <w:rFonts w:ascii="Times New Roman" w:hAnsi="Times New Roman" w:cs="Times New Roman"/>
          <w:szCs w:val="24"/>
        </w:rPr>
        <w:t xml:space="preserve">wydania zaświadczenia. Analogiczne rozwiązanie znajduje się również przykładowo w art. 3 ust. 2 ustawy z dnia 5 sierpnia 2022 r. o dodatku węglowym. </w:t>
      </w:r>
    </w:p>
    <w:p w14:paraId="40F40E64" w14:textId="55318108" w:rsidR="00692BBC" w:rsidRPr="00A36BB8" w:rsidRDefault="00A36BB8" w:rsidP="00A36BB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Lines="100" w:before="240" w:afterLines="100" w:after="240" w:line="360" w:lineRule="auto"/>
        <w:contextualSpacing w:val="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A36BB8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a</w:t>
      </w:r>
      <w:r w:rsidR="00692BBC" w:rsidRPr="00A36BB8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rt. 16</w:t>
      </w:r>
    </w:p>
    <w:p w14:paraId="7D07E287" w14:textId="3C76DDCB" w:rsidR="00E622B8" w:rsidRPr="00A570BF" w:rsidRDefault="00692BBC" w:rsidP="00A36BB8">
      <w:pPr>
        <w:autoSpaceDE w:val="0"/>
        <w:autoSpaceDN w:val="0"/>
        <w:adjustRightInd w:val="0"/>
        <w:spacing w:beforeLines="100" w:before="240" w:afterLines="100" w:after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70BF">
        <w:rPr>
          <w:rFonts w:ascii="Times New Roman" w:hAnsi="Times New Roman" w:cs="Times New Roman"/>
          <w:sz w:val="24"/>
          <w:szCs w:val="24"/>
        </w:rPr>
        <w:t>Zmieniono sposób określania rekompensaty, wskazując, że</w:t>
      </w:r>
      <w:r w:rsidR="00D8429A" w:rsidRPr="00A570BF">
        <w:rPr>
          <w:rFonts w:ascii="Times New Roman" w:hAnsi="Times New Roman" w:cs="Times New Roman"/>
          <w:sz w:val="24"/>
          <w:szCs w:val="24"/>
        </w:rPr>
        <w:t xml:space="preserve"> z</w:t>
      </w:r>
      <w:r w:rsidR="0060365A" w:rsidRPr="00A570BF">
        <w:rPr>
          <w:rFonts w:ascii="Times New Roman" w:hAnsi="Times New Roman" w:cs="Times New Roman"/>
          <w:sz w:val="24"/>
          <w:szCs w:val="24"/>
        </w:rPr>
        <w:t xml:space="preserve">ostanie ustalona w wysokości </w:t>
      </w:r>
      <w:r w:rsidR="00E622B8" w:rsidRPr="00A570BF">
        <w:rPr>
          <w:rFonts w:ascii="Times New Roman" w:hAnsi="Times New Roman" w:cs="Times New Roman"/>
          <w:sz w:val="24"/>
          <w:szCs w:val="24"/>
        </w:rPr>
        <w:t>stanowiącej iloczyn ilości paliwa stałego</w:t>
      </w:r>
      <w:r w:rsidRPr="00A570BF">
        <w:rPr>
          <w:rFonts w:ascii="Times New Roman" w:hAnsi="Times New Roman" w:cs="Times New Roman"/>
          <w:sz w:val="24"/>
          <w:szCs w:val="24"/>
        </w:rPr>
        <w:t xml:space="preserve"> sprzedanego na podstawie umów </w:t>
      </w:r>
      <w:r w:rsidR="00E622B8" w:rsidRPr="00A570BF">
        <w:rPr>
          <w:rFonts w:ascii="Times New Roman" w:hAnsi="Times New Roman" w:cs="Times New Roman"/>
          <w:sz w:val="24"/>
          <w:szCs w:val="24"/>
        </w:rPr>
        <w:t xml:space="preserve">i różnicy między uzasadnionym średnim jednostkowym kosztem paliwa stałego w tym okresie a średnią ceną netto sprzedaży paliwa stałego w tym okresie, powiększoną o podatek od towarów i usług. </w:t>
      </w:r>
      <w:r w:rsidR="004A2E0F" w:rsidRPr="00A570BF">
        <w:rPr>
          <w:rFonts w:ascii="Times New Roman" w:hAnsi="Times New Roman" w:cs="Times New Roman"/>
          <w:sz w:val="24"/>
          <w:szCs w:val="24"/>
        </w:rPr>
        <w:t>Definicje średniego jednostkowego kosztu paliwa stałego oraz średniej ceny netto sprzedaży tego paliwa zostały również zostały przedstawione</w:t>
      </w:r>
      <w:r w:rsidR="006D63A4">
        <w:rPr>
          <w:rFonts w:ascii="Times New Roman" w:hAnsi="Times New Roman" w:cs="Times New Roman"/>
          <w:sz w:val="24"/>
          <w:szCs w:val="24"/>
        </w:rPr>
        <w:t xml:space="preserve"> w</w:t>
      </w:r>
      <w:r w:rsidR="004A2E0F" w:rsidRPr="00A570BF">
        <w:rPr>
          <w:rFonts w:ascii="Times New Roman" w:hAnsi="Times New Roman" w:cs="Times New Roman"/>
          <w:sz w:val="24"/>
          <w:szCs w:val="24"/>
        </w:rPr>
        <w:t xml:space="preserve"> </w:t>
      </w:r>
      <w:r w:rsidR="007A6891" w:rsidRPr="00A570BF">
        <w:rPr>
          <w:rFonts w:ascii="Times New Roman" w:hAnsi="Times New Roman" w:cs="Times New Roman"/>
          <w:sz w:val="24"/>
          <w:szCs w:val="24"/>
        </w:rPr>
        <w:t>tym artykule.</w:t>
      </w:r>
    </w:p>
    <w:p w14:paraId="38EF7119" w14:textId="11CAC52A" w:rsidR="004F0B7F" w:rsidRPr="00A570BF" w:rsidRDefault="007A6891" w:rsidP="00A36BB8">
      <w:pPr>
        <w:autoSpaceDE w:val="0"/>
        <w:autoSpaceDN w:val="0"/>
        <w:adjustRightInd w:val="0"/>
        <w:spacing w:beforeLines="100" w:before="240" w:afterLines="100" w:after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70BF">
        <w:rPr>
          <w:rFonts w:ascii="Times New Roman" w:hAnsi="Times New Roman" w:cs="Times New Roman"/>
          <w:sz w:val="24"/>
          <w:szCs w:val="24"/>
        </w:rPr>
        <w:t>Jednoznaczne przyjęto, że rekompensata w kwocie netto stanowi przychód podmiotu  wprowadzającego do obrotu w rozumieniu ustawy z dnia 15 lutego 1992 r. o podatku dochodowym od osób prawnych (Dz. U. z 2021 r. poz. 1800, z późn. zm. ), w miesiącu jej otrzymania.</w:t>
      </w:r>
    </w:p>
    <w:p w14:paraId="2AFAA564" w14:textId="599CD269" w:rsidR="00572C2E" w:rsidRPr="00A570BF" w:rsidRDefault="00572C2E" w:rsidP="00A36BB8">
      <w:pPr>
        <w:autoSpaceDE w:val="0"/>
        <w:autoSpaceDN w:val="0"/>
        <w:adjustRightInd w:val="0"/>
        <w:spacing w:beforeLines="100" w:before="240" w:afterLines="100" w:after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70BF">
        <w:rPr>
          <w:rFonts w:ascii="Times New Roman" w:hAnsi="Times New Roman" w:cs="Times New Roman"/>
          <w:sz w:val="24"/>
          <w:szCs w:val="24"/>
        </w:rPr>
        <w:t xml:space="preserve">W związku z powyższym zmieniono również zakres wniosku o wypłatę rekompensaty, tak aby przedstawiane informacje odpowiadały zakresowi określonemu w ust. 1.  </w:t>
      </w:r>
    </w:p>
    <w:p w14:paraId="4851D8A8" w14:textId="5279670E" w:rsidR="00572C2E" w:rsidRPr="00A36BB8" w:rsidRDefault="00A36BB8" w:rsidP="00A36BB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Lines="100" w:before="240" w:afterLines="100" w:after="240" w:line="36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BB8">
        <w:rPr>
          <w:rFonts w:ascii="Times New Roman" w:hAnsi="Times New Roman" w:cs="Times New Roman"/>
          <w:b/>
          <w:sz w:val="24"/>
          <w:szCs w:val="24"/>
        </w:rPr>
        <w:t>a</w:t>
      </w:r>
      <w:r w:rsidR="00900A0F" w:rsidRPr="00A36BB8">
        <w:rPr>
          <w:rFonts w:ascii="Times New Roman" w:hAnsi="Times New Roman" w:cs="Times New Roman"/>
          <w:b/>
          <w:sz w:val="24"/>
          <w:szCs w:val="24"/>
        </w:rPr>
        <w:t>rt. 18</w:t>
      </w:r>
      <w:r w:rsidR="006D5BE6" w:rsidRPr="00A36B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001306C" w14:textId="1774C1D2" w:rsidR="006D5BE6" w:rsidRPr="00A570BF" w:rsidRDefault="00572C2E" w:rsidP="00A36BB8">
      <w:pPr>
        <w:autoSpaceDE w:val="0"/>
        <w:autoSpaceDN w:val="0"/>
        <w:adjustRightInd w:val="0"/>
        <w:spacing w:beforeLines="100" w:before="240" w:afterLines="100" w:after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70BF">
        <w:rPr>
          <w:rFonts w:ascii="Times New Roman" w:hAnsi="Times New Roman" w:cs="Times New Roman"/>
          <w:sz w:val="24"/>
          <w:szCs w:val="24"/>
        </w:rPr>
        <w:lastRenderedPageBreak/>
        <w:t>W</w:t>
      </w:r>
      <w:r w:rsidR="006D5BE6" w:rsidRPr="00A570BF">
        <w:rPr>
          <w:rFonts w:ascii="Times New Roman" w:hAnsi="Times New Roman" w:cs="Times New Roman"/>
          <w:sz w:val="24"/>
          <w:szCs w:val="24"/>
        </w:rPr>
        <w:t>skazuje</w:t>
      </w:r>
      <w:r w:rsidR="006D63A4">
        <w:rPr>
          <w:rFonts w:ascii="Times New Roman" w:hAnsi="Times New Roman" w:cs="Times New Roman"/>
          <w:sz w:val="24"/>
          <w:szCs w:val="24"/>
        </w:rPr>
        <w:t xml:space="preserve"> się</w:t>
      </w:r>
      <w:r w:rsidR="006D5BE6" w:rsidRPr="00A570BF">
        <w:rPr>
          <w:rFonts w:ascii="Times New Roman" w:hAnsi="Times New Roman" w:cs="Times New Roman"/>
          <w:sz w:val="24"/>
          <w:szCs w:val="24"/>
        </w:rPr>
        <w:t>, że podmiot wprowadzający do obrotu składa do podmiotu wypłacającego wniosek o rozliczenie rekompensaty w termi</w:t>
      </w:r>
      <w:r w:rsidR="00C54ED6" w:rsidRPr="00A570BF">
        <w:rPr>
          <w:rFonts w:ascii="Times New Roman" w:hAnsi="Times New Roman" w:cs="Times New Roman"/>
          <w:sz w:val="24"/>
          <w:szCs w:val="24"/>
        </w:rPr>
        <w:t>nie do dnia 3</w:t>
      </w:r>
      <w:r w:rsidR="00F02860" w:rsidRPr="00A570BF">
        <w:rPr>
          <w:rFonts w:ascii="Times New Roman" w:hAnsi="Times New Roman" w:cs="Times New Roman"/>
          <w:sz w:val="24"/>
          <w:szCs w:val="24"/>
        </w:rPr>
        <w:t>1</w:t>
      </w:r>
      <w:r w:rsidR="00C54ED6" w:rsidRPr="00A570BF">
        <w:rPr>
          <w:rFonts w:ascii="Times New Roman" w:hAnsi="Times New Roman" w:cs="Times New Roman"/>
          <w:sz w:val="24"/>
          <w:szCs w:val="24"/>
        </w:rPr>
        <w:t xml:space="preserve"> </w:t>
      </w:r>
      <w:r w:rsidR="00F02860" w:rsidRPr="00A570BF">
        <w:rPr>
          <w:rFonts w:ascii="Times New Roman" w:hAnsi="Times New Roman" w:cs="Times New Roman"/>
          <w:sz w:val="24"/>
          <w:szCs w:val="24"/>
        </w:rPr>
        <w:t>października</w:t>
      </w:r>
      <w:r w:rsidR="00C54ED6" w:rsidRPr="00A570BF">
        <w:rPr>
          <w:rFonts w:ascii="Times New Roman" w:hAnsi="Times New Roman" w:cs="Times New Roman"/>
          <w:sz w:val="24"/>
          <w:szCs w:val="24"/>
        </w:rPr>
        <w:t xml:space="preserve"> 2023 r. </w:t>
      </w:r>
      <w:r w:rsidR="00F02860" w:rsidRPr="00A570BF">
        <w:rPr>
          <w:rFonts w:ascii="Times New Roman" w:hAnsi="Times New Roman" w:cs="Times New Roman"/>
          <w:sz w:val="24"/>
          <w:szCs w:val="24"/>
        </w:rPr>
        <w:t>(za cały okres przysługiwania prawa do niej)</w:t>
      </w:r>
      <w:r w:rsidR="00F53D14" w:rsidRPr="00A570BF">
        <w:rPr>
          <w:rFonts w:ascii="Times New Roman" w:hAnsi="Times New Roman" w:cs="Times New Roman"/>
          <w:sz w:val="24"/>
          <w:szCs w:val="24"/>
        </w:rPr>
        <w:t>, uzupełniony o</w:t>
      </w:r>
      <w:r w:rsidRPr="00A570BF">
        <w:rPr>
          <w:rFonts w:ascii="Times New Roman" w:hAnsi="Times New Roman" w:cs="Times New Roman"/>
          <w:sz w:val="24"/>
          <w:szCs w:val="24"/>
        </w:rPr>
        <w:t xml:space="preserve"> </w:t>
      </w:r>
      <w:r w:rsidR="00F02860" w:rsidRPr="00A570BF">
        <w:rPr>
          <w:rFonts w:ascii="Times New Roman" w:hAnsi="Times New Roman" w:cs="Times New Roman"/>
          <w:sz w:val="24"/>
          <w:szCs w:val="24"/>
        </w:rPr>
        <w:t>raport biegłego rewidenta z usługi atestacyjnej</w:t>
      </w:r>
      <w:r w:rsidR="00ED1CF5">
        <w:rPr>
          <w:rFonts w:ascii="Times New Roman" w:hAnsi="Times New Roman" w:cs="Times New Roman"/>
          <w:sz w:val="24"/>
          <w:szCs w:val="24"/>
        </w:rPr>
        <w:t xml:space="preserve"> przygotowany zgodnie z przepisami </w:t>
      </w:r>
      <w:r w:rsidR="00ED1CF5" w:rsidRPr="00ED1CF5">
        <w:rPr>
          <w:rFonts w:ascii="Times New Roman" w:hAnsi="Times New Roman" w:cs="Times New Roman"/>
          <w:sz w:val="24"/>
          <w:szCs w:val="24"/>
        </w:rPr>
        <w:t>ustawie z dnia 11 maja 2017 r. o biegłych rewidentach, firmach audytorskich oraz nadzorze publicznym (Dz. U. z 2020 r. poz. 1415 oraz z 2021 r. poz. 1598 i 2106), potwierdzający prawidłowość oblicze</w:t>
      </w:r>
      <w:r w:rsidR="00A36BB8">
        <w:rPr>
          <w:rFonts w:ascii="Times New Roman" w:hAnsi="Times New Roman" w:cs="Times New Roman"/>
          <w:sz w:val="24"/>
          <w:szCs w:val="24"/>
        </w:rPr>
        <w:t>nia kwoty rekompensaty</w:t>
      </w:r>
      <w:r w:rsidR="00F53D14" w:rsidRPr="00A570BF">
        <w:rPr>
          <w:rFonts w:ascii="Times New Roman" w:hAnsi="Times New Roman" w:cs="Times New Roman"/>
          <w:sz w:val="24"/>
          <w:szCs w:val="24"/>
        </w:rPr>
        <w:t xml:space="preserve">. </w:t>
      </w:r>
      <w:r w:rsidRPr="00A570BF">
        <w:rPr>
          <w:rFonts w:ascii="Times New Roman" w:hAnsi="Times New Roman" w:cs="Times New Roman"/>
          <w:sz w:val="24"/>
          <w:szCs w:val="24"/>
        </w:rPr>
        <w:t xml:space="preserve">Jednoznacznie </w:t>
      </w:r>
      <w:r w:rsidR="006D63A4">
        <w:rPr>
          <w:rFonts w:ascii="Times New Roman" w:hAnsi="Times New Roman" w:cs="Times New Roman"/>
          <w:sz w:val="24"/>
          <w:szCs w:val="24"/>
        </w:rPr>
        <w:t>przyjęto</w:t>
      </w:r>
      <w:r w:rsidRPr="00A570BF">
        <w:rPr>
          <w:rFonts w:ascii="Times New Roman" w:hAnsi="Times New Roman" w:cs="Times New Roman"/>
          <w:sz w:val="24"/>
          <w:szCs w:val="24"/>
        </w:rPr>
        <w:t xml:space="preserve">, że </w:t>
      </w:r>
      <w:r w:rsidR="00ED1CF5">
        <w:rPr>
          <w:rFonts w:ascii="Times New Roman" w:hAnsi="Times New Roman" w:cs="Times New Roman"/>
          <w:sz w:val="24"/>
          <w:szCs w:val="24"/>
        </w:rPr>
        <w:t>z</w:t>
      </w:r>
      <w:r w:rsidRPr="00A570BF">
        <w:rPr>
          <w:rFonts w:ascii="Times New Roman" w:hAnsi="Times New Roman" w:cs="Times New Roman"/>
          <w:sz w:val="24"/>
          <w:szCs w:val="24"/>
        </w:rPr>
        <w:t xml:space="preserve">wrot rekompensaty stanowi dla podmiotu wprowadzającego do obrotu koszt uzyskania przychodu w miesiącu dokonania zwrotu. Przepis uzupełniono również o konsekwencje wypłacenia niższej kwoty rekompensaty niż należna. </w:t>
      </w:r>
    </w:p>
    <w:p w14:paraId="5A9D81E9" w14:textId="48391D84" w:rsidR="00C6153B" w:rsidRPr="00A36BB8" w:rsidRDefault="00A36BB8" w:rsidP="00A36BB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Lines="100" w:before="240" w:afterLines="100" w:after="240" w:line="36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BB8">
        <w:rPr>
          <w:rFonts w:ascii="Times New Roman" w:hAnsi="Times New Roman" w:cs="Times New Roman"/>
          <w:b/>
          <w:sz w:val="24"/>
          <w:szCs w:val="24"/>
        </w:rPr>
        <w:t>a</w:t>
      </w:r>
      <w:r w:rsidR="00C54ED6" w:rsidRPr="00A36BB8">
        <w:rPr>
          <w:rFonts w:ascii="Times New Roman" w:hAnsi="Times New Roman" w:cs="Times New Roman"/>
          <w:b/>
          <w:sz w:val="24"/>
          <w:szCs w:val="24"/>
        </w:rPr>
        <w:t>rt. 21</w:t>
      </w:r>
      <w:r w:rsidR="00C6153B" w:rsidRPr="00A36B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F270FDC" w14:textId="1B007565" w:rsidR="0039436A" w:rsidRPr="00A570BF" w:rsidRDefault="0039436A" w:rsidP="00A36BB8">
      <w:pPr>
        <w:autoSpaceDE w:val="0"/>
        <w:autoSpaceDN w:val="0"/>
        <w:adjustRightInd w:val="0"/>
        <w:spacing w:beforeLines="100" w:before="240" w:afterLines="100" w:after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70BF">
        <w:rPr>
          <w:rFonts w:ascii="Times New Roman" w:hAnsi="Times New Roman" w:cs="Times New Roman"/>
          <w:sz w:val="24"/>
          <w:szCs w:val="24"/>
        </w:rPr>
        <w:t>Zmieniono projektowany przepis, tak żeby było jasne, że podmiot wypłacający przedstawia rozliczenie środków na realizację wypł</w:t>
      </w:r>
      <w:r w:rsidR="006D63A4">
        <w:rPr>
          <w:rFonts w:ascii="Times New Roman" w:hAnsi="Times New Roman" w:cs="Times New Roman"/>
          <w:sz w:val="24"/>
          <w:szCs w:val="24"/>
        </w:rPr>
        <w:t>at rekompensat M</w:t>
      </w:r>
      <w:r w:rsidRPr="00A570BF">
        <w:rPr>
          <w:rFonts w:ascii="Times New Roman" w:hAnsi="Times New Roman" w:cs="Times New Roman"/>
          <w:sz w:val="24"/>
          <w:szCs w:val="24"/>
        </w:rPr>
        <w:t xml:space="preserve">inistrowi do spraw aktywów państwowych. </w:t>
      </w:r>
    </w:p>
    <w:p w14:paraId="3C1AFA0F" w14:textId="2A3A7044" w:rsidR="001F10EE" w:rsidRPr="00A36BB8" w:rsidRDefault="00A36BB8" w:rsidP="00A36BB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Lines="100" w:before="240" w:afterLines="100" w:after="240" w:line="36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BB8">
        <w:rPr>
          <w:rFonts w:ascii="Times New Roman" w:hAnsi="Times New Roman" w:cs="Times New Roman"/>
          <w:b/>
          <w:sz w:val="24"/>
          <w:szCs w:val="24"/>
        </w:rPr>
        <w:t>a</w:t>
      </w:r>
      <w:r w:rsidR="00C54ED6" w:rsidRPr="00A36BB8">
        <w:rPr>
          <w:rFonts w:ascii="Times New Roman" w:hAnsi="Times New Roman" w:cs="Times New Roman"/>
          <w:b/>
          <w:sz w:val="24"/>
          <w:szCs w:val="24"/>
        </w:rPr>
        <w:t>rt. 22</w:t>
      </w:r>
      <w:r w:rsidR="001F10EE" w:rsidRPr="00A36B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9612459" w14:textId="5C05C724" w:rsidR="0039436A" w:rsidRPr="00A570BF" w:rsidRDefault="0039436A" w:rsidP="00A36BB8">
      <w:pPr>
        <w:autoSpaceDE w:val="0"/>
        <w:autoSpaceDN w:val="0"/>
        <w:adjustRightInd w:val="0"/>
        <w:spacing w:beforeLines="100" w:before="240" w:afterLines="100" w:after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70BF">
        <w:rPr>
          <w:rFonts w:ascii="Times New Roman" w:hAnsi="Times New Roman" w:cs="Times New Roman"/>
          <w:sz w:val="24"/>
          <w:szCs w:val="24"/>
        </w:rPr>
        <w:t>Wskazano, do kiedy należy złożyć ostatni wniosek</w:t>
      </w:r>
      <w:r w:rsidR="006D63A4">
        <w:rPr>
          <w:rFonts w:ascii="Times New Roman" w:hAnsi="Times New Roman" w:cs="Times New Roman"/>
          <w:sz w:val="24"/>
          <w:szCs w:val="24"/>
        </w:rPr>
        <w:t xml:space="preserve"> o</w:t>
      </w:r>
      <w:r w:rsidRPr="00A570BF">
        <w:rPr>
          <w:rFonts w:ascii="Times New Roman" w:hAnsi="Times New Roman" w:cs="Times New Roman"/>
          <w:sz w:val="24"/>
          <w:szCs w:val="24"/>
        </w:rPr>
        <w:t xml:space="preserve"> przyznanie środków na wypłaty rekompensaty, a</w:t>
      </w:r>
      <w:r w:rsidR="007974B8">
        <w:rPr>
          <w:rFonts w:ascii="Times New Roman" w:hAnsi="Times New Roman" w:cs="Times New Roman"/>
          <w:sz w:val="24"/>
          <w:szCs w:val="24"/>
        </w:rPr>
        <w:t xml:space="preserve"> także, że składany jest on do m</w:t>
      </w:r>
      <w:r w:rsidRPr="00A570BF">
        <w:rPr>
          <w:rFonts w:ascii="Times New Roman" w:hAnsi="Times New Roman" w:cs="Times New Roman"/>
          <w:sz w:val="24"/>
          <w:szCs w:val="24"/>
        </w:rPr>
        <w:t>inistra</w:t>
      </w:r>
      <w:r w:rsidR="007974B8">
        <w:rPr>
          <w:rFonts w:ascii="Times New Roman" w:hAnsi="Times New Roman" w:cs="Times New Roman"/>
          <w:sz w:val="24"/>
          <w:szCs w:val="24"/>
        </w:rPr>
        <w:t xml:space="preserve"> właściwego</w:t>
      </w:r>
      <w:r w:rsidRPr="00A570BF">
        <w:rPr>
          <w:rFonts w:ascii="Times New Roman" w:hAnsi="Times New Roman" w:cs="Times New Roman"/>
          <w:sz w:val="24"/>
          <w:szCs w:val="24"/>
        </w:rPr>
        <w:t xml:space="preserve"> do spraw aktywów państwowych. Ustalono, że niewykorzystane środki zwracane są również do tego ww. </w:t>
      </w:r>
      <w:r w:rsidR="007974B8">
        <w:rPr>
          <w:rFonts w:ascii="Times New Roman" w:hAnsi="Times New Roman" w:cs="Times New Roman"/>
          <w:sz w:val="24"/>
          <w:szCs w:val="24"/>
        </w:rPr>
        <w:t>m</w:t>
      </w:r>
      <w:r w:rsidRPr="00A570BF">
        <w:rPr>
          <w:rFonts w:ascii="Times New Roman" w:hAnsi="Times New Roman" w:cs="Times New Roman"/>
          <w:sz w:val="24"/>
          <w:szCs w:val="24"/>
        </w:rPr>
        <w:t xml:space="preserve">inistra. </w:t>
      </w:r>
    </w:p>
    <w:p w14:paraId="7AA8D3FC" w14:textId="773A742D" w:rsidR="0039436A" w:rsidRPr="00A570BF" w:rsidRDefault="0039436A" w:rsidP="00A36BB8">
      <w:pPr>
        <w:autoSpaceDE w:val="0"/>
        <w:autoSpaceDN w:val="0"/>
        <w:adjustRightInd w:val="0"/>
        <w:spacing w:beforeLines="100" w:before="240" w:afterLines="100" w:after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70BF">
        <w:rPr>
          <w:rFonts w:ascii="Times New Roman" w:hAnsi="Times New Roman" w:cs="Times New Roman"/>
          <w:sz w:val="24"/>
          <w:szCs w:val="24"/>
        </w:rPr>
        <w:t>Dodano przepis wskazujący, że podmiot wypłacający publikuje na swojej stronie internetowej informację o łącznej kwocie rekompensat wypłaconych podmiotom wprowadzającym do obrotu na koniec danego miesiąca.</w:t>
      </w:r>
    </w:p>
    <w:p w14:paraId="6F1EF7A7" w14:textId="6C13B118" w:rsidR="0039436A" w:rsidRPr="00A36BB8" w:rsidRDefault="00A36BB8" w:rsidP="00A36BB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Lines="100" w:before="240" w:afterLines="100" w:after="240" w:line="36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BB8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BA53F3" w:rsidRPr="00A36BB8">
        <w:rPr>
          <w:rFonts w:ascii="Times New Roman" w:hAnsi="Times New Roman" w:cs="Times New Roman"/>
          <w:b/>
          <w:sz w:val="24"/>
          <w:szCs w:val="24"/>
        </w:rPr>
        <w:t xml:space="preserve">rt. </w:t>
      </w:r>
      <w:r w:rsidR="00DC261F" w:rsidRPr="00A36BB8">
        <w:rPr>
          <w:rFonts w:ascii="Times New Roman" w:hAnsi="Times New Roman" w:cs="Times New Roman"/>
          <w:b/>
          <w:sz w:val="24"/>
          <w:szCs w:val="24"/>
        </w:rPr>
        <w:t xml:space="preserve">25 </w:t>
      </w:r>
    </w:p>
    <w:p w14:paraId="1ED53217" w14:textId="6B33A9BA" w:rsidR="00286BA2" w:rsidRPr="00A570BF" w:rsidRDefault="0039436A" w:rsidP="00A36BB8">
      <w:pPr>
        <w:autoSpaceDE w:val="0"/>
        <w:autoSpaceDN w:val="0"/>
        <w:adjustRightInd w:val="0"/>
        <w:spacing w:beforeLines="100" w:before="240" w:afterLines="100" w:after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70BF">
        <w:rPr>
          <w:rFonts w:ascii="Times New Roman" w:hAnsi="Times New Roman" w:cs="Times New Roman"/>
          <w:sz w:val="24"/>
          <w:szCs w:val="24"/>
        </w:rPr>
        <w:t>Wprowadzono</w:t>
      </w:r>
      <w:r w:rsidR="00286BA2" w:rsidRPr="00A570BF">
        <w:rPr>
          <w:rFonts w:ascii="Times New Roman" w:hAnsi="Times New Roman" w:cs="Times New Roman"/>
          <w:sz w:val="24"/>
          <w:szCs w:val="24"/>
        </w:rPr>
        <w:t xml:space="preserve"> zmianę legislacyjną </w:t>
      </w:r>
      <w:r w:rsidR="006E7F2E" w:rsidRPr="00A570BF">
        <w:rPr>
          <w:rFonts w:ascii="Times New Roman" w:hAnsi="Times New Roman" w:cs="Times New Roman"/>
          <w:sz w:val="24"/>
          <w:szCs w:val="24"/>
        </w:rPr>
        <w:t>umożliwiającą finansowanie rekompensat z Funduszu Przeciwdziałania COVID-19</w:t>
      </w:r>
      <w:r w:rsidR="00F53D14" w:rsidRPr="00A570BF">
        <w:rPr>
          <w:rFonts w:ascii="Times New Roman" w:hAnsi="Times New Roman" w:cs="Times New Roman"/>
          <w:sz w:val="24"/>
          <w:szCs w:val="24"/>
        </w:rPr>
        <w:t xml:space="preserve"> (FPC)</w:t>
      </w:r>
      <w:r w:rsidR="006E7F2E" w:rsidRPr="00A570BF">
        <w:rPr>
          <w:rFonts w:ascii="Times New Roman" w:hAnsi="Times New Roman" w:cs="Times New Roman"/>
          <w:sz w:val="24"/>
          <w:szCs w:val="24"/>
        </w:rPr>
        <w:t>.</w:t>
      </w:r>
      <w:r w:rsidR="0077536B" w:rsidRPr="00A570BF">
        <w:rPr>
          <w:rFonts w:ascii="Times New Roman" w:hAnsi="Times New Roman" w:cs="Times New Roman"/>
          <w:sz w:val="24"/>
          <w:szCs w:val="24"/>
        </w:rPr>
        <w:t xml:space="preserve"> Ustawa z dnia 31 marca 2020 r. o szczególnych rozwiązaniach związanych z zapobieganiem, przeciwdziałaniem i zwalczaniem COVID-19, innych chorób zakaźnych oraz wywołanych nimi sytuacji kryzysowych oraz niektórych innych </w:t>
      </w:r>
      <w:r w:rsidR="0077536B" w:rsidRPr="00A570BF">
        <w:rPr>
          <w:rFonts w:ascii="Times New Roman" w:hAnsi="Times New Roman" w:cs="Times New Roman"/>
          <w:sz w:val="24"/>
          <w:szCs w:val="24"/>
        </w:rPr>
        <w:lastRenderedPageBreak/>
        <w:t xml:space="preserve">ustaw (Dz. U. poz. 568, z późn. zm.) przewiduje obecnie możliwość obejmowania gwarancjami Skarbu Państwa, w celu finansowania Funduszu Przeciwdziałania </w:t>
      </w:r>
      <w:r w:rsidR="00F53D14" w:rsidRPr="00A570BF">
        <w:rPr>
          <w:rFonts w:ascii="Times New Roman" w:hAnsi="Times New Roman" w:cs="Times New Roman"/>
          <w:sz w:val="24"/>
          <w:szCs w:val="24"/>
        </w:rPr>
        <w:t>COVID</w:t>
      </w:r>
      <w:r w:rsidR="0077536B" w:rsidRPr="00A570BF">
        <w:rPr>
          <w:rFonts w:ascii="Times New Roman" w:hAnsi="Times New Roman" w:cs="Times New Roman"/>
          <w:sz w:val="24"/>
          <w:szCs w:val="24"/>
        </w:rPr>
        <w:t>, jedynie obligacji emitowanych w kraju i za granicą przez Bank Gospodarstwa Krajowego. Projektowana zmiana ustawy ma na celu uelastycznienie możliwości pozyskiwania finansowania FPC nie tylko środkami pochodzącymi z emisji obligacji, ale również zasilenie go środkami z kredytów, w udzielaniu których zainteresowany jest Bank Światowy.</w:t>
      </w:r>
    </w:p>
    <w:p w14:paraId="7570526F" w14:textId="35A72728" w:rsidR="0039436A" w:rsidRPr="00A36BB8" w:rsidRDefault="00A36BB8" w:rsidP="00A36BB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Lines="100" w:before="240" w:afterLines="100" w:after="240" w:line="36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BB8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E86AF2" w:rsidRPr="00A36BB8">
        <w:rPr>
          <w:rFonts w:ascii="Times New Roman" w:hAnsi="Times New Roman" w:cs="Times New Roman"/>
          <w:b/>
          <w:sz w:val="24"/>
          <w:szCs w:val="24"/>
        </w:rPr>
        <w:t xml:space="preserve">rt. </w:t>
      </w:r>
      <w:r w:rsidR="00DC261F" w:rsidRPr="00A36BB8">
        <w:rPr>
          <w:rFonts w:ascii="Times New Roman" w:hAnsi="Times New Roman" w:cs="Times New Roman"/>
          <w:b/>
          <w:sz w:val="24"/>
          <w:szCs w:val="24"/>
        </w:rPr>
        <w:t xml:space="preserve">28 </w:t>
      </w:r>
    </w:p>
    <w:p w14:paraId="23B5E6B8" w14:textId="38B68EDF" w:rsidR="00286BA2" w:rsidRPr="00A570BF" w:rsidRDefault="0039436A" w:rsidP="00A36BB8">
      <w:pPr>
        <w:autoSpaceDE w:val="0"/>
        <w:autoSpaceDN w:val="0"/>
        <w:adjustRightInd w:val="0"/>
        <w:spacing w:beforeLines="100" w:before="240" w:afterLines="100" w:after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70BF">
        <w:rPr>
          <w:rFonts w:ascii="Times New Roman" w:hAnsi="Times New Roman" w:cs="Times New Roman"/>
          <w:sz w:val="24"/>
          <w:szCs w:val="24"/>
        </w:rPr>
        <w:t>Określono</w:t>
      </w:r>
      <w:r w:rsidR="00286BA2" w:rsidRPr="00A570BF">
        <w:rPr>
          <w:rFonts w:ascii="Times New Roman" w:hAnsi="Times New Roman" w:cs="Times New Roman"/>
          <w:sz w:val="24"/>
          <w:szCs w:val="24"/>
        </w:rPr>
        <w:t xml:space="preserve"> obowiązek dla </w:t>
      </w:r>
      <w:r w:rsidR="007974B8">
        <w:rPr>
          <w:rFonts w:ascii="Times New Roman" w:hAnsi="Times New Roman" w:cs="Times New Roman"/>
          <w:sz w:val="24"/>
          <w:szCs w:val="24"/>
        </w:rPr>
        <w:t>m</w:t>
      </w:r>
      <w:r w:rsidR="00F02860" w:rsidRPr="00A570BF">
        <w:rPr>
          <w:rFonts w:ascii="Times New Roman" w:hAnsi="Times New Roman" w:cs="Times New Roman"/>
          <w:sz w:val="24"/>
          <w:szCs w:val="24"/>
        </w:rPr>
        <w:t>inistra</w:t>
      </w:r>
      <w:r w:rsidR="007974B8">
        <w:rPr>
          <w:rFonts w:ascii="Times New Roman" w:hAnsi="Times New Roman" w:cs="Times New Roman"/>
          <w:sz w:val="24"/>
          <w:szCs w:val="24"/>
        </w:rPr>
        <w:t xml:space="preserve"> właściwego do spraw</w:t>
      </w:r>
      <w:r w:rsidR="00F02860" w:rsidRPr="00A570BF">
        <w:rPr>
          <w:rFonts w:ascii="Times New Roman" w:hAnsi="Times New Roman" w:cs="Times New Roman"/>
          <w:sz w:val="24"/>
          <w:szCs w:val="24"/>
        </w:rPr>
        <w:t xml:space="preserve"> aktywów państwowych </w:t>
      </w:r>
      <w:r w:rsidR="00286BA2" w:rsidRPr="00A570BF">
        <w:rPr>
          <w:rFonts w:ascii="Times New Roman" w:hAnsi="Times New Roman" w:cs="Times New Roman"/>
          <w:sz w:val="24"/>
          <w:szCs w:val="24"/>
        </w:rPr>
        <w:t xml:space="preserve">do </w:t>
      </w:r>
      <w:r w:rsidR="00EF11D6" w:rsidRPr="00A570BF">
        <w:rPr>
          <w:rFonts w:ascii="Times New Roman" w:hAnsi="Times New Roman" w:cs="Times New Roman"/>
          <w:sz w:val="24"/>
          <w:szCs w:val="24"/>
        </w:rPr>
        <w:t xml:space="preserve">wystąpienia do Prezesa Rady Ministrów o </w:t>
      </w:r>
      <w:r w:rsidR="00286BA2" w:rsidRPr="00A570BF">
        <w:rPr>
          <w:rFonts w:ascii="Times New Roman" w:hAnsi="Times New Roman" w:cs="Times New Roman"/>
          <w:sz w:val="24"/>
          <w:szCs w:val="24"/>
        </w:rPr>
        <w:t>dokonani</w:t>
      </w:r>
      <w:r w:rsidR="00EF11D6" w:rsidRPr="00A570BF">
        <w:rPr>
          <w:rFonts w:ascii="Times New Roman" w:hAnsi="Times New Roman" w:cs="Times New Roman"/>
          <w:sz w:val="24"/>
          <w:szCs w:val="24"/>
        </w:rPr>
        <w:t>e</w:t>
      </w:r>
      <w:r w:rsidR="00286BA2" w:rsidRPr="00A570BF">
        <w:rPr>
          <w:rFonts w:ascii="Times New Roman" w:hAnsi="Times New Roman" w:cs="Times New Roman"/>
          <w:sz w:val="24"/>
          <w:szCs w:val="24"/>
        </w:rPr>
        <w:t xml:space="preserve"> zmiany planu finansowego tego Funduszu</w:t>
      </w:r>
      <w:r w:rsidR="00EF11D6" w:rsidRPr="00A570BF">
        <w:rPr>
          <w:rFonts w:ascii="Times New Roman" w:hAnsi="Times New Roman" w:cs="Times New Roman"/>
          <w:sz w:val="24"/>
          <w:szCs w:val="24"/>
        </w:rPr>
        <w:t>.</w:t>
      </w:r>
      <w:r w:rsidR="00286BA2" w:rsidRPr="00A570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9EF18D" w14:textId="4BDC2550" w:rsidR="00A570BF" w:rsidRPr="00A36BB8" w:rsidRDefault="00A36BB8" w:rsidP="00A36BB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Lines="100" w:before="240" w:afterLines="100" w:after="240" w:line="36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BB8">
        <w:rPr>
          <w:rFonts w:ascii="Times New Roman" w:hAnsi="Times New Roman" w:cs="Times New Roman"/>
          <w:b/>
          <w:sz w:val="24"/>
          <w:szCs w:val="24"/>
        </w:rPr>
        <w:t>a</w:t>
      </w:r>
      <w:r w:rsidR="00C75B2A" w:rsidRPr="00A36BB8">
        <w:rPr>
          <w:rFonts w:ascii="Times New Roman" w:hAnsi="Times New Roman" w:cs="Times New Roman"/>
          <w:b/>
          <w:sz w:val="24"/>
          <w:szCs w:val="24"/>
        </w:rPr>
        <w:t xml:space="preserve">rt. </w:t>
      </w:r>
      <w:r w:rsidR="00DC261F" w:rsidRPr="00A36BB8">
        <w:rPr>
          <w:rFonts w:ascii="Times New Roman" w:hAnsi="Times New Roman" w:cs="Times New Roman"/>
          <w:b/>
          <w:sz w:val="24"/>
          <w:szCs w:val="24"/>
        </w:rPr>
        <w:t xml:space="preserve">31 </w:t>
      </w:r>
    </w:p>
    <w:p w14:paraId="4871DB93" w14:textId="104C84DB" w:rsidR="005E4519" w:rsidRPr="00A570BF" w:rsidRDefault="00A570BF" w:rsidP="00A36BB8">
      <w:pPr>
        <w:autoSpaceDE w:val="0"/>
        <w:autoSpaceDN w:val="0"/>
        <w:adjustRightInd w:val="0"/>
        <w:spacing w:beforeLines="100" w:before="240" w:afterLines="100" w:after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70BF">
        <w:rPr>
          <w:rFonts w:ascii="Times New Roman" w:hAnsi="Times New Roman" w:cs="Times New Roman"/>
          <w:sz w:val="24"/>
          <w:szCs w:val="24"/>
        </w:rPr>
        <w:t xml:space="preserve">Uzupełniono </w:t>
      </w:r>
      <w:r w:rsidR="005E4519" w:rsidRPr="00A570BF">
        <w:rPr>
          <w:rFonts w:ascii="Times New Roman" w:hAnsi="Times New Roman" w:cs="Times New Roman"/>
          <w:sz w:val="24"/>
          <w:szCs w:val="24"/>
        </w:rPr>
        <w:t>termin na złożenie pierwszego wniosku o rekompensatę</w:t>
      </w:r>
      <w:r w:rsidRPr="00A570BF">
        <w:rPr>
          <w:rFonts w:ascii="Times New Roman" w:hAnsi="Times New Roman" w:cs="Times New Roman"/>
          <w:sz w:val="24"/>
          <w:szCs w:val="24"/>
        </w:rPr>
        <w:t xml:space="preserve"> (od dnia 23 stycznia 2023 r. do dnia  25 lutego 2023 r.), a także zmieniono sankcję, dla podmiotu, który nie złoży wniosku w terminie (pozostawienie</w:t>
      </w:r>
      <w:r w:rsidR="00EF11D6" w:rsidRPr="00A570BF">
        <w:rPr>
          <w:rFonts w:ascii="Times New Roman" w:hAnsi="Times New Roman" w:cs="Times New Roman"/>
          <w:sz w:val="24"/>
          <w:szCs w:val="24"/>
        </w:rPr>
        <w:t xml:space="preserve"> wniosku bez rozpatrzenia</w:t>
      </w:r>
      <w:r w:rsidRPr="00A570BF">
        <w:rPr>
          <w:rFonts w:ascii="Times New Roman" w:hAnsi="Times New Roman" w:cs="Times New Roman"/>
          <w:sz w:val="24"/>
          <w:szCs w:val="24"/>
        </w:rPr>
        <w:t>).</w:t>
      </w:r>
    </w:p>
    <w:p w14:paraId="07578007" w14:textId="77777777" w:rsidR="00046536" w:rsidRPr="00A570BF" w:rsidRDefault="00046536" w:rsidP="00A36BB8">
      <w:pPr>
        <w:autoSpaceDE w:val="0"/>
        <w:autoSpaceDN w:val="0"/>
        <w:adjustRightInd w:val="0"/>
        <w:spacing w:beforeLines="100" w:before="240" w:afterLines="100" w:after="24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046536" w:rsidRPr="00A570BF" w:rsidSect="004E38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6" w:bottom="255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FCDA7A" w14:textId="77777777" w:rsidR="00611788" w:rsidRDefault="00611788" w:rsidP="00F71AD1">
      <w:pPr>
        <w:spacing w:after="0" w:line="240" w:lineRule="auto"/>
      </w:pPr>
      <w:r>
        <w:separator/>
      </w:r>
    </w:p>
  </w:endnote>
  <w:endnote w:type="continuationSeparator" w:id="0">
    <w:p w14:paraId="225AA0E8" w14:textId="77777777" w:rsidR="00611788" w:rsidRDefault="00611788" w:rsidP="00F71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061CF" w14:textId="77777777" w:rsidR="005A5905" w:rsidRDefault="005A590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0076537"/>
      <w:docPartObj>
        <w:docPartGallery w:val="Page Numbers (Bottom of Page)"/>
        <w:docPartUnique/>
      </w:docPartObj>
    </w:sdtPr>
    <w:sdtEndPr/>
    <w:sdtContent>
      <w:p w14:paraId="69206C2A" w14:textId="3F46FF41" w:rsidR="005A5905" w:rsidRDefault="005A590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7341">
          <w:rPr>
            <w:noProof/>
          </w:rPr>
          <w:t>2</w:t>
        </w:r>
        <w:r>
          <w:fldChar w:fldCharType="end"/>
        </w:r>
      </w:p>
    </w:sdtContent>
  </w:sdt>
  <w:p w14:paraId="1BE27242" w14:textId="77777777" w:rsidR="005A5905" w:rsidRDefault="005A590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C329D" w14:textId="77777777" w:rsidR="005A5905" w:rsidRDefault="005A59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ECA8B8" w14:textId="77777777" w:rsidR="00611788" w:rsidRDefault="00611788" w:rsidP="00F71AD1">
      <w:pPr>
        <w:spacing w:after="0" w:line="240" w:lineRule="auto"/>
      </w:pPr>
      <w:r>
        <w:separator/>
      </w:r>
    </w:p>
  </w:footnote>
  <w:footnote w:type="continuationSeparator" w:id="0">
    <w:p w14:paraId="237338BF" w14:textId="77777777" w:rsidR="00611788" w:rsidRDefault="00611788" w:rsidP="00F71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81B37" w14:textId="77777777" w:rsidR="005A5905" w:rsidRDefault="005A590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F86FB" w14:textId="77777777" w:rsidR="005A5905" w:rsidRDefault="005A590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62D95" w14:textId="77777777" w:rsidR="005A5905" w:rsidRDefault="005A59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F232D7"/>
    <w:multiLevelType w:val="hybridMultilevel"/>
    <w:tmpl w:val="96C460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10"/>
    <w:rsid w:val="00000081"/>
    <w:rsid w:val="000029A4"/>
    <w:rsid w:val="000236B6"/>
    <w:rsid w:val="00023774"/>
    <w:rsid w:val="00044D04"/>
    <w:rsid w:val="00046536"/>
    <w:rsid w:val="000600A2"/>
    <w:rsid w:val="000615A8"/>
    <w:rsid w:val="00062622"/>
    <w:rsid w:val="0006430F"/>
    <w:rsid w:val="00064575"/>
    <w:rsid w:val="0007798E"/>
    <w:rsid w:val="00092514"/>
    <w:rsid w:val="00094748"/>
    <w:rsid w:val="000B3CC6"/>
    <w:rsid w:val="000B767D"/>
    <w:rsid w:val="000C627B"/>
    <w:rsid w:val="000C67EB"/>
    <w:rsid w:val="000D3FC2"/>
    <w:rsid w:val="000F5C4A"/>
    <w:rsid w:val="0011348E"/>
    <w:rsid w:val="00120EB1"/>
    <w:rsid w:val="001322AE"/>
    <w:rsid w:val="001408C2"/>
    <w:rsid w:val="001438AD"/>
    <w:rsid w:val="001552D3"/>
    <w:rsid w:val="001563BA"/>
    <w:rsid w:val="001565F5"/>
    <w:rsid w:val="001A3EB4"/>
    <w:rsid w:val="001B1632"/>
    <w:rsid w:val="001C33C2"/>
    <w:rsid w:val="001D5304"/>
    <w:rsid w:val="001E6315"/>
    <w:rsid w:val="001F10EE"/>
    <w:rsid w:val="001F4841"/>
    <w:rsid w:val="00202778"/>
    <w:rsid w:val="00202B3B"/>
    <w:rsid w:val="00204A1D"/>
    <w:rsid w:val="00212640"/>
    <w:rsid w:val="00220558"/>
    <w:rsid w:val="00242F0F"/>
    <w:rsid w:val="00280CA3"/>
    <w:rsid w:val="00286BA2"/>
    <w:rsid w:val="002A02D2"/>
    <w:rsid w:val="002A4255"/>
    <w:rsid w:val="002A7723"/>
    <w:rsid w:val="002D2612"/>
    <w:rsid w:val="002D36E4"/>
    <w:rsid w:val="002D7B71"/>
    <w:rsid w:val="002E02E6"/>
    <w:rsid w:val="002E33B5"/>
    <w:rsid w:val="002E568D"/>
    <w:rsid w:val="002E7F46"/>
    <w:rsid w:val="002F7B42"/>
    <w:rsid w:val="003324BA"/>
    <w:rsid w:val="003755FB"/>
    <w:rsid w:val="00381E9E"/>
    <w:rsid w:val="00382A24"/>
    <w:rsid w:val="003934E3"/>
    <w:rsid w:val="003940F8"/>
    <w:rsid w:val="0039436A"/>
    <w:rsid w:val="00396ED1"/>
    <w:rsid w:val="003A6A42"/>
    <w:rsid w:val="003B1684"/>
    <w:rsid w:val="003B58C2"/>
    <w:rsid w:val="003B667A"/>
    <w:rsid w:val="003D5E3E"/>
    <w:rsid w:val="003D7C02"/>
    <w:rsid w:val="003E6258"/>
    <w:rsid w:val="003F1BC7"/>
    <w:rsid w:val="003F2857"/>
    <w:rsid w:val="00451578"/>
    <w:rsid w:val="004517DE"/>
    <w:rsid w:val="0046140B"/>
    <w:rsid w:val="00480E14"/>
    <w:rsid w:val="00481C91"/>
    <w:rsid w:val="00487A05"/>
    <w:rsid w:val="004A2E0F"/>
    <w:rsid w:val="004C59B4"/>
    <w:rsid w:val="004C773C"/>
    <w:rsid w:val="004D5A61"/>
    <w:rsid w:val="004E38FB"/>
    <w:rsid w:val="004E6370"/>
    <w:rsid w:val="004F0B7F"/>
    <w:rsid w:val="004F3074"/>
    <w:rsid w:val="0050271B"/>
    <w:rsid w:val="00526FED"/>
    <w:rsid w:val="0053223A"/>
    <w:rsid w:val="00542EEA"/>
    <w:rsid w:val="005508AE"/>
    <w:rsid w:val="00572C2E"/>
    <w:rsid w:val="005759B8"/>
    <w:rsid w:val="0057716E"/>
    <w:rsid w:val="005812CC"/>
    <w:rsid w:val="00594905"/>
    <w:rsid w:val="00594E07"/>
    <w:rsid w:val="005A5905"/>
    <w:rsid w:val="005E4519"/>
    <w:rsid w:val="005F5D33"/>
    <w:rsid w:val="0060365A"/>
    <w:rsid w:val="00611788"/>
    <w:rsid w:val="00612D0A"/>
    <w:rsid w:val="00615BA4"/>
    <w:rsid w:val="00623E6E"/>
    <w:rsid w:val="00625948"/>
    <w:rsid w:val="0066582D"/>
    <w:rsid w:val="00672A69"/>
    <w:rsid w:val="006736AE"/>
    <w:rsid w:val="00692BBC"/>
    <w:rsid w:val="006A0BA9"/>
    <w:rsid w:val="006C2500"/>
    <w:rsid w:val="006C79F2"/>
    <w:rsid w:val="006D5BE6"/>
    <w:rsid w:val="006D63A4"/>
    <w:rsid w:val="006E7F2E"/>
    <w:rsid w:val="00705F22"/>
    <w:rsid w:val="007064FE"/>
    <w:rsid w:val="00722510"/>
    <w:rsid w:val="0073532A"/>
    <w:rsid w:val="00736C8F"/>
    <w:rsid w:val="00742A68"/>
    <w:rsid w:val="007435C3"/>
    <w:rsid w:val="00747365"/>
    <w:rsid w:val="0075709E"/>
    <w:rsid w:val="00765FC1"/>
    <w:rsid w:val="0077536B"/>
    <w:rsid w:val="007974B8"/>
    <w:rsid w:val="007A045F"/>
    <w:rsid w:val="007A6891"/>
    <w:rsid w:val="007C2631"/>
    <w:rsid w:val="007C50BE"/>
    <w:rsid w:val="007F144F"/>
    <w:rsid w:val="0082481E"/>
    <w:rsid w:val="008454B5"/>
    <w:rsid w:val="00851CA0"/>
    <w:rsid w:val="00853120"/>
    <w:rsid w:val="00853795"/>
    <w:rsid w:val="008552C1"/>
    <w:rsid w:val="008B12BE"/>
    <w:rsid w:val="008D5B86"/>
    <w:rsid w:val="008E6CA8"/>
    <w:rsid w:val="008F14C2"/>
    <w:rsid w:val="008F1F33"/>
    <w:rsid w:val="00900A0F"/>
    <w:rsid w:val="00922A15"/>
    <w:rsid w:val="00930791"/>
    <w:rsid w:val="00936D02"/>
    <w:rsid w:val="00960C08"/>
    <w:rsid w:val="00985C71"/>
    <w:rsid w:val="009A1262"/>
    <w:rsid w:val="009A6365"/>
    <w:rsid w:val="009B173D"/>
    <w:rsid w:val="009D27A6"/>
    <w:rsid w:val="009E0125"/>
    <w:rsid w:val="009F31B2"/>
    <w:rsid w:val="00A332AE"/>
    <w:rsid w:val="00A33E74"/>
    <w:rsid w:val="00A35D4B"/>
    <w:rsid w:val="00A36BB8"/>
    <w:rsid w:val="00A570BF"/>
    <w:rsid w:val="00A619E5"/>
    <w:rsid w:val="00AE2358"/>
    <w:rsid w:val="00AF61BE"/>
    <w:rsid w:val="00B0137F"/>
    <w:rsid w:val="00B0465D"/>
    <w:rsid w:val="00B47FA5"/>
    <w:rsid w:val="00B57824"/>
    <w:rsid w:val="00B620EF"/>
    <w:rsid w:val="00B65FA7"/>
    <w:rsid w:val="00BA53F3"/>
    <w:rsid w:val="00BA7DEF"/>
    <w:rsid w:val="00BB2FBC"/>
    <w:rsid w:val="00BB62AB"/>
    <w:rsid w:val="00BC3BA6"/>
    <w:rsid w:val="00BC3EDB"/>
    <w:rsid w:val="00BD05BF"/>
    <w:rsid w:val="00BE0CE3"/>
    <w:rsid w:val="00BE4763"/>
    <w:rsid w:val="00BF208A"/>
    <w:rsid w:val="00C32C14"/>
    <w:rsid w:val="00C3410F"/>
    <w:rsid w:val="00C42364"/>
    <w:rsid w:val="00C54ED6"/>
    <w:rsid w:val="00C6153B"/>
    <w:rsid w:val="00C6258B"/>
    <w:rsid w:val="00C67E6A"/>
    <w:rsid w:val="00C67F62"/>
    <w:rsid w:val="00C72251"/>
    <w:rsid w:val="00C72D10"/>
    <w:rsid w:val="00C75B2A"/>
    <w:rsid w:val="00C93B54"/>
    <w:rsid w:val="00C96B31"/>
    <w:rsid w:val="00CA68A8"/>
    <w:rsid w:val="00CB6A36"/>
    <w:rsid w:val="00CD7341"/>
    <w:rsid w:val="00D31412"/>
    <w:rsid w:val="00D527F6"/>
    <w:rsid w:val="00D5413F"/>
    <w:rsid w:val="00D77B93"/>
    <w:rsid w:val="00D77E07"/>
    <w:rsid w:val="00D8429A"/>
    <w:rsid w:val="00D917AB"/>
    <w:rsid w:val="00DA55F7"/>
    <w:rsid w:val="00DB1C73"/>
    <w:rsid w:val="00DB39B9"/>
    <w:rsid w:val="00DC1B1C"/>
    <w:rsid w:val="00DC261F"/>
    <w:rsid w:val="00DC6D2C"/>
    <w:rsid w:val="00DD4F9E"/>
    <w:rsid w:val="00E17B6D"/>
    <w:rsid w:val="00E2110B"/>
    <w:rsid w:val="00E2741A"/>
    <w:rsid w:val="00E622B8"/>
    <w:rsid w:val="00E6637A"/>
    <w:rsid w:val="00E67174"/>
    <w:rsid w:val="00E86AF2"/>
    <w:rsid w:val="00E90767"/>
    <w:rsid w:val="00EB2150"/>
    <w:rsid w:val="00ED1CF5"/>
    <w:rsid w:val="00ED3907"/>
    <w:rsid w:val="00EE6EB9"/>
    <w:rsid w:val="00EF11D6"/>
    <w:rsid w:val="00EF140A"/>
    <w:rsid w:val="00F003CB"/>
    <w:rsid w:val="00F01F10"/>
    <w:rsid w:val="00F02860"/>
    <w:rsid w:val="00F0358F"/>
    <w:rsid w:val="00F13749"/>
    <w:rsid w:val="00F16CB7"/>
    <w:rsid w:val="00F24FD8"/>
    <w:rsid w:val="00F47868"/>
    <w:rsid w:val="00F53D14"/>
    <w:rsid w:val="00F6290D"/>
    <w:rsid w:val="00F70E3C"/>
    <w:rsid w:val="00F71AD1"/>
    <w:rsid w:val="00F741B1"/>
    <w:rsid w:val="00F90CE2"/>
    <w:rsid w:val="00F97568"/>
    <w:rsid w:val="00FC16C0"/>
    <w:rsid w:val="00FE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B8EE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4841"/>
    <w:pPr>
      <w:spacing w:after="160" w:line="259" w:lineRule="auto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322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B620EF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625948"/>
    <w:rPr>
      <w:b/>
      <w:bCs w:val="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2A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22A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2A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2A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2A1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A15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322A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1AD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1AD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1AD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71A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1AD1"/>
  </w:style>
  <w:style w:type="paragraph" w:styleId="Stopka">
    <w:name w:val="footer"/>
    <w:basedOn w:val="Normalny"/>
    <w:link w:val="StopkaZnak"/>
    <w:uiPriority w:val="99"/>
    <w:unhideWhenUsed/>
    <w:rsid w:val="00F71A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1AD1"/>
  </w:style>
  <w:style w:type="paragraph" w:customStyle="1" w:styleId="LITlitera">
    <w:name w:val="LIT – litera"/>
    <w:basedOn w:val="Normalny"/>
    <w:uiPriority w:val="14"/>
    <w:qFormat/>
    <w:rsid w:val="00CB6A36"/>
    <w:pPr>
      <w:spacing w:after="0" w:line="360" w:lineRule="auto"/>
      <w:ind w:left="986" w:hanging="476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747365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705F22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CZWSPPKTczwsplnapunktw">
    <w:name w:val="CZ_WSP_PKT – część wspólna punktów"/>
    <w:basedOn w:val="PKTpunkt"/>
    <w:next w:val="USTustnpkodeksu"/>
    <w:uiPriority w:val="19"/>
    <w:qFormat/>
    <w:rsid w:val="00705F22"/>
    <w:pPr>
      <w:ind w:left="0" w:firstLine="0"/>
    </w:pPr>
  </w:style>
  <w:style w:type="paragraph" w:styleId="Akapitzlist">
    <w:name w:val="List Paragraph"/>
    <w:basedOn w:val="Normalny"/>
    <w:uiPriority w:val="34"/>
    <w:qFormat/>
    <w:rsid w:val="00A36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8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32858-6ED3-40FD-A80B-14B426CC2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1171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2022-10-17T16:17:00Z</dcterms:created>
  <dcterms:modified xsi:type="dcterms:W3CDTF">2022-10-17T16:17:00Z</dcterms:modified>
</cp:coreProperties>
</file>