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cs="Calibri" w:cstheme="minorHAnsi"/>
          <w:sz w:val="20"/>
          <w:szCs w:val="20"/>
        </w:rPr>
      </w:pPr>
      <w:bookmarkStart w:id="0" w:name="_GoBack"/>
      <w:bookmarkEnd w:id="0"/>
      <w:r>
        <w:rPr>
          <w:rStyle w:val="Markedcontent"/>
          <w:rFonts w:cs="Calibri" w:cstheme="minorHAnsi"/>
          <w:sz w:val="20"/>
          <w:szCs w:val="20"/>
        </w:rPr>
        <w:t xml:space="preserve">Zagadnienia z zakresu finansów samorządu wynikające z ustawy z dnia 12 marca 2022 r. o pomocy obywatelom Ukrainy w związku z konfliktem zbrojnym na terytorium tego państwa  </w:t>
      </w:r>
    </w:p>
    <w:p>
      <w:pPr>
        <w:pStyle w:val="Normal"/>
        <w:rPr>
          <w:rStyle w:val="Markedcontent"/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/>
      </w:pPr>
      <w:r>
        <w:rPr/>
        <w:t>Najważniejsze zagadnienia w zakresie finansów:</w:t>
      </w:r>
    </w:p>
    <w:p>
      <w:pPr>
        <w:pStyle w:val="ListParagraph"/>
        <w:numPr>
          <w:ilvl w:val="0"/>
          <w:numId w:val="5"/>
        </w:numPr>
        <w:rPr/>
      </w:pPr>
      <w:r>
        <w:rPr/>
        <w:t>Na podstawie art. 12 samorząd może wydatkować własne środki na pomoc obywatelom Ukrainie którzy przybyli na terytorium Polski z powodu działań wojennych. Wg tego przepisu samorząd może pokrywać wydatki na zakwaterowanie, wyżywienie, transport, zapewnienie środków czystości i higieny osobistej i innych produktów.</w:t>
      </w:r>
    </w:p>
    <w:p>
      <w:pPr>
        <w:pStyle w:val="ListParagraph"/>
        <w:numPr>
          <w:ilvl w:val="0"/>
          <w:numId w:val="1"/>
        </w:numPr>
        <w:rPr/>
      </w:pPr>
      <w:r>
        <w:rPr/>
        <w:t>W myśl art. 98 ustawy zostały usankcjonowane wydatki samorządu poniesione od 24 lutego 2022r.  na pomoc obywatelom Ukrainy i wsparcie społeczności regionalnych;</w:t>
      </w:r>
    </w:p>
    <w:p>
      <w:pPr>
        <w:pStyle w:val="ListParagraph"/>
        <w:numPr>
          <w:ilvl w:val="0"/>
          <w:numId w:val="1"/>
        </w:numPr>
        <w:rPr/>
      </w:pPr>
      <w:r>
        <w:rPr/>
        <w:t>Przy BKG ma być utworzony Fundusz Pomocy – art. 14 ustawy (podobne działania jak Fundusz covid) w celu finansowania lub dofinansowania realizacji zadań na rzecz pomocy Ukrainie, w szczególności obywatelom Ukrainy dotkniętym konfliktem zbrojnym  w tym zadań realizowanych na terytorium Polski jak i poza nim.</w:t>
      </w:r>
    </w:p>
    <w:p>
      <w:pPr>
        <w:pStyle w:val="ListParagraph"/>
        <w:rPr>
          <w:b/>
          <w:b/>
        </w:rPr>
      </w:pPr>
      <w:r>
        <w:rPr/>
        <w:t xml:space="preserve">Środki gromadzone są na wyodrębnionym rachunku bankowym, ma być opracowany plan finansowy tego rachunku, oraz </w:t>
      </w:r>
      <w:r>
        <w:rPr>
          <w:u w:val="single"/>
        </w:rPr>
        <w:t>co kwartał mają być sporządzane raporty o niewykorzystanych środkach</w:t>
      </w:r>
      <w:r>
        <w:rPr>
          <w:b/>
        </w:rPr>
        <w:t xml:space="preserve">. </w:t>
      </w:r>
    </w:p>
    <w:p>
      <w:pPr>
        <w:pStyle w:val="ListParagraph"/>
        <w:rPr/>
      </w:pPr>
      <w:r>
        <w:rPr/>
        <w:t xml:space="preserve">Fundusz  pokrywa wydatki za okres od 24 lutego do 31 grudnia 2022r. Środki mogą być przeznaczone na finansowanie, dofinansowanie realizacji zadań oraz zwrot wydatków i kosztów poniesionych również w przypadku gdy ustawa wskazuje, że finansowanie zadania będzie  z dotacji z budżetu państwa; </w:t>
      </w:r>
    </w:p>
    <w:p>
      <w:pPr>
        <w:pStyle w:val="ListParagraph"/>
        <w:numPr>
          <w:ilvl w:val="0"/>
          <w:numId w:val="1"/>
        </w:numPr>
        <w:rPr/>
      </w:pPr>
      <w:r>
        <w:rPr>
          <w:u w:val="single"/>
        </w:rPr>
        <w:t>Klasyfikowanie środków z Funduszu Pomocy po stronie dochodowej</w:t>
      </w:r>
      <w:r>
        <w:rPr/>
        <w:t xml:space="preserve"> w budżetach samorządu podobnie jak było z funduszem covid (środki z funduszu nie stanowią dotacji w rozumieniu ustawy o finansach publicznych) - przed ew. zmianą klasyfikacji budżetowej i wprowadzeniem nowych, dedykowanych paragrafów do tego funduszu pomocy, tj. w następującej klasyfikacji:</w:t>
      </w:r>
    </w:p>
    <w:tbl>
      <w:tblPr>
        <w:tblW w:w="6060" w:type="dxa"/>
        <w:jc w:val="left"/>
        <w:tblInd w:w="105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9"/>
        <w:gridCol w:w="5120"/>
      </w:tblGrid>
      <w:tr>
        <w:trPr>
          <w:trHeight w:val="562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2700</w:t>
            </w:r>
          </w:p>
        </w:tc>
        <w:tc>
          <w:tcPr>
            <w:tcW w:w="5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Środki na dofinansowanie własnych zadań bieżących gmin, powiatów (związków gmin, związków powiatowo-gminnych, związków powiatów), samorządów województw, pozyskane z innych źródeł </w:t>
            </w:r>
          </w:p>
        </w:tc>
      </w:tr>
      <w:tr>
        <w:trPr>
          <w:trHeight w:val="650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6290</w:t>
            </w:r>
          </w:p>
        </w:tc>
        <w:tc>
          <w:tcPr>
            <w:tcW w:w="5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Środki na dofinansowanie własnych inwestycji gmin, powiatów (związków gmin, związków powiatowo-gminnych, związków powiatów), samorządów województw, pozyskane z innych źródeł </w:t>
            </w:r>
          </w:p>
        </w:tc>
      </w:tr>
    </w:tbl>
    <w:p>
      <w:pPr>
        <w:pStyle w:val="ListParagraph"/>
        <w:rPr/>
      </w:pPr>
      <w:r>
        <w:rPr/>
        <w:t>W budżecie dodatkowo konieczność opracowania załącznika, który określi dochody i wydatki  dot. zadań realizowanych z Funduszu Pomocy (art. 112, art. 237  ustawy o finansach publicznych  szczegółowe zasady wykonywania budżetu). Konieczność  wyodrębnienia w ewidencji księgowej  operacji finansowych w powyższym zakresie w celu sporządzenia sprawozdań finansowych, innych  rozliczeń oraz opracowania planu finansowego dla wydzielonego rachunku dochodów pochodzących ze środków Funduszu Pomocy  (wg klasyfikacji budżetowej: dział, rozdział, paragraf )</w:t>
      </w:r>
    </w:p>
    <w:p>
      <w:pPr>
        <w:pStyle w:val="ListParagraph"/>
        <w:rPr/>
      </w:pPr>
      <w:r>
        <w:rPr>
          <w:u w:val="single"/>
        </w:rPr>
        <w:t>Klasyfikacja wydatków zgodnie z ich przeznaczeniem (</w:t>
      </w:r>
      <w:r>
        <w:rPr/>
        <w:t>np.:pomoc społeczne dział 852, pozostałe zadania – 853, oświata i wychowanie – dział 801, edukacyjna opieka wychowawcza dział – 854 itp.).</w:t>
      </w:r>
    </w:p>
    <w:p>
      <w:pPr>
        <w:pStyle w:val="ListParagraph"/>
        <w:numPr>
          <w:ilvl w:val="0"/>
          <w:numId w:val="1"/>
        </w:numPr>
        <w:rPr/>
      </w:pPr>
      <w:r>
        <w:rPr/>
        <w:t>Samorządowy zakład budżetowy realizujący zadania z zakresu pomocy może otrzymać dotację która przekroczy 50 % kosztów jego działalności (art. 108);</w:t>
      </w:r>
    </w:p>
    <w:p>
      <w:pPr>
        <w:pStyle w:val="ListParagraph"/>
        <w:numPr>
          <w:ilvl w:val="0"/>
          <w:numId w:val="1"/>
        </w:numPr>
        <w:rPr/>
      </w:pPr>
      <w:r>
        <w:rPr>
          <w:u w:val="single"/>
        </w:rPr>
        <w:t>Poluzowanie reguły art. 242</w:t>
      </w:r>
      <w:r>
        <w:rPr/>
        <w:t xml:space="preserve"> –tj ustalając relację, o której mowa w art. 242 planowane wydatki bieżące pomniejsza się o planowane wydatki bieżące ponoszone w celu realizacji zadań związanych z pomocą obywatelom Ukrainy w związku z konfliktem , w jakiej nie są one finansowane środkami publicznymi otrzymanymi przez jednostkę na ten cel (art.110) ;</w:t>
      </w:r>
    </w:p>
    <w:p>
      <w:pPr>
        <w:pStyle w:val="ListParagraph"/>
        <w:numPr>
          <w:ilvl w:val="0"/>
          <w:numId w:val="1"/>
        </w:numPr>
        <w:rPr/>
      </w:pPr>
      <w:r>
        <w:rPr>
          <w:u w:val="single"/>
        </w:rPr>
        <w:t>Poluzowanie art.243</w:t>
      </w:r>
      <w:r>
        <w:rPr/>
        <w:t>, tj. ustalając relację ograniczającą wysokość spłaty długu jednostki samorządu terytorialnego na rok 2023 i lata kolejne, wydatki bieżące budżetu tej jednostki podlegają pomniejszeniu o wydatki bieżące poniesione w celu realizacji zadań związanych z pomocą obywatelom Ukrainy w związku z konfliktem zbrojnym na terytorium tego państwa w części, w jakiej nie są one finansowane środkami publicznymi otrzymanymi przez jednostkę na ten cel (art.110);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Na podstawie art. 111 ustawy organ stanowiący </w:t>
      </w:r>
      <w:r>
        <w:rPr>
          <w:u w:val="single"/>
        </w:rPr>
        <w:t>może upoważnić zarząd w</w:t>
      </w:r>
      <w:r>
        <w:rPr>
          <w:i/>
          <w:u w:val="single"/>
        </w:rPr>
        <w:t> celu realizacji zadań związanych z pomocą obywatelom Ukrainy w związku z konfliktem zbrojnym na terytorium tego państwa</w:t>
      </w:r>
      <w:r>
        <w:rPr>
          <w:i/>
        </w:rPr>
        <w:t xml:space="preserve">, </w:t>
      </w:r>
      <w:r>
        <w:rPr/>
        <w:t xml:space="preserve">do: </w:t>
      </w:r>
    </w:p>
    <w:p>
      <w:pPr>
        <w:pStyle w:val="ListParagraph"/>
        <w:rPr/>
      </w:pPr>
      <w:r>
        <w:rPr/>
        <w:t xml:space="preserve">1) dokonania zmian w planie dochodów i wydatków budżetu jednostki samorządu terytorialnego, w tym dokonywania przeniesień wydatków między działami klasyfikacji budżetowej; </w:t>
      </w:r>
    </w:p>
    <w:p>
      <w:pPr>
        <w:pStyle w:val="ListParagraph"/>
        <w:rPr/>
      </w:pPr>
      <w:r>
        <w:rPr/>
        <w:t xml:space="preserve">2) dokonywania czynności, o których mowa w art. 258 ust. 1 pkt 2 i 3 ustawy z dnia 27 sierpnia 2009 r. o finansach publicznych; </w:t>
      </w:r>
    </w:p>
    <w:p>
      <w:pPr>
        <w:pStyle w:val="ListParagraph"/>
        <w:rPr>
          <w:sz w:val="24"/>
          <w:szCs w:val="24"/>
        </w:rPr>
      </w:pPr>
      <w:r>
        <w:rPr/>
        <w:t>3) dokonywania zmian w wieloletniej prognozie finansowej oraz w planie wydatków budżetu jednostki samorządu terytorialnego związanych z wprowadzeniem nowych inwestycji lub</w:t>
      </w:r>
      <w:r>
        <w:rPr>
          <w:sz w:val="24"/>
          <w:szCs w:val="24"/>
        </w:rPr>
        <w:t xml:space="preserve"> </w:t>
      </w:r>
      <w:r>
        <w:rPr/>
        <w:t>zakupów inwestycyjnych przez jednostkę, o ile zmiana ta nie pogorszy wyniku budżetu tej jednostk</w:t>
      </w:r>
      <w:r>
        <w:rPr>
          <w:sz w:val="24"/>
          <w:szCs w:val="24"/>
        </w:rPr>
        <w:t>i.</w:t>
      </w:r>
    </w:p>
    <w:p>
      <w:pPr>
        <w:pStyle w:val="ListParagraph"/>
        <w:numPr>
          <w:ilvl w:val="0"/>
          <w:numId w:val="1"/>
        </w:numPr>
        <w:rPr/>
      </w:pPr>
      <w:r>
        <w:rPr/>
        <w:t>Dotacje z budżetu państwa na dofinansowanie zadań związanych z pomocą mogą być wyższe niż 80 % kosztów realizacji zadań (art. 113);</w:t>
      </w:r>
    </w:p>
    <w:p>
      <w:pPr>
        <w:pStyle w:val="ListParagraph"/>
        <w:numPr>
          <w:ilvl w:val="0"/>
          <w:numId w:val="1"/>
        </w:numPr>
        <w:rPr/>
      </w:pPr>
      <w:r>
        <w:rPr/>
        <w:t>Na zadania oświatowe samorząd może otrzymać środki z rezerwy części oświatowej subwencji ogólnej lub Funduszu (art. 50);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Z budżetu państwa mogą być przekazywane dotacje celowe na zadania z zakresu administracji rządowej, np.: na jednorazowe świadczenie pieniężne dla obywatela Ukrainy – 300 zł na wyżywienie zakup środków higieny osobistej i inne wydatki (samorząd na koszty obsługi tego zadania otrzyma 2 %), na zapewnienie pomocy psychologicznej, na sprawy obywatelskie, w tym na wykonanie fotografii związane z wydaniem dowodu osobistego obywatelowi Ukrainy. Ponadto samorząd będzie udzielał świadczenia pieniężnego </w:t>
      </w:r>
      <w:r>
        <w:rPr>
          <w:u w:val="single"/>
        </w:rPr>
        <w:t>podmiotom,</w:t>
      </w:r>
      <w:r>
        <w:rPr/>
        <w:t xml:space="preserve"> w tym z osobom fizycznym prowadzącej gospodarstwo domowe które zapewni zakwaterowanie i wyżywienie obywatelowi Ukrainy  na okres nie dłuższy niż 60 dni (40 zł dziennie dla 1 osoby)</w:t>
      </w:r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/>
        <w:t xml:space="preserve">W myśl spec ustawy (art. 73 dla gminy) samorządy mogą udzielać pomocy, w tym finansowej społecznościom </w:t>
      </w:r>
      <w:r>
        <w:rPr>
          <w:color w:val="000000" w:themeColor="text1"/>
        </w:rPr>
        <w:t>lokalnym innych państw. Podstawą udzielenia pomocy jest uchwała organu stanowiącego (w klasyfikacji budżetowej brak jest  odpowiedniego paragrafu wydatkowego – obecny paragraf wydatki bieżące np. 271 – brzmi dotacja celowa na pomoc finansową udzieloną między JST na dofinansowanie własnych zadań bieżących).</w:t>
      </w:r>
    </w:p>
    <w:p>
      <w:pPr>
        <w:pStyle w:val="ListParagraph"/>
        <w:numPr>
          <w:ilvl w:val="0"/>
          <w:numId w:val="1"/>
        </w:numPr>
        <w:rPr/>
      </w:pPr>
      <w:r>
        <w:rPr>
          <w:color w:val="000000" w:themeColor="text1"/>
        </w:rPr>
        <w:t xml:space="preserve">Dokonano zmiany w </w:t>
      </w:r>
      <w:r>
        <w:rPr/>
        <w:t xml:space="preserve"> ustawie o finansach publicznych w art. 249 polegającej na dodaniu możliwości ujmowania w planie finansowym samorządowej jednostki budżetowej, innej niż urząd marszałkowski, starostwo powiatowe, urząd gminy, dotacji związanych z realizacją programów operacyjnych oraz innych dotacji, w tym udzielane na finansowanie lub dofinansowanie realizacji zadania publicznego organizacjom pozarządowym (art. 83) – </w:t>
      </w:r>
      <w:r>
        <w:rPr>
          <w:i/>
        </w:rPr>
        <w:t>powyższa możliwość jest sprzeczna z innymi zapisami ustawy, dlatego też zapis może być martwy</w:t>
      </w:r>
      <w:r>
        <w:rPr/>
        <w:t>;</w:t>
      </w:r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 podstawie art. 112 ustawy rada miasta na prawach powiatu może podjąć uchwałę w sprawie zadań wybranych z trybie budżetu obywatelskiego – w zakresie:</w:t>
      </w:r>
    </w:p>
    <w:p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nieprzeprowadzania konsultacji do zadań przewidzianych do realizacji w 2024r.</w:t>
      </w:r>
    </w:p>
    <w:p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zawieszenia konsultacji do zadań przewidzianych do realizacji w 2023r. wraz z określeniem zasad i harmonogramu postępowania ze zgłoszonymi projektami przewidzianymi na 2023 r.</w:t>
      </w:r>
    </w:p>
    <w:p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zawieszenia w 2022r. realizacji niektórych zadań, poza zadaniami które zostały rozpoczęte.</w:t>
      </w:r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 ustawie są wymienione zadania przewidziane do realizacji przez samorząd bez precyzyjnego zapisu zapewniającego finansowanie z budżetu państwa, tj.</w:t>
      </w:r>
    </w:p>
    <w:p>
      <w:pPr>
        <w:pStyle w:val="ListParagraph"/>
        <w:numPr>
          <w:ilvl w:val="0"/>
          <w:numId w:val="2"/>
        </w:numPr>
        <w:ind w:left="1560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w zakresie refundacji obniżki w opłatach za żłobki </w:t>
      </w:r>
    </w:p>
    <w:p>
      <w:pPr>
        <w:pStyle w:val="USTustnpkodeksu"/>
        <w:numPr>
          <w:ilvl w:val="0"/>
          <w:numId w:val="2"/>
        </w:numPr>
        <w:spacing w:lineRule="auto" w:line="240"/>
        <w:ind w:left="1560" w:hanging="360"/>
        <w:rPr>
          <w:rFonts w:ascii="Calibri" w:hAnsi="Calibri" w:eastAsia="Calibri" w:cs="Calibri" w:eastAsiaTheme="minorHAnsi"/>
          <w:bCs w:val="false"/>
          <w:color w:val="000000" w:themeColor="text1"/>
          <w:sz w:val="22"/>
          <w:szCs w:val="22"/>
          <w:lang w:eastAsia="en-US"/>
        </w:rPr>
      </w:pPr>
      <w:bookmarkStart w:id="1" w:name="_Hlk97661061"/>
      <w:r>
        <w:rPr>
          <w:rFonts w:eastAsia="Calibri" w:cs="Calibri" w:ascii="Calibri" w:hAnsi="Calibri" w:eastAsiaTheme="minorHAnsi"/>
          <w:bCs w:val="false"/>
          <w:color w:val="000000" w:themeColor="text1"/>
          <w:sz w:val="22"/>
          <w:szCs w:val="22"/>
          <w:lang w:eastAsia="en-US"/>
        </w:rPr>
        <w:t xml:space="preserve">w zakresie świadczeń z pomocy społecznej </w:t>
      </w:r>
      <w:bookmarkEnd w:id="1"/>
    </w:p>
    <w:p>
      <w:pPr>
        <w:pStyle w:val="ListParagraph"/>
        <w:numPr>
          <w:ilvl w:val="0"/>
          <w:numId w:val="2"/>
        </w:numPr>
        <w:ind w:left="1560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sprawienia pogrzebu obywatelom Ukrainy </w:t>
      </w:r>
    </w:p>
    <w:p>
      <w:pPr>
        <w:pStyle w:val="ListParagraph"/>
        <w:numPr>
          <w:ilvl w:val="0"/>
          <w:numId w:val="2"/>
        </w:numPr>
        <w:ind w:left="1560" w:hanging="360"/>
        <w:jc w:val="both"/>
        <w:rPr>
          <w:color w:val="000000" w:themeColor="text1"/>
        </w:rPr>
      </w:pPr>
      <w:r>
        <w:rPr>
          <w:color w:val="000000" w:themeColor="text1"/>
        </w:rPr>
        <w:t>pobytu w domu pomocy społecznej</w:t>
      </w:r>
    </w:p>
    <w:p>
      <w:pPr>
        <w:pStyle w:val="ListParagraph"/>
        <w:numPr>
          <w:ilvl w:val="0"/>
          <w:numId w:val="2"/>
        </w:numPr>
        <w:ind w:left="1560" w:hanging="360"/>
        <w:jc w:val="both"/>
        <w:rPr>
          <w:color w:val="000000" w:themeColor="text1"/>
        </w:rPr>
      </w:pPr>
      <w:r>
        <w:rPr>
          <w:color w:val="000000" w:themeColor="text1"/>
        </w:rPr>
        <w:t>dowozu uczniów ukraińskich do szkół</w:t>
      </w:r>
    </w:p>
    <w:p>
      <w:pPr>
        <w:pStyle w:val="ListParagraph"/>
        <w:numPr>
          <w:ilvl w:val="0"/>
          <w:numId w:val="2"/>
        </w:numPr>
        <w:ind w:left="1560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stypendiów socjalnych dla uczniów ukraińskich </w:t>
      </w:r>
    </w:p>
    <w:p>
      <w:pPr>
        <w:pStyle w:val="Normal"/>
        <w:spacing w:before="0" w:after="160"/>
        <w:rPr>
          <w:rFonts w:ascii="Calibri" w:hAnsi="Calibri" w:cs="Calibri"/>
          <w:color w:val="000000" w:themeColor="text1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c763fc"/>
    <w:rPr/>
  </w:style>
  <w:style w:type="character" w:styleId="Ppogrubienie" w:customStyle="1">
    <w:name w:val="_P_ – pogrubienie"/>
    <w:basedOn w:val="DefaultParagraphFont"/>
    <w:uiPriority w:val="1"/>
    <w:qFormat/>
    <w:rsid w:val="0020751e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d7b2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d7b2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d7b26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d7b2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5ef6"/>
    <w:pPr>
      <w:spacing w:lineRule="auto" w:line="240" w:before="0" w:after="0"/>
      <w:ind w:left="720" w:hanging="0"/>
    </w:pPr>
    <w:rPr>
      <w:rFonts w:ascii="Calibri" w:hAnsi="Calibri" w:cs="Calibri"/>
    </w:rPr>
  </w:style>
  <w:style w:type="paragraph" w:styleId="ZUSTzmustartykuempunktem" w:customStyle="1">
    <w:name w:val="Z/UST(§) – zm. ust. (§) artykułem (punktem)"/>
    <w:basedOn w:val="Normal"/>
    <w:uiPriority w:val="30"/>
    <w:qFormat/>
    <w:rsid w:val="0020751e"/>
    <w:pPr>
      <w:suppressAutoHyphens w:val="true"/>
      <w:spacing w:lineRule="auto" w:line="360" w:before="0" w:after="0"/>
      <w:ind w:left="510" w:firstLine="510"/>
      <w:jc w:val="both"/>
    </w:pPr>
    <w:rPr>
      <w:rFonts w:ascii="Times" w:hAnsi="Times" w:eastAsia="" w:cs="Arial" w:eastAsiaTheme="minorEastAsia"/>
      <w:sz w:val="24"/>
      <w:szCs w:val="20"/>
      <w:lang w:eastAsia="pl-PL"/>
    </w:rPr>
  </w:style>
  <w:style w:type="paragraph" w:styleId="ARTartustawynprozporzdzenia" w:customStyle="1">
    <w:name w:val="ART(§) – art. ustawy (§ np. rozporządzenia)"/>
    <w:uiPriority w:val="11"/>
    <w:qFormat/>
    <w:rsid w:val="0020751e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USTustnpkodeksu" w:customStyle="1">
    <w:name w:val="UST(§) – ust. (§ np. kodeksu)"/>
    <w:basedOn w:val="Normal"/>
    <w:uiPriority w:val="12"/>
    <w:qFormat/>
    <w:rsid w:val="0020751e"/>
    <w:pPr>
      <w:suppressAutoHyphens w:val="true"/>
      <w:spacing w:lineRule="auto" w:line="360" w:before="0" w:after="0"/>
      <w:ind w:firstLine="510"/>
      <w:jc w:val="both"/>
    </w:pPr>
    <w:rPr>
      <w:rFonts w:ascii="Times" w:hAnsi="Times" w:eastAsia="" w:cs="Arial" w:eastAsiaTheme="minorEastAsia"/>
      <w:bCs/>
      <w:sz w:val="24"/>
      <w:szCs w:val="20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d7b2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d7b26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d7b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6E95-6493-41F2-8CDC-BDF2F6BE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2</Pages>
  <Words>1028</Words>
  <Characters>6440</Characters>
  <CharactersWithSpaces>7443</CharactersWithSpaces>
  <Paragraphs>37</Paragraphs>
  <Company>Urzad Miasta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2022-03-17T08:22:00Z</dcterms:created>
  <dc:creator>Jońca Aleksandra</dc:creator>
  <dc:description/>
  <dc:language>pl-PL</dc:language>
  <cp:lastModifiedBy>Marek Wójcik</cp:lastModifiedBy>
  <dcterms:modified xsi:type="dcterms:W3CDTF">2022-03-17T08:22:00Z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Urzad Miasta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