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19" w:rsidRDefault="00A55C19" w:rsidP="00DD2CA2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do oceny skutków regulacji </w:t>
      </w:r>
    </w:p>
    <w:p w:rsidR="00A55C19" w:rsidRDefault="00A55C19" w:rsidP="00DD2C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44C55" w:rsidRPr="00863433" w:rsidRDefault="00C44C55" w:rsidP="00DD2C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3433">
        <w:rPr>
          <w:rFonts w:ascii="Times New Roman" w:hAnsi="Times New Roman" w:cs="Times New Roman"/>
        </w:rPr>
        <w:t>Zaproponowane regulacje wprowadzają zmiany w trzech obszarach:</w:t>
      </w:r>
    </w:p>
    <w:p w:rsidR="00C44C55" w:rsidRPr="00863433" w:rsidRDefault="00C44C55" w:rsidP="00DD2C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3433">
        <w:rPr>
          <w:rFonts w:ascii="Times New Roman" w:hAnsi="Times New Roman" w:cs="Times New Roman"/>
        </w:rPr>
        <w:t>a) konieczności zapewnienia udziału powierzchni biologicznie czynnej,</w:t>
      </w:r>
    </w:p>
    <w:p w:rsidR="00C44C55" w:rsidRPr="00863433" w:rsidRDefault="00C44C55" w:rsidP="00DD2C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3433">
        <w:rPr>
          <w:rFonts w:ascii="Times New Roman" w:hAnsi="Times New Roman" w:cs="Times New Roman"/>
        </w:rPr>
        <w:t>b) konieczności zapewnienia zagospodarowania wód opadowych i roztopowych, oraz</w:t>
      </w:r>
    </w:p>
    <w:p w:rsidR="00C44C55" w:rsidRPr="00863433" w:rsidRDefault="00C44C55" w:rsidP="00DD2C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3433">
        <w:rPr>
          <w:rFonts w:ascii="Times New Roman" w:hAnsi="Times New Roman" w:cs="Times New Roman"/>
        </w:rPr>
        <w:t>c) umożliwienia lokalizowania zbiorników wodnych lub stawów na wyznaczonych w miejscowym planie zagospodarowania przestrzennego terenach rolniczych, terenach</w:t>
      </w:r>
      <w:r w:rsidR="00DC48D6">
        <w:rPr>
          <w:rFonts w:ascii="Times New Roman" w:hAnsi="Times New Roman" w:cs="Times New Roman"/>
        </w:rPr>
        <w:t xml:space="preserve"> zabudowy zagrodowej w </w:t>
      </w:r>
      <w:r w:rsidRPr="00863433">
        <w:rPr>
          <w:rFonts w:ascii="Times New Roman" w:hAnsi="Times New Roman" w:cs="Times New Roman"/>
        </w:rPr>
        <w:t>gospodarstwach rolnych, hodow</w:t>
      </w:r>
      <w:r w:rsidR="009C48ED">
        <w:rPr>
          <w:rFonts w:ascii="Times New Roman" w:hAnsi="Times New Roman" w:cs="Times New Roman"/>
        </w:rPr>
        <w:t>lanych i ogrodniczych, terenach</w:t>
      </w:r>
      <w:r w:rsidRPr="00863433">
        <w:rPr>
          <w:rFonts w:ascii="Times New Roman" w:hAnsi="Times New Roman" w:cs="Times New Roman"/>
        </w:rPr>
        <w:t xml:space="preserve"> łąk lub pastwisk </w:t>
      </w:r>
      <w:r w:rsidR="00DC48D6">
        <w:rPr>
          <w:rFonts w:ascii="Times New Roman" w:hAnsi="Times New Roman" w:cs="Times New Roman"/>
        </w:rPr>
        <w:t>również w </w:t>
      </w:r>
      <w:r w:rsidRPr="00863433">
        <w:rPr>
          <w:rFonts w:ascii="Times New Roman" w:hAnsi="Times New Roman" w:cs="Times New Roman"/>
        </w:rPr>
        <w:t xml:space="preserve">przypadku gdy z planu miejscowego nie wynika dopuszczenie ich lokalizacji, chyba że ustalenia planu miejscowego zakazują ich lokalizacji. </w:t>
      </w:r>
    </w:p>
    <w:p w:rsidR="004F75E5" w:rsidRPr="00863433" w:rsidRDefault="00D74D42" w:rsidP="00DC48D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863433">
        <w:rPr>
          <w:rFonts w:ascii="Times New Roman" w:hAnsi="Times New Roman" w:cs="Times New Roman"/>
        </w:rPr>
        <w:t>Podkreślić przy tym należy, że obowiązek zapewnienia udziału powierzchni biologicznie czynnej został ustanowiony w</w:t>
      </w:r>
      <w:r w:rsidR="004F75E5" w:rsidRPr="00863433">
        <w:rPr>
          <w:rFonts w:ascii="Times New Roman" w:hAnsi="Times New Roman" w:cs="Times New Roman"/>
        </w:rPr>
        <w:t xml:space="preserve"> </w:t>
      </w:r>
      <w:r w:rsidR="00876957" w:rsidRPr="00863433">
        <w:rPr>
          <w:rFonts w:ascii="Times New Roman" w:eastAsia="Times New Roman" w:hAnsi="Times New Roman" w:cs="Times New Roman"/>
        </w:rPr>
        <w:t>§ 39</w:t>
      </w:r>
      <w:r w:rsidR="00876957">
        <w:rPr>
          <w:rFonts w:ascii="Times New Roman" w:eastAsia="Times New Roman" w:hAnsi="Times New Roman" w:cs="Times New Roman"/>
        </w:rPr>
        <w:t xml:space="preserve"> </w:t>
      </w:r>
      <w:r w:rsidR="00876957">
        <w:rPr>
          <w:rFonts w:ascii="Times New Roman" w:hAnsi="Times New Roman" w:cs="Times New Roman"/>
        </w:rPr>
        <w:t>rozporządzenia</w:t>
      </w:r>
      <w:r w:rsidR="004F75E5" w:rsidRPr="00863433">
        <w:rPr>
          <w:rFonts w:ascii="Times New Roman" w:hAnsi="Times New Roman" w:cs="Times New Roman"/>
        </w:rPr>
        <w:t xml:space="preserve"> z dnia 12 kwietnia 2002 r. Ministra Infrastruktury w sprawie </w:t>
      </w:r>
      <w:bookmarkStart w:id="1" w:name="highlightHit_6"/>
      <w:bookmarkEnd w:id="1"/>
      <w:r w:rsidR="004F75E5" w:rsidRPr="00863433">
        <w:rPr>
          <w:rStyle w:val="highlight"/>
          <w:rFonts w:ascii="Times New Roman" w:hAnsi="Times New Roman" w:cs="Times New Roman"/>
        </w:rPr>
        <w:t>warunków</w:t>
      </w:r>
      <w:r w:rsidR="004F75E5" w:rsidRPr="00863433">
        <w:rPr>
          <w:rFonts w:ascii="Times New Roman" w:hAnsi="Times New Roman" w:cs="Times New Roman"/>
        </w:rPr>
        <w:t xml:space="preserve"> </w:t>
      </w:r>
      <w:bookmarkStart w:id="2" w:name="highlightHit_7"/>
      <w:bookmarkEnd w:id="2"/>
      <w:r w:rsidR="004F75E5" w:rsidRPr="00863433">
        <w:rPr>
          <w:rStyle w:val="highlight"/>
          <w:rFonts w:ascii="Times New Roman" w:hAnsi="Times New Roman" w:cs="Times New Roman"/>
        </w:rPr>
        <w:t>technicznych</w:t>
      </w:r>
      <w:r w:rsidR="004F75E5" w:rsidRPr="00863433">
        <w:rPr>
          <w:rFonts w:ascii="Times New Roman" w:hAnsi="Times New Roman" w:cs="Times New Roman"/>
        </w:rPr>
        <w:t xml:space="preserve">, jakim powinny odpowiadać </w:t>
      </w:r>
      <w:bookmarkStart w:id="3" w:name="highlightHit_8"/>
      <w:bookmarkEnd w:id="3"/>
      <w:r w:rsidR="004F75E5" w:rsidRPr="00863433">
        <w:rPr>
          <w:rStyle w:val="highlight"/>
          <w:rFonts w:ascii="Times New Roman" w:hAnsi="Times New Roman" w:cs="Times New Roman"/>
        </w:rPr>
        <w:t>budynki</w:t>
      </w:r>
      <w:r w:rsidR="004F75E5" w:rsidRPr="00863433">
        <w:rPr>
          <w:rFonts w:ascii="Times New Roman" w:hAnsi="Times New Roman" w:cs="Times New Roman"/>
        </w:rPr>
        <w:t xml:space="preserve"> </w:t>
      </w:r>
      <w:r w:rsidR="004F75E5" w:rsidRPr="00863433">
        <w:rPr>
          <w:rStyle w:val="highlight"/>
          <w:rFonts w:ascii="Times New Roman" w:hAnsi="Times New Roman" w:cs="Times New Roman"/>
        </w:rPr>
        <w:t>i</w:t>
      </w:r>
      <w:r w:rsidR="004F75E5" w:rsidRPr="00863433">
        <w:rPr>
          <w:rFonts w:ascii="Times New Roman" w:hAnsi="Times New Roman" w:cs="Times New Roman"/>
        </w:rPr>
        <w:t xml:space="preserve"> </w:t>
      </w:r>
      <w:r w:rsidR="004F75E5" w:rsidRPr="00863433">
        <w:rPr>
          <w:rStyle w:val="highlight"/>
          <w:rFonts w:ascii="Times New Roman" w:hAnsi="Times New Roman" w:cs="Times New Roman"/>
        </w:rPr>
        <w:t>ich</w:t>
      </w:r>
      <w:r w:rsidR="004F75E5" w:rsidRPr="00863433">
        <w:rPr>
          <w:rFonts w:ascii="Times New Roman" w:hAnsi="Times New Roman" w:cs="Times New Roman"/>
        </w:rPr>
        <w:t xml:space="preserve"> </w:t>
      </w:r>
      <w:r w:rsidR="004F75E5" w:rsidRPr="00863433">
        <w:rPr>
          <w:rStyle w:val="highlight"/>
          <w:rFonts w:ascii="Times New Roman" w:hAnsi="Times New Roman" w:cs="Times New Roman"/>
        </w:rPr>
        <w:t xml:space="preserve">usytuowanie </w:t>
      </w:r>
      <w:bookmarkStart w:id="4" w:name="mip49293221"/>
      <w:bookmarkEnd w:id="4"/>
      <w:r w:rsidR="004F75E5" w:rsidRPr="00863433">
        <w:rPr>
          <w:rStyle w:val="highlight"/>
          <w:rFonts w:ascii="Times New Roman" w:hAnsi="Times New Roman" w:cs="Times New Roman"/>
        </w:rPr>
        <w:t>(</w:t>
      </w:r>
      <w:r w:rsidR="004F75E5" w:rsidRPr="00863433">
        <w:rPr>
          <w:rFonts w:ascii="Times New Roman" w:hAnsi="Times New Roman" w:cs="Times New Roman"/>
        </w:rPr>
        <w:t>tekst jedn. Dz.</w:t>
      </w:r>
      <w:r w:rsidR="009C48ED">
        <w:rPr>
          <w:rFonts w:ascii="Times New Roman" w:hAnsi="Times New Roman" w:cs="Times New Roman"/>
        </w:rPr>
        <w:t xml:space="preserve"> </w:t>
      </w:r>
      <w:r w:rsidR="004F75E5" w:rsidRPr="00863433">
        <w:rPr>
          <w:rFonts w:ascii="Times New Roman" w:hAnsi="Times New Roman" w:cs="Times New Roman"/>
        </w:rPr>
        <w:t>U. z 2019 r. poz. 1065)</w:t>
      </w:r>
      <w:r w:rsidR="009C48ED">
        <w:rPr>
          <w:rFonts w:ascii="Times New Roman" w:eastAsia="Times New Roman" w:hAnsi="Times New Roman" w:cs="Times New Roman"/>
        </w:rPr>
        <w:t xml:space="preserve">, </w:t>
      </w:r>
      <w:r w:rsidR="004F75E5" w:rsidRPr="00863433">
        <w:rPr>
          <w:rFonts w:ascii="Times New Roman" w:eastAsia="Times New Roman" w:hAnsi="Times New Roman" w:cs="Times New Roman"/>
        </w:rPr>
        <w:t>z tą różnicą</w:t>
      </w:r>
      <w:r w:rsidR="009C48ED">
        <w:rPr>
          <w:rFonts w:ascii="Times New Roman" w:eastAsia="Times New Roman" w:hAnsi="Times New Roman" w:cs="Times New Roman"/>
        </w:rPr>
        <w:t xml:space="preserve"> w stosunku do projektowanej regulacji</w:t>
      </w:r>
      <w:r w:rsidR="004F75E5" w:rsidRPr="00863433">
        <w:rPr>
          <w:rFonts w:ascii="Times New Roman" w:eastAsia="Times New Roman" w:hAnsi="Times New Roman" w:cs="Times New Roman"/>
        </w:rPr>
        <w:t xml:space="preserve">, że warunek spełnienia odpowiedniego udziału powierzchni biologicznie czynnej do tej pory dotyczył wyłącznie działek </w:t>
      </w:r>
      <w:r w:rsidR="00DC48D6">
        <w:rPr>
          <w:rFonts w:ascii="Times New Roman" w:eastAsia="Times New Roman" w:hAnsi="Times New Roman" w:cs="Times New Roman"/>
        </w:rPr>
        <w:t>budowlanych, przeznaczonych pod </w:t>
      </w:r>
      <w:r w:rsidR="004F75E5" w:rsidRPr="00863433">
        <w:rPr>
          <w:rFonts w:ascii="Times New Roman" w:eastAsia="Times New Roman" w:hAnsi="Times New Roman" w:cs="Times New Roman"/>
        </w:rPr>
        <w:t>zabudowę wielorodzinną, budynki opieki zdrowotnej (z wyjąt</w:t>
      </w:r>
      <w:r w:rsidR="00DC48D6">
        <w:rPr>
          <w:rFonts w:ascii="Times New Roman" w:eastAsia="Times New Roman" w:hAnsi="Times New Roman" w:cs="Times New Roman"/>
        </w:rPr>
        <w:t>kiem przychodni) oraz oświaty i </w:t>
      </w:r>
      <w:r w:rsidR="004F75E5" w:rsidRPr="00863433">
        <w:rPr>
          <w:rFonts w:ascii="Times New Roman" w:eastAsia="Times New Roman" w:hAnsi="Times New Roman" w:cs="Times New Roman"/>
        </w:rPr>
        <w:t>wychowania.</w:t>
      </w:r>
    </w:p>
    <w:p w:rsidR="004F75E5" w:rsidRPr="00863433" w:rsidRDefault="004F75E5" w:rsidP="00DD2CA2">
      <w:pPr>
        <w:pStyle w:val="ARTartustawynprozporzdzenia"/>
        <w:spacing w:before="0"/>
        <w:rPr>
          <w:rFonts w:ascii="Times New Roman" w:hAnsi="Times New Roman" w:cs="Times New Roman"/>
          <w:sz w:val="22"/>
          <w:szCs w:val="22"/>
        </w:rPr>
      </w:pPr>
      <w:r w:rsidRPr="00863433">
        <w:rPr>
          <w:rFonts w:ascii="Times New Roman" w:eastAsia="Times New Roman" w:hAnsi="Times New Roman" w:cs="Times New Roman"/>
          <w:sz w:val="22"/>
          <w:szCs w:val="22"/>
        </w:rPr>
        <w:t xml:space="preserve">Zatem wprowadzenie </w:t>
      </w:r>
      <w:r w:rsidRPr="00863433">
        <w:rPr>
          <w:rFonts w:ascii="Times New Roman" w:hAnsi="Times New Roman" w:cs="Times New Roman"/>
          <w:sz w:val="22"/>
          <w:szCs w:val="22"/>
        </w:rPr>
        <w:t>do ustawy z dnia 5 lipca 2018 r. o ułatwieniac</w:t>
      </w:r>
      <w:r w:rsidR="000B7A99">
        <w:rPr>
          <w:rFonts w:ascii="Times New Roman" w:hAnsi="Times New Roman" w:cs="Times New Roman"/>
          <w:sz w:val="22"/>
          <w:szCs w:val="22"/>
        </w:rPr>
        <w:t>h w przygotowaniu i </w:t>
      </w:r>
      <w:r w:rsidRPr="00863433">
        <w:rPr>
          <w:rFonts w:ascii="Times New Roman" w:hAnsi="Times New Roman" w:cs="Times New Roman"/>
          <w:sz w:val="22"/>
          <w:szCs w:val="22"/>
        </w:rPr>
        <w:t>realizacji inwestycji mieszkaniowych oraz inwestycji towarzyszących (Dz. U. z 2020 r. poz. 219 i 471) obowiązku zapewnienia udziału powierzchni biologicznie czynnej, nie będzie miało znaczącego wpływu</w:t>
      </w:r>
      <w:r w:rsidR="00A63B6E">
        <w:rPr>
          <w:rFonts w:ascii="Times New Roman" w:hAnsi="Times New Roman" w:cs="Times New Roman"/>
          <w:sz w:val="22"/>
          <w:szCs w:val="22"/>
        </w:rPr>
        <w:t xml:space="preserve"> na inwestycje, lokalizowane na podstawie ww. ustawy</w:t>
      </w:r>
      <w:r w:rsidRPr="00863433">
        <w:rPr>
          <w:rFonts w:ascii="Times New Roman" w:hAnsi="Times New Roman" w:cs="Times New Roman"/>
          <w:sz w:val="22"/>
          <w:szCs w:val="22"/>
        </w:rPr>
        <w:t xml:space="preserve"> – ten </w:t>
      </w:r>
      <w:r w:rsidR="00620D07">
        <w:rPr>
          <w:rFonts w:ascii="Times New Roman" w:hAnsi="Times New Roman" w:cs="Times New Roman"/>
          <w:sz w:val="22"/>
          <w:szCs w:val="22"/>
        </w:rPr>
        <w:t>obowiązek w stosunku do </w:t>
      </w:r>
      <w:r w:rsidRPr="00863433">
        <w:rPr>
          <w:rFonts w:ascii="Times New Roman" w:hAnsi="Times New Roman" w:cs="Times New Roman"/>
          <w:sz w:val="22"/>
          <w:szCs w:val="22"/>
        </w:rPr>
        <w:t>zabudowy wielorodzinnej, budynków opieki zdrowotnej (z w</w:t>
      </w:r>
      <w:r w:rsidR="00404BC8">
        <w:rPr>
          <w:rFonts w:ascii="Times New Roman" w:hAnsi="Times New Roman" w:cs="Times New Roman"/>
          <w:sz w:val="22"/>
          <w:szCs w:val="22"/>
        </w:rPr>
        <w:t>yjątkiem przychodni), oświaty i </w:t>
      </w:r>
      <w:r w:rsidRPr="00863433">
        <w:rPr>
          <w:rFonts w:ascii="Times New Roman" w:hAnsi="Times New Roman" w:cs="Times New Roman"/>
          <w:sz w:val="22"/>
          <w:szCs w:val="22"/>
        </w:rPr>
        <w:t>wychowania już istnieje, a zwykle w ramach ustawy o ułatwieniach</w:t>
      </w:r>
      <w:r w:rsidR="009C48ED">
        <w:rPr>
          <w:rFonts w:ascii="Times New Roman" w:hAnsi="Times New Roman" w:cs="Times New Roman"/>
          <w:sz w:val="22"/>
          <w:szCs w:val="22"/>
        </w:rPr>
        <w:t xml:space="preserve"> </w:t>
      </w:r>
      <w:r w:rsidRPr="00863433">
        <w:rPr>
          <w:rFonts w:ascii="Times New Roman" w:hAnsi="Times New Roman" w:cs="Times New Roman"/>
          <w:sz w:val="22"/>
          <w:szCs w:val="22"/>
        </w:rPr>
        <w:t xml:space="preserve">(…) powstają tego typu obiekty. </w:t>
      </w:r>
    </w:p>
    <w:p w:rsidR="00D34A6E" w:rsidRDefault="009929A7" w:rsidP="00DC48D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lang w:eastAsia="pl-PL"/>
        </w:rPr>
      </w:pPr>
      <w:r w:rsidRPr="00863433">
        <w:rPr>
          <w:rFonts w:ascii="Times New Roman" w:hAnsi="Times New Roman" w:cs="Times New Roman"/>
        </w:rPr>
        <w:t xml:space="preserve">Z uwago na to, że </w:t>
      </w:r>
      <w:r w:rsidR="005655B7" w:rsidRPr="00863433">
        <w:rPr>
          <w:rFonts w:ascii="Times New Roman" w:hAnsi="Times New Roman" w:cs="Times New Roman"/>
        </w:rPr>
        <w:t>projektowane</w:t>
      </w:r>
      <w:r w:rsidRPr="00863433">
        <w:rPr>
          <w:rFonts w:ascii="Times New Roman" w:hAnsi="Times New Roman" w:cs="Times New Roman"/>
        </w:rPr>
        <w:t xml:space="preserve"> zmiany dotyczą określenia zasad zagospodarowania działki budowlanej w przypadku sytuowania nowego lub rozbudowy istniejącego obiektu budowlanego, </w:t>
      </w:r>
      <w:r w:rsidR="005655B7" w:rsidRPr="00863433">
        <w:rPr>
          <w:rFonts w:ascii="Times New Roman" w:hAnsi="Times New Roman" w:cs="Times New Roman"/>
        </w:rPr>
        <w:t>przeanalizowano</w:t>
      </w:r>
      <w:r w:rsidRPr="00863433">
        <w:rPr>
          <w:rFonts w:ascii="Times New Roman" w:hAnsi="Times New Roman" w:cs="Times New Roman"/>
        </w:rPr>
        <w:t xml:space="preserve"> dane, </w:t>
      </w:r>
      <w:r w:rsidR="002978F7" w:rsidRPr="00863433">
        <w:rPr>
          <w:rFonts w:ascii="Times New Roman" w:hAnsi="Times New Roman" w:cs="Times New Roman"/>
        </w:rPr>
        <w:t xml:space="preserve">udostępnione przez GUS, </w:t>
      </w:r>
      <w:r w:rsidRPr="00863433">
        <w:rPr>
          <w:rFonts w:ascii="Times New Roman" w:hAnsi="Times New Roman" w:cs="Times New Roman"/>
        </w:rPr>
        <w:t xml:space="preserve">dotyczące wydanych pozwoleń i dokonanych </w:t>
      </w:r>
      <w:r w:rsidR="005655B7" w:rsidRPr="00863433">
        <w:rPr>
          <w:rFonts w:ascii="Times New Roman" w:hAnsi="Times New Roman" w:cs="Times New Roman"/>
        </w:rPr>
        <w:t xml:space="preserve">zgłoszeń. </w:t>
      </w:r>
      <w:r w:rsidR="00D34A6E" w:rsidRPr="00863433">
        <w:rPr>
          <w:rFonts w:ascii="Times New Roman" w:hAnsi="Times New Roman" w:cs="Times New Roman"/>
        </w:rPr>
        <w:t>Podkreślić</w:t>
      </w:r>
      <w:r w:rsidR="00B53199" w:rsidRPr="00863433">
        <w:rPr>
          <w:rFonts w:ascii="Times New Roman" w:hAnsi="Times New Roman" w:cs="Times New Roman"/>
        </w:rPr>
        <w:t xml:space="preserve"> przy tym należy, że </w:t>
      </w:r>
      <w:r w:rsidR="00D34A6E" w:rsidRPr="00863433">
        <w:rPr>
          <w:rFonts w:ascii="Times New Roman" w:hAnsi="Times New Roman" w:cs="Times New Roman"/>
        </w:rPr>
        <w:t xml:space="preserve">poniżej przedstawione </w:t>
      </w:r>
      <w:r w:rsidR="00B53199" w:rsidRPr="00863433">
        <w:rPr>
          <w:rFonts w:ascii="Times New Roman" w:hAnsi="Times New Roman" w:cs="Times New Roman"/>
        </w:rPr>
        <w:t>dane</w:t>
      </w:r>
      <w:r w:rsidR="00D34A6E" w:rsidRPr="00863433">
        <w:rPr>
          <w:rFonts w:ascii="Times New Roman" w:hAnsi="Times New Roman" w:cs="Times New Roman"/>
        </w:rPr>
        <w:t xml:space="preserve"> </w:t>
      </w:r>
      <w:r w:rsidR="00DC48D6">
        <w:rPr>
          <w:rFonts w:ascii="Times New Roman" w:hAnsi="Times New Roman" w:cs="Times New Roman"/>
        </w:rPr>
        <w:t>liczbowe</w:t>
      </w:r>
      <w:r w:rsidR="00B53199" w:rsidRPr="00863433">
        <w:rPr>
          <w:rFonts w:ascii="Times New Roman" w:hAnsi="Times New Roman" w:cs="Times New Roman"/>
        </w:rPr>
        <w:t xml:space="preserve"> zawierają także </w:t>
      </w:r>
      <w:r w:rsidR="00D34A6E" w:rsidRPr="00863433">
        <w:rPr>
          <w:rFonts w:ascii="Times New Roman" w:hAnsi="Times New Roman" w:cs="Times New Roman"/>
        </w:rPr>
        <w:t>liczbę pozwoleń czy zgłoszeń na budowę inwestycji</w:t>
      </w:r>
      <w:r w:rsidR="00B53199" w:rsidRPr="00863433">
        <w:rPr>
          <w:rFonts w:ascii="Times New Roman" w:hAnsi="Times New Roman" w:cs="Times New Roman"/>
        </w:rPr>
        <w:t xml:space="preserve">, </w:t>
      </w:r>
      <w:r w:rsidR="00D34A6E" w:rsidRPr="00863433">
        <w:rPr>
          <w:rFonts w:ascii="Times New Roman" w:hAnsi="Times New Roman" w:cs="Times New Roman"/>
        </w:rPr>
        <w:t>które</w:t>
      </w:r>
      <w:r w:rsidR="00B53199" w:rsidRPr="00863433">
        <w:rPr>
          <w:rFonts w:ascii="Times New Roman" w:hAnsi="Times New Roman" w:cs="Times New Roman"/>
        </w:rPr>
        <w:t xml:space="preserve"> powstały </w:t>
      </w:r>
      <w:r w:rsidR="00404BC8">
        <w:rPr>
          <w:rFonts w:ascii="Times New Roman" w:hAnsi="Times New Roman" w:cs="Times New Roman"/>
        </w:rPr>
        <w:t>na podstawie ustawy o </w:t>
      </w:r>
      <w:r w:rsidR="00B53199" w:rsidRPr="00863433">
        <w:rPr>
          <w:rFonts w:ascii="Times New Roman" w:hAnsi="Times New Roman" w:cs="Times New Roman"/>
        </w:rPr>
        <w:t>ułatwieniach (…) –</w:t>
      </w:r>
      <w:r w:rsidR="00D34A6E" w:rsidRPr="00863433">
        <w:rPr>
          <w:rFonts w:ascii="Times New Roman" w:hAnsi="Times New Roman" w:cs="Times New Roman"/>
        </w:rPr>
        <w:t xml:space="preserve"> inwestycja taka, chociaż poprzedzona </w:t>
      </w:r>
      <w:bookmarkStart w:id="5" w:name="mip53021478"/>
      <w:bookmarkEnd w:id="5"/>
      <w:r w:rsidR="00D34A6E" w:rsidRPr="00863433">
        <w:rPr>
          <w:rFonts w:ascii="Times New Roman" w:hAnsi="Times New Roman" w:cs="Times New Roman"/>
        </w:rPr>
        <w:t>uchwaleniem</w:t>
      </w:r>
      <w:r w:rsidR="00D34A6E" w:rsidRPr="00863433">
        <w:rPr>
          <w:rFonts w:ascii="Times New Roman" w:eastAsia="Times New Roman" w:hAnsi="Times New Roman" w:cs="Times New Roman"/>
          <w:lang w:eastAsia="pl-PL"/>
        </w:rPr>
        <w:t xml:space="preserve"> uchwały o ustaleniu lokalizacji inwestycji mieszkaniowej, wymaga</w:t>
      </w:r>
      <w:r w:rsidR="00404BC8">
        <w:rPr>
          <w:rFonts w:ascii="Times New Roman" w:eastAsia="Times New Roman" w:hAnsi="Times New Roman" w:cs="Times New Roman"/>
          <w:lang w:eastAsia="pl-PL"/>
        </w:rPr>
        <w:t xml:space="preserve"> uzyskania pozwolenia na budowę, przy czym </w:t>
      </w:r>
      <w:r w:rsidR="006A7A08">
        <w:rPr>
          <w:rFonts w:ascii="Times New Roman" w:eastAsia="Times New Roman" w:hAnsi="Times New Roman" w:cs="Times New Roman"/>
          <w:lang w:eastAsia="pl-PL"/>
        </w:rPr>
        <w:t>nie jest sytuowania w oparciu o </w:t>
      </w:r>
      <w:r w:rsidR="00404BC8">
        <w:rPr>
          <w:rFonts w:ascii="Times New Roman" w:eastAsia="Times New Roman" w:hAnsi="Times New Roman" w:cs="Times New Roman"/>
          <w:lang w:eastAsia="pl-PL"/>
        </w:rPr>
        <w:t xml:space="preserve">miejscowy plan zagospodarowania przestrzennego. </w:t>
      </w:r>
    </w:p>
    <w:p w:rsidR="00A55C19" w:rsidRPr="00863433" w:rsidRDefault="00A55C19" w:rsidP="00DD2CA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78F7" w:rsidRPr="00863433" w:rsidRDefault="00483DF0" w:rsidP="00DD2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I. Budynki mieszkalne </w:t>
      </w:r>
      <w:r w:rsidR="00DD2CA2" w:rsidRPr="00DD2CA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(budynki mieszkalne jednorodzinne, o dwóch, trzech i więcej </w:t>
      </w:r>
      <w:r w:rsidR="00DD2CA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</w:t>
      </w:r>
      <w:r w:rsidR="00DD2CA2" w:rsidRPr="00DD2CA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ieszkaniach):</w:t>
      </w:r>
      <w:r w:rsidR="00DD2CA2"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– liczba </w:t>
      </w:r>
      <w:r w:rsidR="008E2F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pozwoleń i zgłoszeń w 2019 r.</w:t>
      </w:r>
      <w:r w:rsidR="002978F7"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:rsidR="002978F7" w:rsidRPr="00863433" w:rsidRDefault="002978F7" w:rsidP="00DD2C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67F0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ogółem 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120 322,</w:t>
      </w:r>
      <w:r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tym na podstawie pozwoleń i zgłoszeń z dołączonym projektem budowlanym: 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101 595. </w:t>
      </w:r>
    </w:p>
    <w:p w:rsidR="002978F7" w:rsidRPr="00863433" w:rsidRDefault="002978F7" w:rsidP="00DD2C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Na podstawie miejscowego planu zagospodarowania przestrzennego - 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69 692, </w:t>
      </w:r>
      <w:r w:rsidRPr="00667F0D">
        <w:rPr>
          <w:rFonts w:ascii="Times New Roman" w:eastAsia="Times New Roman" w:hAnsi="Times New Roman" w:cs="Times New Roman"/>
          <w:bCs/>
          <w:color w:val="000000"/>
          <w:lang w:eastAsia="pl-PL"/>
        </w:rPr>
        <w:t>w tym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655D8C">
        <w:rPr>
          <w:rFonts w:ascii="Times New Roman" w:eastAsia="Times New Roman" w:hAnsi="Times New Roman" w:cs="Times New Roman"/>
          <w:bCs/>
          <w:color w:val="000000"/>
          <w:lang w:eastAsia="pl-PL"/>
        </w:rPr>
        <w:t>na </w:t>
      </w:r>
      <w:r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podstawie pozwoleń i zgłoszeń z dołączonym projektem budowlanym - 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57</w:t>
      </w:r>
      <w:r w:rsidR="00655D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623</w:t>
      </w:r>
      <w:r w:rsidR="00655D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:rsidR="002978F7" w:rsidRPr="00A63B6E" w:rsidRDefault="002978F7" w:rsidP="00DD2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63B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 Budynki zbiorowego zamieszkania</w:t>
      </w:r>
      <w:r w:rsidR="00066566" w:rsidRPr="00A63B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– liczba pozwoleń i zgłoszeń</w:t>
      </w:r>
      <w:r w:rsidRPr="00A63B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w 2019 r. </w:t>
      </w:r>
      <w:r w:rsidR="00CA08A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:rsidR="002978F7" w:rsidRPr="00863433" w:rsidRDefault="002978F7" w:rsidP="00DD2C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D2CA2">
        <w:rPr>
          <w:rFonts w:ascii="Times New Roman" w:eastAsia="Times New Roman" w:hAnsi="Times New Roman" w:cs="Times New Roman"/>
          <w:bCs/>
          <w:color w:val="000000"/>
          <w:lang w:eastAsia="pl-PL"/>
        </w:rPr>
        <w:t>ogółem: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61, </w:t>
      </w:r>
      <w:r w:rsidRPr="00DD2CA2">
        <w:rPr>
          <w:rFonts w:ascii="Times New Roman" w:eastAsia="Times New Roman" w:hAnsi="Times New Roman" w:cs="Times New Roman"/>
          <w:bCs/>
          <w:color w:val="000000"/>
          <w:lang w:eastAsia="pl-PL"/>
        </w:rPr>
        <w:t>w tym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 podstawie pozwoleń i zgłoszeń z dołączonym projektem budowlanym 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58</w:t>
      </w:r>
      <w:r w:rsidR="00463F0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:rsidR="002978F7" w:rsidRPr="00863433" w:rsidRDefault="002978F7" w:rsidP="00DD2C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 podstawie miejscowego planu zagospodarowania przestrzennego - 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31, </w:t>
      </w:r>
      <w:r w:rsidRPr="00463F01">
        <w:rPr>
          <w:rFonts w:ascii="Times New Roman" w:eastAsia="Times New Roman" w:hAnsi="Times New Roman" w:cs="Times New Roman"/>
          <w:bCs/>
          <w:color w:val="000000"/>
          <w:lang w:eastAsia="pl-PL"/>
        </w:rPr>
        <w:t>w tym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463F01">
        <w:rPr>
          <w:rFonts w:ascii="Times New Roman" w:eastAsia="Times New Roman" w:hAnsi="Times New Roman" w:cs="Times New Roman"/>
          <w:bCs/>
          <w:color w:val="000000"/>
          <w:lang w:eastAsia="pl-PL"/>
        </w:rPr>
        <w:t>na </w:t>
      </w:r>
      <w:r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podstawie pozwoleń i zgłoszeń z dołączonym projektem budowlanym – 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31.</w:t>
      </w:r>
    </w:p>
    <w:p w:rsidR="005F46F8" w:rsidRPr="00863433" w:rsidRDefault="005F46F8" w:rsidP="00DD2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III. Budynki niemieszkalne (zgodnie z Polską Klasyfikacją Obiektów Budowlanych od 121 do 127) </w:t>
      </w:r>
      <w:r w:rsidR="00CC59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liczba pozwoleń i zgłoszeń w 2019 r.</w:t>
      </w:r>
      <w:r w:rsidR="00CA08A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:rsidR="005F46F8" w:rsidRPr="00863433" w:rsidRDefault="005F46F8" w:rsidP="00DD2CA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079A">
        <w:rPr>
          <w:rFonts w:ascii="Times New Roman" w:eastAsia="Times New Roman" w:hAnsi="Times New Roman" w:cs="Times New Roman"/>
          <w:bCs/>
          <w:color w:val="000000"/>
          <w:lang w:eastAsia="pl-PL"/>
        </w:rPr>
        <w:t>ogółem: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8901B6"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33 033,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EA079A">
        <w:rPr>
          <w:rFonts w:ascii="Times New Roman" w:eastAsia="Times New Roman" w:hAnsi="Times New Roman" w:cs="Times New Roman"/>
          <w:bCs/>
          <w:color w:val="000000"/>
          <w:lang w:eastAsia="pl-PL"/>
        </w:rPr>
        <w:t>w tym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 podstawie pozwoleń i zgłoszeń z dołączonym projektem budowlanym </w:t>
      </w:r>
      <w:r w:rsidR="008901B6"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25</w:t>
      </w:r>
      <w:r w:rsidR="00EA07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="008901B6"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840</w:t>
      </w:r>
      <w:r w:rsidR="00EA07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:rsidR="008901B6" w:rsidRPr="00863433" w:rsidRDefault="005F46F8" w:rsidP="00DD2CA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 podstawie miejscowego planu zagospodarowania przestrzennego </w:t>
      </w:r>
      <w:r w:rsidR="008901B6"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t>–</w:t>
      </w:r>
      <w:r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8901B6"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16 011,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EA079A">
        <w:rPr>
          <w:rFonts w:ascii="Times New Roman" w:eastAsia="Times New Roman" w:hAnsi="Times New Roman" w:cs="Times New Roman"/>
          <w:bCs/>
          <w:color w:val="000000"/>
          <w:lang w:eastAsia="pl-PL"/>
        </w:rPr>
        <w:t>w tym</w:t>
      </w:r>
      <w:r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EA079A">
        <w:rPr>
          <w:rFonts w:ascii="Times New Roman" w:eastAsia="Times New Roman" w:hAnsi="Times New Roman" w:cs="Times New Roman"/>
          <w:bCs/>
          <w:color w:val="000000"/>
          <w:lang w:eastAsia="pl-PL"/>
        </w:rPr>
        <w:t>na </w:t>
      </w:r>
      <w:r w:rsidRPr="0086343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podstawie pozwoleń i zgłoszeń z dołączonym projektem budowlanym – </w:t>
      </w:r>
      <w:r w:rsidR="008901B6"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</w:t>
      </w:r>
      <w:r w:rsidR="003661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="008901B6" w:rsidRPr="008634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864</w:t>
      </w:r>
      <w:r w:rsidR="003661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:rsidR="005F46F8" w:rsidRPr="00863433" w:rsidRDefault="005F46F8" w:rsidP="00DD2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929A7" w:rsidRPr="00505B1E" w:rsidRDefault="009929A7" w:rsidP="00505B1E">
      <w:pPr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5676AE" w:rsidRPr="00863433" w:rsidRDefault="005676AE" w:rsidP="00DD2C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676AE" w:rsidRPr="00863433" w:rsidRDefault="005676AE" w:rsidP="00DD2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676AE" w:rsidRPr="00863433" w:rsidRDefault="005676AE" w:rsidP="00DD2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254C2" w:rsidRPr="00863433" w:rsidRDefault="004254C2" w:rsidP="00DD2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31343" w:rsidRPr="00863433" w:rsidRDefault="00831343" w:rsidP="00DD2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31343" w:rsidRPr="00863433" w:rsidRDefault="00831343" w:rsidP="00DD2C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E632B" w:rsidRPr="00863433" w:rsidRDefault="005E632B" w:rsidP="00DD2C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E632B" w:rsidRPr="00863433" w:rsidRDefault="005E632B" w:rsidP="00DD2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E632B" w:rsidRPr="00863433" w:rsidRDefault="005E632B" w:rsidP="00DD2CA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E632B" w:rsidRPr="0086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4570"/>
    <w:multiLevelType w:val="hybridMultilevel"/>
    <w:tmpl w:val="5FDAA8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612A51"/>
    <w:multiLevelType w:val="hybridMultilevel"/>
    <w:tmpl w:val="54F260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3DF625D"/>
    <w:multiLevelType w:val="hybridMultilevel"/>
    <w:tmpl w:val="5DCCC4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20"/>
    <w:rsid w:val="00066566"/>
    <w:rsid w:val="000B7A99"/>
    <w:rsid w:val="002874D4"/>
    <w:rsid w:val="002978F7"/>
    <w:rsid w:val="002A1781"/>
    <w:rsid w:val="002F1247"/>
    <w:rsid w:val="00366167"/>
    <w:rsid w:val="00373090"/>
    <w:rsid w:val="003F51B5"/>
    <w:rsid w:val="00404BC8"/>
    <w:rsid w:val="004254C2"/>
    <w:rsid w:val="00463F01"/>
    <w:rsid w:val="00474B12"/>
    <w:rsid w:val="00483DF0"/>
    <w:rsid w:val="004F2263"/>
    <w:rsid w:val="004F75E5"/>
    <w:rsid w:val="00505B1E"/>
    <w:rsid w:val="005655B7"/>
    <w:rsid w:val="005676AE"/>
    <w:rsid w:val="005744DC"/>
    <w:rsid w:val="005E632B"/>
    <w:rsid w:val="005F46F8"/>
    <w:rsid w:val="005F54B1"/>
    <w:rsid w:val="00620D07"/>
    <w:rsid w:val="00655D8C"/>
    <w:rsid w:val="00667F0D"/>
    <w:rsid w:val="006A7A08"/>
    <w:rsid w:val="00831343"/>
    <w:rsid w:val="00863433"/>
    <w:rsid w:val="00876957"/>
    <w:rsid w:val="008901B6"/>
    <w:rsid w:val="008E2F46"/>
    <w:rsid w:val="00944520"/>
    <w:rsid w:val="009929A7"/>
    <w:rsid w:val="009C48ED"/>
    <w:rsid w:val="00A35EBD"/>
    <w:rsid w:val="00A55C19"/>
    <w:rsid w:val="00A63B6E"/>
    <w:rsid w:val="00AC0BEE"/>
    <w:rsid w:val="00B1769F"/>
    <w:rsid w:val="00B37E36"/>
    <w:rsid w:val="00B53199"/>
    <w:rsid w:val="00B552C1"/>
    <w:rsid w:val="00BF6C64"/>
    <w:rsid w:val="00C32169"/>
    <w:rsid w:val="00C44C55"/>
    <w:rsid w:val="00C7570F"/>
    <w:rsid w:val="00CA08A8"/>
    <w:rsid w:val="00CC592B"/>
    <w:rsid w:val="00D33830"/>
    <w:rsid w:val="00D34A6E"/>
    <w:rsid w:val="00D676A6"/>
    <w:rsid w:val="00D74D42"/>
    <w:rsid w:val="00DC48D6"/>
    <w:rsid w:val="00DD2CA2"/>
    <w:rsid w:val="00E473EE"/>
    <w:rsid w:val="00EA079A"/>
    <w:rsid w:val="00EA602F"/>
    <w:rsid w:val="00E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2A1F1-B31A-4855-966C-F4DAC3D8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566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uiPriority w:val="46"/>
    <w:qFormat/>
    <w:rsid w:val="00C44C55"/>
    <w:pPr>
      <w:suppressAutoHyphens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highlight">
    <w:name w:val="highlight"/>
    <w:basedOn w:val="Domylnaczcionkaakapitu"/>
    <w:qFormat/>
    <w:rsid w:val="004F75E5"/>
  </w:style>
  <w:style w:type="paragraph" w:customStyle="1" w:styleId="ARTartustawynprozporzdzenia">
    <w:name w:val="ART(§) – art. ustawy (§ np. rozporządzenia)"/>
    <w:uiPriority w:val="11"/>
    <w:qFormat/>
    <w:rsid w:val="004F75E5"/>
    <w:pPr>
      <w:suppressAutoHyphens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qFormat/>
    <w:rsid w:val="004F75E5"/>
    <w:pPr>
      <w:suppressAutoHyphens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dc:description/>
  <cp:lastModifiedBy>Mazurek Anna</cp:lastModifiedBy>
  <cp:revision>2</cp:revision>
  <dcterms:created xsi:type="dcterms:W3CDTF">2020-08-14T10:57:00Z</dcterms:created>
  <dcterms:modified xsi:type="dcterms:W3CDTF">2020-08-14T10:57:00Z</dcterms:modified>
</cp:coreProperties>
</file>