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55852" w14:textId="77777777" w:rsidR="001946C8" w:rsidRPr="006A6470" w:rsidRDefault="001946C8" w:rsidP="001946C8">
      <w:pPr>
        <w:pStyle w:val="Nagwek1"/>
        <w:numPr>
          <w:ilvl w:val="0"/>
          <w:numId w:val="0"/>
        </w:numPr>
        <w:shd w:val="clear" w:color="auto" w:fill="FFBDDE"/>
        <w:jc w:val="center"/>
        <w:rPr>
          <w:color w:val="FF0066"/>
          <w:spacing w:val="10"/>
        </w:rPr>
      </w:pPr>
      <w:bookmarkStart w:id="0" w:name="_Toc25070474"/>
      <w:bookmarkStart w:id="1" w:name="_Toc22650823"/>
      <w:bookmarkStart w:id="2" w:name="_Toc31363429"/>
      <w:bookmarkStart w:id="3" w:name="_GoBack"/>
      <w:bookmarkEnd w:id="3"/>
      <w:r w:rsidRPr="006A6470">
        <w:rPr>
          <w:color w:val="FF0066"/>
          <w:spacing w:val="10"/>
        </w:rPr>
        <w:t>DIAGNOZA</w:t>
      </w:r>
      <w:bookmarkEnd w:id="0"/>
      <w:bookmarkEnd w:id="1"/>
      <w:bookmarkEnd w:id="2"/>
      <w:r w:rsidRPr="006A6470">
        <w:rPr>
          <w:color w:val="FF0066"/>
          <w:spacing w:val="10"/>
        </w:rPr>
        <w:t xml:space="preserve"> POTRZEB ZDROWOTNYCH</w:t>
      </w:r>
      <w:r w:rsidRPr="006A6470">
        <w:rPr>
          <w:color w:val="FF0066"/>
          <w:spacing w:val="10"/>
        </w:rPr>
        <w:br/>
        <w:t>I DOSTĘPNEGO WSPARCIA ZDROWOTNEGO</w:t>
      </w:r>
    </w:p>
    <w:p w14:paraId="6FDA0526" w14:textId="77777777" w:rsidR="001946C8" w:rsidRPr="00DD2123" w:rsidRDefault="001946C8" w:rsidP="001946C8">
      <w:pPr>
        <w:spacing w:after="0" w:line="240" w:lineRule="auto"/>
        <w:rPr>
          <w:sz w:val="2"/>
          <w:szCs w:val="2"/>
        </w:rPr>
      </w:pPr>
    </w:p>
    <w:p w14:paraId="1A0467F6" w14:textId="77777777" w:rsidR="001946C8" w:rsidRPr="00F73EE0" w:rsidRDefault="001946C8" w:rsidP="001946C8">
      <w:pPr>
        <w:pStyle w:val="Nagwek2"/>
        <w:numPr>
          <w:ilvl w:val="0"/>
          <w:numId w:val="13"/>
        </w:numPr>
        <w:shd w:val="clear" w:color="auto" w:fill="FFDDEE"/>
        <w:ind w:left="284" w:hanging="284"/>
        <w:rPr>
          <w:color w:val="FF0066"/>
        </w:rPr>
      </w:pPr>
      <w:r w:rsidRPr="00F73EE0">
        <w:rPr>
          <w:color w:val="FF0066"/>
        </w:rPr>
        <w:t>Osoby starsze</w:t>
      </w:r>
    </w:p>
    <w:p w14:paraId="3615043C" w14:textId="77777777" w:rsidR="001946C8" w:rsidRDefault="001946C8" w:rsidP="001946C8">
      <w:pPr>
        <w:pStyle w:val="Nagwek3"/>
        <w:numPr>
          <w:ilvl w:val="0"/>
          <w:numId w:val="10"/>
        </w:numPr>
        <w:shd w:val="clear" w:color="auto" w:fill="9CC2E5" w:themeFill="accent1" w:themeFillTint="99"/>
        <w:ind w:left="709" w:hanging="425"/>
      </w:pPr>
      <w:r>
        <w:t>Demografia i epidemiologia</w:t>
      </w:r>
    </w:p>
    <w:p w14:paraId="5F5050A8" w14:textId="77777777" w:rsidR="001946C8" w:rsidRPr="00B072AC" w:rsidRDefault="001946C8" w:rsidP="001946C8">
      <w:pPr>
        <w:pStyle w:val="Nagwek4"/>
        <w:numPr>
          <w:ilvl w:val="1"/>
          <w:numId w:val="10"/>
        </w:numPr>
        <w:shd w:val="clear" w:color="auto" w:fill="BDD6EE" w:themeFill="accent1" w:themeFillTint="66"/>
        <w:ind w:left="1276" w:hanging="567"/>
      </w:pPr>
      <w:r>
        <w:t>Sytuacja demograficzna</w:t>
      </w:r>
    </w:p>
    <w:p w14:paraId="27331539" w14:textId="77777777" w:rsidR="001946C8" w:rsidRDefault="001946C8" w:rsidP="001946C8">
      <w:pPr>
        <w:spacing w:after="120"/>
        <w:jc w:val="both"/>
      </w:pPr>
      <w:bookmarkStart w:id="4" w:name="_Hlk39859212"/>
      <w:r>
        <w:t xml:space="preserve">W czerwcu 2019 r. liczba ludności Polski wynosiła niemal </w:t>
      </w:r>
      <w:r w:rsidRPr="00EA5E72">
        <w:t>38,4 mln osób,</w:t>
      </w:r>
      <w:r>
        <w:t xml:space="preserve"> w tym ponad 9,5 mln (niespełna 25%) stanowiły osoby starsze, tj. osoby w wieku co najmniej 60 lat</w:t>
      </w:r>
      <w:r w:rsidRPr="00B072AC">
        <w:rPr>
          <w:color w:val="0070C0"/>
          <w:vertAlign w:val="superscript"/>
        </w:rPr>
        <w:footnoteReference w:id="2"/>
      </w:r>
      <w:r>
        <w:t>. W latach 1989–2018 liczba osób w starszym wieku wzrosła o ponad 3,9 mln, w tym największy liczebny wzrost o niespełna 1 mln odnotowano dla grupy osób w wieku 65–69 lat. Udział osób w wieku co najmniej 60 lat w ogólnej populacji wzrósł w ciągu tych trzech dekad o ponad 10 punktów procentowych – z 14,7% w 1989 r. do 24,8% w 2018 r. Jednocześnie w tym czasie odsetek dzieci i młodzieży zmniejszył się o ok. 12 punktów procentowych, co pośrednio przyczyniło się do pogłębienia przyrostu udziału liczebności osób starszych w całości populacji Polski</w:t>
      </w:r>
      <w:r w:rsidRPr="00B072AC">
        <w:rPr>
          <w:color w:val="0070C0"/>
          <w:vertAlign w:val="superscript"/>
        </w:rPr>
        <w:footnoteReference w:id="3"/>
      </w:r>
      <w:r>
        <w:t>.</w:t>
      </w:r>
    </w:p>
    <w:p w14:paraId="6DC1FD87" w14:textId="77777777" w:rsidR="001946C8" w:rsidRDefault="001946C8" w:rsidP="001946C8">
      <w:pPr>
        <w:jc w:val="both"/>
      </w:pPr>
      <w:r>
        <w:t>Współczynnik obciążenia demograficznego (obrazujący liczbę osób w wieku nieprodukcyjnym przypadającą na 100 osób w wieku produkcyjnym) rośnie w Polsce od kilku lat – w 2019 r. wyniósł 67 wobec 55 w 2010 r. Jednakże bardziej istotne niż wartość ogólnego współczynnika są proporcje wskaźników cząstkowych (rozpatrywane odrębnie relacje liczby osób w wieku przedprodukcyjnym oraz liczby osób w wieku poprodukcyjnym do zbiorowości w wieku produkcyjnym). Ich analiza wskazuje na niekorzystne zmiany w obydwu rozpatrywanych grupach. Wskaźnik obciążenia dla osób w wieku przedprodukcyjnym od kilku lat pozostaje praktycznie bez zmian, natomiast wzrasta regularnie dla wieku poprodukcyjnego (najgwałtowniej w ciągu ostatniej dekady). W 2019 r. na każde 100 osób w wieku produkcyjnym przypadało 30 osób w wieku przedprodukcyjnym i aż 37 osób w wieku poprodukcyjnym</w:t>
      </w:r>
      <w:r>
        <w:rPr>
          <w:rStyle w:val="Odwoanieprzypisudolnego"/>
        </w:rPr>
        <w:footnoteReference w:id="4"/>
      </w:r>
      <w:r>
        <w:t>. Zmiany w tym zakresie w minionych latach prezentuje tabela 1.</w:t>
      </w:r>
    </w:p>
    <w:p w14:paraId="46280B5E" w14:textId="77777777" w:rsidR="001946C8" w:rsidRPr="00F751E2" w:rsidRDefault="001946C8" w:rsidP="001946C8">
      <w:pPr>
        <w:spacing w:after="120"/>
        <w:jc w:val="center"/>
        <w:rPr>
          <w:i/>
          <w:color w:val="0070C0"/>
        </w:rPr>
      </w:pPr>
      <w:r w:rsidRPr="00F751E2">
        <w:rPr>
          <w:i/>
          <w:color w:val="0070C0"/>
        </w:rPr>
        <w:t>Tabela 1. Współczynnik obciążenia demograficznego w wybranych latach</w:t>
      </w:r>
    </w:p>
    <w:tbl>
      <w:tblPr>
        <w:tblStyle w:val="Tabela-Siatk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64"/>
        <w:gridCol w:w="851"/>
        <w:gridCol w:w="850"/>
        <w:gridCol w:w="851"/>
        <w:gridCol w:w="850"/>
        <w:gridCol w:w="851"/>
        <w:gridCol w:w="845"/>
      </w:tblGrid>
      <w:tr w:rsidR="001946C8" w14:paraId="0C828F68" w14:textId="77777777" w:rsidTr="00A4488F">
        <w:tc>
          <w:tcPr>
            <w:tcW w:w="3964" w:type="dxa"/>
            <w:vMerge w:val="restart"/>
            <w:shd w:val="clear" w:color="auto" w:fill="9CC2E5" w:themeFill="accent1" w:themeFillTint="99"/>
            <w:vAlign w:val="center"/>
          </w:tcPr>
          <w:p w14:paraId="09490193" w14:textId="77777777" w:rsidR="001946C8" w:rsidRPr="00F751E2" w:rsidRDefault="001946C8" w:rsidP="00A4488F">
            <w:pPr>
              <w:spacing w:before="60" w:after="60"/>
              <w:jc w:val="both"/>
              <w:rPr>
                <w:b/>
              </w:rPr>
            </w:pPr>
            <w:r w:rsidRPr="00F751E2">
              <w:rPr>
                <w:b/>
              </w:rPr>
              <w:t>Wyszczególnienie</w:t>
            </w:r>
          </w:p>
        </w:tc>
        <w:tc>
          <w:tcPr>
            <w:tcW w:w="5098" w:type="dxa"/>
            <w:gridSpan w:val="6"/>
            <w:shd w:val="clear" w:color="auto" w:fill="9CC2E5" w:themeFill="accent1" w:themeFillTint="99"/>
            <w:vAlign w:val="center"/>
          </w:tcPr>
          <w:p w14:paraId="50CE1182" w14:textId="77777777" w:rsidR="001946C8" w:rsidRPr="00F751E2" w:rsidRDefault="001946C8" w:rsidP="00A4488F">
            <w:pPr>
              <w:spacing w:before="60" w:after="60"/>
              <w:jc w:val="center"/>
              <w:rPr>
                <w:b/>
              </w:rPr>
            </w:pPr>
            <w:r w:rsidRPr="00F751E2">
              <w:rPr>
                <w:b/>
              </w:rPr>
              <w:t>Rok</w:t>
            </w:r>
          </w:p>
        </w:tc>
      </w:tr>
      <w:tr w:rsidR="001946C8" w14:paraId="215DB122" w14:textId="77777777" w:rsidTr="00A4488F">
        <w:tc>
          <w:tcPr>
            <w:tcW w:w="3964" w:type="dxa"/>
            <w:vMerge/>
            <w:shd w:val="clear" w:color="auto" w:fill="9CC2E5" w:themeFill="accent1" w:themeFillTint="99"/>
            <w:vAlign w:val="center"/>
          </w:tcPr>
          <w:p w14:paraId="07C440D5" w14:textId="77777777" w:rsidR="001946C8" w:rsidRPr="00F751E2" w:rsidRDefault="001946C8" w:rsidP="00A4488F">
            <w:pPr>
              <w:spacing w:before="60" w:after="60"/>
              <w:jc w:val="both"/>
              <w:rPr>
                <w:b/>
              </w:rPr>
            </w:pPr>
          </w:p>
        </w:tc>
        <w:tc>
          <w:tcPr>
            <w:tcW w:w="851" w:type="dxa"/>
            <w:shd w:val="clear" w:color="auto" w:fill="9CC2E5" w:themeFill="accent1" w:themeFillTint="99"/>
            <w:vAlign w:val="center"/>
          </w:tcPr>
          <w:p w14:paraId="0EF7D9C3" w14:textId="77777777" w:rsidR="001946C8" w:rsidRPr="00F751E2" w:rsidRDefault="001946C8" w:rsidP="00A4488F">
            <w:pPr>
              <w:spacing w:before="60" w:after="60"/>
              <w:jc w:val="center"/>
              <w:rPr>
                <w:b/>
              </w:rPr>
            </w:pPr>
            <w:r w:rsidRPr="00F751E2">
              <w:rPr>
                <w:b/>
              </w:rPr>
              <w:t>1990</w:t>
            </w:r>
          </w:p>
        </w:tc>
        <w:tc>
          <w:tcPr>
            <w:tcW w:w="850" w:type="dxa"/>
            <w:shd w:val="clear" w:color="auto" w:fill="9CC2E5" w:themeFill="accent1" w:themeFillTint="99"/>
            <w:vAlign w:val="center"/>
          </w:tcPr>
          <w:p w14:paraId="5569D206" w14:textId="77777777" w:rsidR="001946C8" w:rsidRPr="00F751E2" w:rsidRDefault="001946C8" w:rsidP="00A4488F">
            <w:pPr>
              <w:spacing w:before="60" w:after="60"/>
              <w:jc w:val="center"/>
              <w:rPr>
                <w:b/>
              </w:rPr>
            </w:pPr>
            <w:r w:rsidRPr="00F751E2">
              <w:rPr>
                <w:b/>
              </w:rPr>
              <w:t>1995</w:t>
            </w:r>
          </w:p>
        </w:tc>
        <w:tc>
          <w:tcPr>
            <w:tcW w:w="851" w:type="dxa"/>
            <w:shd w:val="clear" w:color="auto" w:fill="9CC2E5" w:themeFill="accent1" w:themeFillTint="99"/>
            <w:vAlign w:val="center"/>
          </w:tcPr>
          <w:p w14:paraId="57AB1542" w14:textId="77777777" w:rsidR="001946C8" w:rsidRPr="00F751E2" w:rsidRDefault="001946C8" w:rsidP="00A4488F">
            <w:pPr>
              <w:spacing w:before="60" w:after="60"/>
              <w:jc w:val="center"/>
              <w:rPr>
                <w:b/>
              </w:rPr>
            </w:pPr>
            <w:r w:rsidRPr="00F751E2">
              <w:rPr>
                <w:b/>
              </w:rPr>
              <w:t>2000</w:t>
            </w:r>
          </w:p>
        </w:tc>
        <w:tc>
          <w:tcPr>
            <w:tcW w:w="850" w:type="dxa"/>
            <w:shd w:val="clear" w:color="auto" w:fill="9CC2E5" w:themeFill="accent1" w:themeFillTint="99"/>
            <w:vAlign w:val="center"/>
          </w:tcPr>
          <w:p w14:paraId="595B6017" w14:textId="77777777" w:rsidR="001946C8" w:rsidRPr="00F751E2" w:rsidRDefault="001946C8" w:rsidP="00A4488F">
            <w:pPr>
              <w:spacing w:before="60" w:after="60"/>
              <w:jc w:val="center"/>
              <w:rPr>
                <w:b/>
              </w:rPr>
            </w:pPr>
            <w:r w:rsidRPr="00F751E2">
              <w:rPr>
                <w:b/>
              </w:rPr>
              <w:t>2010</w:t>
            </w:r>
          </w:p>
        </w:tc>
        <w:tc>
          <w:tcPr>
            <w:tcW w:w="851" w:type="dxa"/>
            <w:shd w:val="clear" w:color="auto" w:fill="9CC2E5" w:themeFill="accent1" w:themeFillTint="99"/>
            <w:vAlign w:val="center"/>
          </w:tcPr>
          <w:p w14:paraId="21822767" w14:textId="77777777" w:rsidR="001946C8" w:rsidRPr="00F751E2" w:rsidRDefault="001946C8" w:rsidP="00A4488F">
            <w:pPr>
              <w:spacing w:before="60" w:after="60"/>
              <w:jc w:val="center"/>
              <w:rPr>
                <w:b/>
              </w:rPr>
            </w:pPr>
            <w:r w:rsidRPr="00F751E2">
              <w:rPr>
                <w:b/>
              </w:rPr>
              <w:t>2018</w:t>
            </w:r>
          </w:p>
        </w:tc>
        <w:tc>
          <w:tcPr>
            <w:tcW w:w="845" w:type="dxa"/>
            <w:shd w:val="clear" w:color="auto" w:fill="9CC2E5" w:themeFill="accent1" w:themeFillTint="99"/>
            <w:vAlign w:val="center"/>
          </w:tcPr>
          <w:p w14:paraId="192E541E" w14:textId="77777777" w:rsidR="001946C8" w:rsidRPr="00F751E2" w:rsidRDefault="001946C8" w:rsidP="00A4488F">
            <w:pPr>
              <w:spacing w:before="60" w:after="60"/>
              <w:jc w:val="center"/>
              <w:rPr>
                <w:b/>
              </w:rPr>
            </w:pPr>
            <w:r w:rsidRPr="00F751E2">
              <w:rPr>
                <w:b/>
              </w:rPr>
              <w:t>2019</w:t>
            </w:r>
          </w:p>
        </w:tc>
      </w:tr>
      <w:tr w:rsidR="001946C8" w14:paraId="4E58CF33" w14:textId="77777777" w:rsidTr="00A4488F">
        <w:tc>
          <w:tcPr>
            <w:tcW w:w="3964" w:type="dxa"/>
            <w:shd w:val="clear" w:color="auto" w:fill="DEEAF6" w:themeFill="accent1" w:themeFillTint="33"/>
            <w:vAlign w:val="center"/>
          </w:tcPr>
          <w:p w14:paraId="22611B9A" w14:textId="77777777" w:rsidR="001946C8" w:rsidRPr="00F751E2" w:rsidRDefault="001946C8" w:rsidP="00A4488F">
            <w:pPr>
              <w:spacing w:before="60" w:after="60"/>
              <w:jc w:val="both"/>
              <w:rPr>
                <w:b/>
              </w:rPr>
            </w:pPr>
            <w:r w:rsidRPr="00F751E2">
              <w:rPr>
                <w:b/>
              </w:rPr>
              <w:t>Ogółem</w:t>
            </w:r>
          </w:p>
        </w:tc>
        <w:tc>
          <w:tcPr>
            <w:tcW w:w="851" w:type="dxa"/>
            <w:shd w:val="clear" w:color="auto" w:fill="DEEAF6" w:themeFill="accent1" w:themeFillTint="33"/>
            <w:vAlign w:val="center"/>
          </w:tcPr>
          <w:p w14:paraId="026CA9E8" w14:textId="77777777" w:rsidR="001946C8" w:rsidRDefault="001946C8" w:rsidP="00A4488F">
            <w:pPr>
              <w:spacing w:before="60" w:after="60"/>
              <w:jc w:val="center"/>
            </w:pPr>
            <w:r>
              <w:t>74</w:t>
            </w:r>
          </w:p>
        </w:tc>
        <w:tc>
          <w:tcPr>
            <w:tcW w:w="850" w:type="dxa"/>
            <w:shd w:val="clear" w:color="auto" w:fill="DEEAF6" w:themeFill="accent1" w:themeFillTint="33"/>
            <w:vAlign w:val="center"/>
          </w:tcPr>
          <w:p w14:paraId="1DBEDD49" w14:textId="77777777" w:rsidR="001946C8" w:rsidRDefault="001946C8" w:rsidP="00A4488F">
            <w:pPr>
              <w:spacing w:before="60" w:after="60"/>
              <w:jc w:val="center"/>
            </w:pPr>
            <w:r>
              <w:t>68</w:t>
            </w:r>
          </w:p>
        </w:tc>
        <w:tc>
          <w:tcPr>
            <w:tcW w:w="851" w:type="dxa"/>
            <w:shd w:val="clear" w:color="auto" w:fill="DEEAF6" w:themeFill="accent1" w:themeFillTint="33"/>
            <w:vAlign w:val="center"/>
          </w:tcPr>
          <w:p w14:paraId="3E3BEF3F" w14:textId="77777777" w:rsidR="001946C8" w:rsidRDefault="001946C8" w:rsidP="00A4488F">
            <w:pPr>
              <w:spacing w:before="60" w:after="60"/>
              <w:jc w:val="center"/>
            </w:pPr>
            <w:r>
              <w:t>64</w:t>
            </w:r>
          </w:p>
        </w:tc>
        <w:tc>
          <w:tcPr>
            <w:tcW w:w="850" w:type="dxa"/>
            <w:shd w:val="clear" w:color="auto" w:fill="DEEAF6" w:themeFill="accent1" w:themeFillTint="33"/>
            <w:vAlign w:val="center"/>
          </w:tcPr>
          <w:p w14:paraId="1C56176F" w14:textId="77777777" w:rsidR="001946C8" w:rsidRDefault="001946C8" w:rsidP="00A4488F">
            <w:pPr>
              <w:spacing w:before="60" w:after="60"/>
              <w:jc w:val="center"/>
            </w:pPr>
            <w:r>
              <w:t>55</w:t>
            </w:r>
          </w:p>
        </w:tc>
        <w:tc>
          <w:tcPr>
            <w:tcW w:w="851" w:type="dxa"/>
            <w:shd w:val="clear" w:color="auto" w:fill="DEEAF6" w:themeFill="accent1" w:themeFillTint="33"/>
            <w:vAlign w:val="center"/>
          </w:tcPr>
          <w:p w14:paraId="2DCDC51B" w14:textId="77777777" w:rsidR="001946C8" w:rsidRDefault="001946C8" w:rsidP="00A4488F">
            <w:pPr>
              <w:spacing w:before="60" w:after="60"/>
              <w:jc w:val="center"/>
            </w:pPr>
            <w:r>
              <w:t>65</w:t>
            </w:r>
          </w:p>
        </w:tc>
        <w:tc>
          <w:tcPr>
            <w:tcW w:w="845" w:type="dxa"/>
            <w:shd w:val="clear" w:color="auto" w:fill="DEEAF6" w:themeFill="accent1" w:themeFillTint="33"/>
            <w:vAlign w:val="center"/>
          </w:tcPr>
          <w:p w14:paraId="4A0F7719" w14:textId="77777777" w:rsidR="001946C8" w:rsidRDefault="001946C8" w:rsidP="00A4488F">
            <w:pPr>
              <w:spacing w:before="60" w:after="60"/>
              <w:jc w:val="center"/>
            </w:pPr>
            <w:r>
              <w:t>67</w:t>
            </w:r>
          </w:p>
        </w:tc>
      </w:tr>
      <w:tr w:rsidR="001946C8" w14:paraId="68E69E95" w14:textId="77777777" w:rsidTr="00A4488F">
        <w:tc>
          <w:tcPr>
            <w:tcW w:w="3964" w:type="dxa"/>
            <w:shd w:val="clear" w:color="auto" w:fill="BDD6EE" w:themeFill="accent1" w:themeFillTint="66"/>
            <w:vAlign w:val="center"/>
          </w:tcPr>
          <w:p w14:paraId="4011BE8E" w14:textId="77777777" w:rsidR="001946C8" w:rsidRPr="00F751E2" w:rsidRDefault="001946C8" w:rsidP="00A4488F">
            <w:pPr>
              <w:spacing w:before="60" w:after="60"/>
              <w:jc w:val="both"/>
              <w:rPr>
                <w:b/>
              </w:rPr>
            </w:pPr>
            <w:r w:rsidRPr="00F751E2">
              <w:rPr>
                <w:b/>
              </w:rPr>
              <w:t>Przedprodukcyjny</w:t>
            </w:r>
            <w:r>
              <w:rPr>
                <w:b/>
              </w:rPr>
              <w:t xml:space="preserve"> </w:t>
            </w:r>
            <w:r w:rsidRPr="00F751E2">
              <w:rPr>
                <w:b/>
              </w:rPr>
              <w:t>(0 -17 lat)</w:t>
            </w:r>
          </w:p>
        </w:tc>
        <w:tc>
          <w:tcPr>
            <w:tcW w:w="851" w:type="dxa"/>
            <w:shd w:val="clear" w:color="auto" w:fill="BDD6EE" w:themeFill="accent1" w:themeFillTint="66"/>
            <w:vAlign w:val="center"/>
          </w:tcPr>
          <w:p w14:paraId="03C81E10" w14:textId="77777777" w:rsidR="001946C8" w:rsidRDefault="001946C8" w:rsidP="00A4488F">
            <w:pPr>
              <w:spacing w:before="60" w:after="60"/>
              <w:jc w:val="center"/>
            </w:pPr>
            <w:r>
              <w:t>52</w:t>
            </w:r>
          </w:p>
        </w:tc>
        <w:tc>
          <w:tcPr>
            <w:tcW w:w="850" w:type="dxa"/>
            <w:shd w:val="clear" w:color="auto" w:fill="BDD6EE" w:themeFill="accent1" w:themeFillTint="66"/>
            <w:vAlign w:val="center"/>
          </w:tcPr>
          <w:p w14:paraId="2F360270" w14:textId="77777777" w:rsidR="001946C8" w:rsidRDefault="001946C8" w:rsidP="00A4488F">
            <w:pPr>
              <w:spacing w:before="60" w:after="60"/>
              <w:jc w:val="center"/>
            </w:pPr>
            <w:r>
              <w:t>45</w:t>
            </w:r>
          </w:p>
        </w:tc>
        <w:tc>
          <w:tcPr>
            <w:tcW w:w="851" w:type="dxa"/>
            <w:shd w:val="clear" w:color="auto" w:fill="BDD6EE" w:themeFill="accent1" w:themeFillTint="66"/>
            <w:vAlign w:val="center"/>
          </w:tcPr>
          <w:p w14:paraId="4608461F" w14:textId="77777777" w:rsidR="001946C8" w:rsidRDefault="001946C8" w:rsidP="00A4488F">
            <w:pPr>
              <w:spacing w:before="60" w:after="60"/>
              <w:jc w:val="center"/>
            </w:pPr>
            <w:r>
              <w:t>40</w:t>
            </w:r>
          </w:p>
        </w:tc>
        <w:tc>
          <w:tcPr>
            <w:tcW w:w="850" w:type="dxa"/>
            <w:shd w:val="clear" w:color="auto" w:fill="BDD6EE" w:themeFill="accent1" w:themeFillTint="66"/>
            <w:vAlign w:val="center"/>
          </w:tcPr>
          <w:p w14:paraId="4676FF62" w14:textId="77777777" w:rsidR="001946C8" w:rsidRDefault="001946C8" w:rsidP="00A4488F">
            <w:pPr>
              <w:spacing w:before="60" w:after="60"/>
              <w:jc w:val="center"/>
            </w:pPr>
            <w:r>
              <w:t>29</w:t>
            </w:r>
          </w:p>
        </w:tc>
        <w:tc>
          <w:tcPr>
            <w:tcW w:w="851" w:type="dxa"/>
            <w:shd w:val="clear" w:color="auto" w:fill="BDD6EE" w:themeFill="accent1" w:themeFillTint="66"/>
            <w:vAlign w:val="center"/>
          </w:tcPr>
          <w:p w14:paraId="5E30308F" w14:textId="77777777" w:rsidR="001946C8" w:rsidRDefault="001946C8" w:rsidP="00A4488F">
            <w:pPr>
              <w:spacing w:before="60" w:after="60"/>
              <w:jc w:val="center"/>
            </w:pPr>
            <w:r>
              <w:t>30</w:t>
            </w:r>
          </w:p>
        </w:tc>
        <w:tc>
          <w:tcPr>
            <w:tcW w:w="845" w:type="dxa"/>
            <w:shd w:val="clear" w:color="auto" w:fill="BDD6EE" w:themeFill="accent1" w:themeFillTint="66"/>
            <w:vAlign w:val="center"/>
          </w:tcPr>
          <w:p w14:paraId="79C3D59B" w14:textId="77777777" w:rsidR="001946C8" w:rsidRDefault="001946C8" w:rsidP="00A4488F">
            <w:pPr>
              <w:spacing w:before="60" w:after="60"/>
              <w:jc w:val="center"/>
            </w:pPr>
            <w:r>
              <w:t>30</w:t>
            </w:r>
          </w:p>
        </w:tc>
      </w:tr>
      <w:tr w:rsidR="001946C8" w14:paraId="5F816D55" w14:textId="77777777" w:rsidTr="00A4488F">
        <w:tc>
          <w:tcPr>
            <w:tcW w:w="3964" w:type="dxa"/>
            <w:shd w:val="clear" w:color="auto" w:fill="DEEAF6" w:themeFill="accent1" w:themeFillTint="33"/>
            <w:vAlign w:val="center"/>
          </w:tcPr>
          <w:p w14:paraId="725E9CF5" w14:textId="77777777" w:rsidR="001946C8" w:rsidRPr="00F751E2" w:rsidRDefault="001946C8" w:rsidP="00A4488F">
            <w:pPr>
              <w:spacing w:before="60" w:after="60"/>
              <w:jc w:val="both"/>
              <w:rPr>
                <w:b/>
              </w:rPr>
            </w:pPr>
            <w:r w:rsidRPr="00F751E2">
              <w:rPr>
                <w:b/>
              </w:rPr>
              <w:t>Poprodukcyjny</w:t>
            </w:r>
            <w:r>
              <w:rPr>
                <w:b/>
              </w:rPr>
              <w:t xml:space="preserve"> </w:t>
            </w:r>
            <w:r w:rsidRPr="00F751E2">
              <w:rPr>
                <w:b/>
              </w:rPr>
              <w:t>(</w:t>
            </w:r>
            <w:r>
              <w:rPr>
                <w:b/>
              </w:rPr>
              <w:t xml:space="preserve">od </w:t>
            </w:r>
            <w:r w:rsidRPr="00F751E2">
              <w:rPr>
                <w:b/>
              </w:rPr>
              <w:t>60</w:t>
            </w:r>
            <w:r w:rsidRPr="00144B9C">
              <w:rPr>
                <w:b/>
              </w:rPr>
              <w:t>/</w:t>
            </w:r>
            <w:r w:rsidRPr="00F751E2">
              <w:rPr>
                <w:b/>
              </w:rPr>
              <w:t>65 lat</w:t>
            </w:r>
            <w:r>
              <w:rPr>
                <w:b/>
              </w:rPr>
              <w:t>*</w:t>
            </w:r>
            <w:r w:rsidRPr="00F751E2">
              <w:rPr>
                <w:b/>
              </w:rPr>
              <w:t>)</w:t>
            </w:r>
          </w:p>
        </w:tc>
        <w:tc>
          <w:tcPr>
            <w:tcW w:w="851" w:type="dxa"/>
            <w:shd w:val="clear" w:color="auto" w:fill="DEEAF6" w:themeFill="accent1" w:themeFillTint="33"/>
            <w:vAlign w:val="center"/>
          </w:tcPr>
          <w:p w14:paraId="32B8533F" w14:textId="77777777" w:rsidR="001946C8" w:rsidRDefault="001946C8" w:rsidP="00A4488F">
            <w:pPr>
              <w:spacing w:before="60" w:after="60"/>
              <w:jc w:val="center"/>
            </w:pPr>
            <w:r>
              <w:t>22</w:t>
            </w:r>
          </w:p>
        </w:tc>
        <w:tc>
          <w:tcPr>
            <w:tcW w:w="850" w:type="dxa"/>
            <w:shd w:val="clear" w:color="auto" w:fill="DEEAF6" w:themeFill="accent1" w:themeFillTint="33"/>
            <w:vAlign w:val="center"/>
          </w:tcPr>
          <w:p w14:paraId="645E759F" w14:textId="77777777" w:rsidR="001946C8" w:rsidRDefault="001946C8" w:rsidP="00A4488F">
            <w:pPr>
              <w:spacing w:before="60" w:after="60"/>
              <w:jc w:val="center"/>
            </w:pPr>
            <w:r>
              <w:t>23</w:t>
            </w:r>
          </w:p>
        </w:tc>
        <w:tc>
          <w:tcPr>
            <w:tcW w:w="851" w:type="dxa"/>
            <w:shd w:val="clear" w:color="auto" w:fill="DEEAF6" w:themeFill="accent1" w:themeFillTint="33"/>
            <w:vAlign w:val="center"/>
          </w:tcPr>
          <w:p w14:paraId="16D33785" w14:textId="77777777" w:rsidR="001946C8" w:rsidRDefault="001946C8" w:rsidP="00A4488F">
            <w:pPr>
              <w:spacing w:before="60" w:after="60"/>
              <w:jc w:val="center"/>
            </w:pPr>
            <w:r>
              <w:t>24</w:t>
            </w:r>
          </w:p>
        </w:tc>
        <w:tc>
          <w:tcPr>
            <w:tcW w:w="850" w:type="dxa"/>
            <w:shd w:val="clear" w:color="auto" w:fill="DEEAF6" w:themeFill="accent1" w:themeFillTint="33"/>
            <w:vAlign w:val="center"/>
          </w:tcPr>
          <w:p w14:paraId="4005AC3A" w14:textId="77777777" w:rsidR="001946C8" w:rsidRDefault="001946C8" w:rsidP="00A4488F">
            <w:pPr>
              <w:spacing w:before="60" w:after="60"/>
              <w:jc w:val="center"/>
            </w:pPr>
            <w:r>
              <w:t>26</w:t>
            </w:r>
          </w:p>
        </w:tc>
        <w:tc>
          <w:tcPr>
            <w:tcW w:w="851" w:type="dxa"/>
            <w:shd w:val="clear" w:color="auto" w:fill="DEEAF6" w:themeFill="accent1" w:themeFillTint="33"/>
            <w:vAlign w:val="center"/>
          </w:tcPr>
          <w:p w14:paraId="34AD0EC7" w14:textId="77777777" w:rsidR="001946C8" w:rsidRDefault="001946C8" w:rsidP="00A4488F">
            <w:pPr>
              <w:spacing w:before="60" w:after="60"/>
              <w:jc w:val="center"/>
            </w:pPr>
            <w:r>
              <w:t>35</w:t>
            </w:r>
          </w:p>
        </w:tc>
        <w:tc>
          <w:tcPr>
            <w:tcW w:w="845" w:type="dxa"/>
            <w:shd w:val="clear" w:color="auto" w:fill="DEEAF6" w:themeFill="accent1" w:themeFillTint="33"/>
            <w:vAlign w:val="center"/>
          </w:tcPr>
          <w:p w14:paraId="6E1CBCBC" w14:textId="77777777" w:rsidR="001946C8" w:rsidRDefault="001946C8" w:rsidP="00A4488F">
            <w:pPr>
              <w:spacing w:before="60" w:after="60"/>
              <w:jc w:val="center"/>
            </w:pPr>
            <w:r>
              <w:t>37</w:t>
            </w:r>
          </w:p>
        </w:tc>
      </w:tr>
    </w:tbl>
    <w:p w14:paraId="034C4B98" w14:textId="77777777" w:rsidR="001946C8" w:rsidRPr="00F751E2" w:rsidRDefault="001946C8" w:rsidP="001946C8">
      <w:pPr>
        <w:spacing w:after="120"/>
        <w:rPr>
          <w:sz w:val="16"/>
          <w:szCs w:val="16"/>
        </w:rPr>
      </w:pPr>
      <w:r>
        <w:rPr>
          <w:sz w:val="16"/>
          <w:szCs w:val="16"/>
        </w:rPr>
        <w:t>*</w:t>
      </w:r>
      <w:r w:rsidRPr="00F751E2">
        <w:rPr>
          <w:sz w:val="16"/>
          <w:szCs w:val="16"/>
        </w:rPr>
        <w:t>od 60 lat dla kobiet, od 65 lat dla mężczyzn</w:t>
      </w:r>
    </w:p>
    <w:p w14:paraId="20FCC769" w14:textId="77777777" w:rsidR="001946C8" w:rsidRPr="00F751E2" w:rsidRDefault="001946C8" w:rsidP="001946C8">
      <w:pPr>
        <w:spacing w:after="120"/>
        <w:jc w:val="center"/>
        <w:rPr>
          <w:sz w:val="16"/>
          <w:szCs w:val="16"/>
        </w:rPr>
      </w:pPr>
      <w:r w:rsidRPr="00F751E2">
        <w:rPr>
          <w:sz w:val="16"/>
          <w:szCs w:val="16"/>
        </w:rPr>
        <w:t xml:space="preserve">Źródło: </w:t>
      </w:r>
      <w:r w:rsidRPr="00144B9C">
        <w:rPr>
          <w:i/>
          <w:sz w:val="16"/>
          <w:szCs w:val="16"/>
        </w:rPr>
        <w:t>Ludność. Stan i struktura oraz ruch naturalny w przekroju terytorialnym w 2019 r.</w:t>
      </w:r>
      <w:r w:rsidRPr="00144B9C">
        <w:rPr>
          <w:sz w:val="16"/>
          <w:szCs w:val="16"/>
        </w:rPr>
        <w:t xml:space="preserve"> Stan w dniu 31 XII, GUS, 2019, s. 18.</w:t>
      </w:r>
    </w:p>
    <w:p w14:paraId="1C7ABBAD" w14:textId="77777777" w:rsidR="001946C8" w:rsidRDefault="001946C8" w:rsidP="001946C8">
      <w:pPr>
        <w:spacing w:after="120"/>
        <w:jc w:val="both"/>
      </w:pPr>
      <w:r>
        <w:lastRenderedPageBreak/>
        <w:t>Ludność Polski jest obecnie przeciętnie młodsza niż ludność większości krajów Unii Europejskiej, ale – jak wynika z prognozy Eurostatu – ta korzystna dla Polski różnica będzie stopniowo zanikać. W połowie obecnego stulecia zarówno mediana wieku, jak i odsetek osób w wieku 65 lat i więcej będą w Polsce wyraźnie wyższe od przeciętnych wartości dla krajów Unii Europejskiej (UE)</w:t>
      </w:r>
      <w:r w:rsidRPr="00B072AC">
        <w:rPr>
          <w:color w:val="0070C0"/>
          <w:vertAlign w:val="superscript"/>
        </w:rPr>
        <w:footnoteReference w:id="5"/>
      </w:r>
      <w:r>
        <w:t>. Na tle UE sytuacja demograficzna Polski zmienia się bardzo dynamicznie, gdyż – zgodnie z przewidywaniami – z kraju o stosunkowo młodej populacji, Polska w 2050 r. stanie się najprawdopodobniej siódmym najstarszym krajem w UE pod względem odsetka osób w wieku co najmniej 65 lat</w:t>
      </w:r>
      <w:r w:rsidRPr="00B072AC">
        <w:rPr>
          <w:color w:val="0070C0"/>
          <w:vertAlign w:val="superscript"/>
        </w:rPr>
        <w:footnoteReference w:id="6"/>
      </w:r>
      <w:r>
        <w:t>.</w:t>
      </w:r>
    </w:p>
    <w:p w14:paraId="2B7E8CA1" w14:textId="77777777" w:rsidR="001946C8" w:rsidRDefault="001946C8" w:rsidP="001946C8">
      <w:pPr>
        <w:spacing w:after="120"/>
        <w:jc w:val="both"/>
      </w:pPr>
      <w:r>
        <w:t xml:space="preserve">Wyniki prognozy GUS dotyczącej liczby ludności Polski na lata 2014–2050 wskazują na pogłębianie się procesu </w:t>
      </w:r>
      <w:r w:rsidRPr="00EA0E23">
        <w:rPr>
          <w:b/>
        </w:rPr>
        <w:t xml:space="preserve">starzenia </w:t>
      </w:r>
      <w:r>
        <w:rPr>
          <w:b/>
        </w:rPr>
        <w:t xml:space="preserve">się </w:t>
      </w:r>
      <w:r w:rsidRPr="00EA0E23">
        <w:rPr>
          <w:b/>
        </w:rPr>
        <w:t>społeczeństwa</w:t>
      </w:r>
      <w:r>
        <w:t>. Mimo przewidywanego spadku liczby ludności o ok. 4,5 mln do 2050 r., spodziewany jest równocześnie systematyczny wzrost liczby ludności w wieku 60 lat i więcej. Populacja osób w tym wieku wzrośnie w końcu horyzontu prognozy do 13,7 mln i będzie stanowiła ponad 40% ogółu ludności</w:t>
      </w:r>
      <w:r w:rsidRPr="00B072AC">
        <w:rPr>
          <w:color w:val="0070C0"/>
          <w:vertAlign w:val="superscript"/>
        </w:rPr>
        <w:footnoteReference w:id="7"/>
      </w:r>
      <w:r>
        <w:t>. Prognozowany procentowy udział osób starszych w populacji Polski, w tym w podziale na poszczególne grupy wiekowe, w kolejnych dekadach XXI w. przedstawia tabela 1.</w:t>
      </w:r>
      <w:bookmarkEnd w:id="4"/>
    </w:p>
    <w:p w14:paraId="30E5B97B" w14:textId="77777777" w:rsidR="001946C8" w:rsidRPr="00B072AC" w:rsidRDefault="001946C8" w:rsidP="001946C8">
      <w:pPr>
        <w:spacing w:after="120"/>
        <w:jc w:val="center"/>
        <w:rPr>
          <w:rFonts w:cstheme="minorHAnsi"/>
          <w:color w:val="0070C0"/>
        </w:rPr>
      </w:pPr>
      <w:r w:rsidRPr="00B072AC">
        <w:rPr>
          <w:rFonts w:cstheme="minorHAnsi"/>
          <w:i/>
          <w:color w:val="0070C0"/>
        </w:rPr>
        <w:t xml:space="preserve">Tabela </w:t>
      </w:r>
      <w:r>
        <w:rPr>
          <w:rFonts w:cstheme="minorHAnsi"/>
          <w:i/>
          <w:color w:val="0070C0"/>
        </w:rPr>
        <w:t>2</w:t>
      </w:r>
      <w:r w:rsidRPr="00B072AC">
        <w:rPr>
          <w:rFonts w:cstheme="minorHAnsi"/>
          <w:i/>
          <w:color w:val="0070C0"/>
        </w:rPr>
        <w:t>. Prognozowany udział osób w wieku 60 lat i więcej</w:t>
      </w:r>
      <w:r w:rsidRPr="00B072AC">
        <w:rPr>
          <w:rFonts w:cstheme="minorHAnsi"/>
          <w:i/>
          <w:color w:val="0070C0"/>
        </w:rPr>
        <w:br/>
        <w:t>w populacji Polski w latach 2020–2050</w:t>
      </w:r>
    </w:p>
    <w:tbl>
      <w:tblPr>
        <w:tblW w:w="0" w:type="auto"/>
        <w:jc w:val="center"/>
        <w:tblLayout w:type="fixed"/>
        <w:tblLook w:val="0000" w:firstRow="0" w:lastRow="0" w:firstColumn="0" w:lastColumn="0" w:noHBand="0" w:noVBand="0"/>
      </w:tblPr>
      <w:tblGrid>
        <w:gridCol w:w="1795"/>
        <w:gridCol w:w="1177"/>
        <w:gridCol w:w="1134"/>
        <w:gridCol w:w="1134"/>
        <w:gridCol w:w="1134"/>
      </w:tblGrid>
      <w:tr w:rsidR="001946C8" w:rsidRPr="00B072AC" w14:paraId="7B936D2C" w14:textId="77777777" w:rsidTr="00A4488F">
        <w:trPr>
          <w:trHeight w:val="453"/>
          <w:jc w:val="center"/>
        </w:trPr>
        <w:tc>
          <w:tcPr>
            <w:tcW w:w="1795" w:type="dxa"/>
            <w:vMerge w:val="restart"/>
            <w:tcBorders>
              <w:top w:val="single" w:sz="4" w:space="0" w:color="FFFFFF"/>
              <w:left w:val="single" w:sz="4" w:space="0" w:color="FFFFFF"/>
              <w:bottom w:val="single" w:sz="4" w:space="0" w:color="FFFFFF"/>
              <w:right w:val="single" w:sz="4" w:space="0" w:color="FFFFFF"/>
            </w:tcBorders>
            <w:shd w:val="clear" w:color="auto" w:fill="9CC2E5"/>
            <w:vAlign w:val="center"/>
          </w:tcPr>
          <w:p w14:paraId="780977FA" w14:textId="77777777" w:rsidR="001946C8" w:rsidRPr="00B072AC" w:rsidRDefault="001946C8" w:rsidP="00A4488F">
            <w:pPr>
              <w:spacing w:before="40" w:after="40"/>
              <w:jc w:val="both"/>
              <w:rPr>
                <w:rFonts w:cstheme="minorHAnsi"/>
              </w:rPr>
            </w:pPr>
            <w:r w:rsidRPr="00B072AC">
              <w:rPr>
                <w:rFonts w:cstheme="minorHAnsi"/>
                <w:b/>
                <w:lang w:val="en-US"/>
              </w:rPr>
              <w:t>Grupa wiekowa</w:t>
            </w:r>
          </w:p>
        </w:tc>
        <w:tc>
          <w:tcPr>
            <w:tcW w:w="4579" w:type="dxa"/>
            <w:gridSpan w:val="4"/>
            <w:tcBorders>
              <w:top w:val="single" w:sz="4" w:space="0" w:color="FFFFFF"/>
              <w:left w:val="single" w:sz="4" w:space="0" w:color="FFFFFF"/>
              <w:bottom w:val="single" w:sz="4" w:space="0" w:color="FFFFFF"/>
              <w:right w:val="single" w:sz="4" w:space="0" w:color="FFFFFF"/>
            </w:tcBorders>
            <w:shd w:val="clear" w:color="auto" w:fill="9CC2E5"/>
            <w:vAlign w:val="center"/>
          </w:tcPr>
          <w:p w14:paraId="1E4C98ED" w14:textId="77777777" w:rsidR="001946C8" w:rsidRPr="00B072AC" w:rsidRDefault="001946C8" w:rsidP="00A4488F">
            <w:pPr>
              <w:spacing w:before="40" w:after="40"/>
              <w:jc w:val="center"/>
              <w:rPr>
                <w:rFonts w:cstheme="minorHAnsi"/>
              </w:rPr>
            </w:pPr>
            <w:r w:rsidRPr="00B072AC">
              <w:rPr>
                <w:rFonts w:cstheme="minorHAnsi"/>
                <w:b/>
              </w:rPr>
              <w:t>Prognozowany udział [%] osób w latach</w:t>
            </w:r>
          </w:p>
        </w:tc>
      </w:tr>
      <w:tr w:rsidR="001946C8" w:rsidRPr="00B072AC" w14:paraId="4DE90765" w14:textId="77777777" w:rsidTr="00A4488F">
        <w:trPr>
          <w:trHeight w:val="445"/>
          <w:jc w:val="center"/>
        </w:trPr>
        <w:tc>
          <w:tcPr>
            <w:tcW w:w="1795" w:type="dxa"/>
            <w:vMerge/>
            <w:tcBorders>
              <w:top w:val="single" w:sz="4" w:space="0" w:color="FFFFFF"/>
              <w:left w:val="single" w:sz="4" w:space="0" w:color="FFFFFF"/>
              <w:bottom w:val="single" w:sz="4" w:space="0" w:color="FFFFFF"/>
              <w:right w:val="single" w:sz="4" w:space="0" w:color="FFFFFF"/>
            </w:tcBorders>
            <w:shd w:val="clear" w:color="auto" w:fill="9CC2E5"/>
            <w:vAlign w:val="center"/>
          </w:tcPr>
          <w:p w14:paraId="61D03036" w14:textId="77777777" w:rsidR="001946C8" w:rsidRPr="00B072AC" w:rsidRDefault="001946C8" w:rsidP="00A4488F">
            <w:pPr>
              <w:spacing w:before="40" w:after="40"/>
              <w:jc w:val="both"/>
              <w:rPr>
                <w:rFonts w:cstheme="minorHAnsi"/>
                <w:b/>
              </w:rPr>
            </w:pPr>
          </w:p>
        </w:tc>
        <w:tc>
          <w:tcPr>
            <w:tcW w:w="1177" w:type="dxa"/>
            <w:tcBorders>
              <w:top w:val="single" w:sz="4" w:space="0" w:color="FFFFFF"/>
              <w:left w:val="single" w:sz="4" w:space="0" w:color="FFFFFF"/>
              <w:bottom w:val="single" w:sz="4" w:space="0" w:color="FFFFFF"/>
              <w:right w:val="single" w:sz="4" w:space="0" w:color="FFFFFF"/>
            </w:tcBorders>
            <w:shd w:val="clear" w:color="auto" w:fill="9CC2E5"/>
            <w:vAlign w:val="center"/>
          </w:tcPr>
          <w:p w14:paraId="0AD671F2" w14:textId="77777777" w:rsidR="001946C8" w:rsidRPr="00B072AC" w:rsidRDefault="001946C8" w:rsidP="00A4488F">
            <w:pPr>
              <w:spacing w:before="40" w:after="40"/>
              <w:jc w:val="center"/>
              <w:rPr>
                <w:rFonts w:cstheme="minorHAnsi"/>
              </w:rPr>
            </w:pPr>
            <w:r w:rsidRPr="00B072AC">
              <w:rPr>
                <w:rFonts w:cstheme="minorHAnsi"/>
                <w:b/>
                <w:lang w:val="en-US"/>
              </w:rPr>
              <w:t>2020</w:t>
            </w:r>
          </w:p>
        </w:tc>
        <w:tc>
          <w:tcPr>
            <w:tcW w:w="1134" w:type="dxa"/>
            <w:tcBorders>
              <w:top w:val="single" w:sz="4" w:space="0" w:color="FFFFFF"/>
              <w:left w:val="single" w:sz="4" w:space="0" w:color="FFFFFF"/>
              <w:bottom w:val="single" w:sz="4" w:space="0" w:color="FFFFFF"/>
              <w:right w:val="single" w:sz="4" w:space="0" w:color="FFFFFF"/>
            </w:tcBorders>
            <w:shd w:val="clear" w:color="auto" w:fill="9CC2E5"/>
            <w:vAlign w:val="center"/>
          </w:tcPr>
          <w:p w14:paraId="5FDDFAB9" w14:textId="77777777" w:rsidR="001946C8" w:rsidRPr="00B072AC" w:rsidRDefault="001946C8" w:rsidP="00A4488F">
            <w:pPr>
              <w:spacing w:before="40" w:after="40"/>
              <w:jc w:val="center"/>
              <w:rPr>
                <w:rFonts w:cstheme="minorHAnsi"/>
              </w:rPr>
            </w:pPr>
            <w:r w:rsidRPr="00B072AC">
              <w:rPr>
                <w:rFonts w:cstheme="minorHAnsi"/>
                <w:b/>
                <w:lang w:val="en-US"/>
              </w:rPr>
              <w:t>2030</w:t>
            </w:r>
          </w:p>
        </w:tc>
        <w:tc>
          <w:tcPr>
            <w:tcW w:w="1134" w:type="dxa"/>
            <w:tcBorders>
              <w:top w:val="single" w:sz="4" w:space="0" w:color="FFFFFF"/>
              <w:left w:val="single" w:sz="4" w:space="0" w:color="FFFFFF"/>
              <w:bottom w:val="single" w:sz="4" w:space="0" w:color="FFFFFF"/>
              <w:right w:val="single" w:sz="4" w:space="0" w:color="FFFFFF"/>
            </w:tcBorders>
            <w:shd w:val="clear" w:color="auto" w:fill="9CC2E5"/>
          </w:tcPr>
          <w:p w14:paraId="61E872AE" w14:textId="77777777" w:rsidR="001946C8" w:rsidRPr="00B072AC" w:rsidRDefault="001946C8" w:rsidP="00A4488F">
            <w:pPr>
              <w:spacing w:before="40" w:after="40"/>
              <w:jc w:val="center"/>
              <w:rPr>
                <w:rFonts w:cstheme="minorHAnsi"/>
              </w:rPr>
            </w:pPr>
            <w:r w:rsidRPr="00B072AC">
              <w:rPr>
                <w:rFonts w:cstheme="minorHAnsi"/>
                <w:b/>
                <w:lang w:val="en-US"/>
              </w:rPr>
              <w:t>2040</w:t>
            </w:r>
          </w:p>
        </w:tc>
        <w:tc>
          <w:tcPr>
            <w:tcW w:w="1134" w:type="dxa"/>
            <w:tcBorders>
              <w:top w:val="single" w:sz="4" w:space="0" w:color="FFFFFF"/>
              <w:left w:val="single" w:sz="4" w:space="0" w:color="FFFFFF"/>
              <w:bottom w:val="single" w:sz="4" w:space="0" w:color="FFFFFF"/>
              <w:right w:val="single" w:sz="4" w:space="0" w:color="FFFFFF"/>
            </w:tcBorders>
            <w:shd w:val="clear" w:color="auto" w:fill="9CC2E5"/>
          </w:tcPr>
          <w:p w14:paraId="2D84777F" w14:textId="77777777" w:rsidR="001946C8" w:rsidRPr="00B072AC" w:rsidRDefault="001946C8" w:rsidP="00A4488F">
            <w:pPr>
              <w:spacing w:before="40" w:after="40"/>
              <w:jc w:val="center"/>
              <w:rPr>
                <w:rFonts w:cstheme="minorHAnsi"/>
              </w:rPr>
            </w:pPr>
            <w:r w:rsidRPr="00B072AC">
              <w:rPr>
                <w:rFonts w:cstheme="minorHAnsi"/>
                <w:b/>
                <w:lang w:val="en-US"/>
              </w:rPr>
              <w:t>2050</w:t>
            </w:r>
          </w:p>
        </w:tc>
      </w:tr>
      <w:tr w:rsidR="001946C8" w:rsidRPr="00B072AC" w14:paraId="00F82062" w14:textId="77777777" w:rsidTr="00A4488F">
        <w:trPr>
          <w:jc w:val="center"/>
        </w:trPr>
        <w:tc>
          <w:tcPr>
            <w:tcW w:w="1795" w:type="dxa"/>
            <w:tcBorders>
              <w:top w:val="single" w:sz="4" w:space="0" w:color="FFFFFF"/>
              <w:left w:val="single" w:sz="4" w:space="0" w:color="FFFFFF"/>
              <w:bottom w:val="single" w:sz="4" w:space="0" w:color="FFFFFF"/>
              <w:right w:val="single" w:sz="4" w:space="0" w:color="FFFFFF"/>
            </w:tcBorders>
            <w:shd w:val="clear" w:color="auto" w:fill="DEEAF6"/>
            <w:vAlign w:val="center"/>
          </w:tcPr>
          <w:p w14:paraId="7FCD99BC" w14:textId="77777777" w:rsidR="001946C8" w:rsidRPr="00B072AC" w:rsidRDefault="001946C8" w:rsidP="00A4488F">
            <w:pPr>
              <w:spacing w:before="40" w:after="40"/>
              <w:jc w:val="both"/>
              <w:rPr>
                <w:rFonts w:cstheme="minorHAnsi"/>
              </w:rPr>
            </w:pPr>
            <w:r w:rsidRPr="00B072AC">
              <w:rPr>
                <w:rFonts w:cstheme="minorHAnsi"/>
                <w:lang w:val="en-US"/>
              </w:rPr>
              <w:t>60–64</w:t>
            </w:r>
          </w:p>
        </w:tc>
        <w:tc>
          <w:tcPr>
            <w:tcW w:w="1177" w:type="dxa"/>
            <w:tcBorders>
              <w:top w:val="single" w:sz="4" w:space="0" w:color="FFFFFF"/>
              <w:left w:val="single" w:sz="4" w:space="0" w:color="FFFFFF"/>
              <w:bottom w:val="single" w:sz="4" w:space="0" w:color="FFFFFF"/>
              <w:right w:val="single" w:sz="4" w:space="0" w:color="FFFFFF"/>
            </w:tcBorders>
            <w:shd w:val="clear" w:color="auto" w:fill="DEEAF6"/>
            <w:vAlign w:val="center"/>
          </w:tcPr>
          <w:p w14:paraId="0D8FBEA8" w14:textId="77777777" w:rsidR="001946C8" w:rsidRPr="00B072AC" w:rsidRDefault="001946C8" w:rsidP="00A4488F">
            <w:pPr>
              <w:spacing w:before="40" w:after="40"/>
              <w:jc w:val="center"/>
              <w:rPr>
                <w:rFonts w:cstheme="minorHAnsi"/>
              </w:rPr>
            </w:pPr>
            <w:r w:rsidRPr="00B072AC">
              <w:rPr>
                <w:rFonts w:cstheme="minorHAnsi"/>
                <w:lang w:val="en-US"/>
              </w:rPr>
              <w:t>7,5</w:t>
            </w:r>
          </w:p>
        </w:tc>
        <w:tc>
          <w:tcPr>
            <w:tcW w:w="1134" w:type="dxa"/>
            <w:tcBorders>
              <w:top w:val="single" w:sz="4" w:space="0" w:color="FFFFFF"/>
              <w:left w:val="single" w:sz="4" w:space="0" w:color="FFFFFF"/>
              <w:bottom w:val="single" w:sz="4" w:space="0" w:color="FFFFFF"/>
              <w:right w:val="single" w:sz="4" w:space="0" w:color="FFFFFF"/>
            </w:tcBorders>
            <w:shd w:val="clear" w:color="auto" w:fill="DEEAF6"/>
            <w:vAlign w:val="center"/>
          </w:tcPr>
          <w:p w14:paraId="5E91E229" w14:textId="77777777" w:rsidR="001946C8" w:rsidRPr="00B072AC" w:rsidRDefault="001946C8" w:rsidP="00A4488F">
            <w:pPr>
              <w:spacing w:before="40" w:after="40"/>
              <w:jc w:val="center"/>
              <w:rPr>
                <w:rFonts w:cstheme="minorHAnsi"/>
              </w:rPr>
            </w:pPr>
            <w:r w:rsidRPr="00B072AC">
              <w:rPr>
                <w:rFonts w:cstheme="minorHAnsi"/>
                <w:lang w:val="en-US"/>
              </w:rPr>
              <w:t>5,5</w:t>
            </w:r>
          </w:p>
        </w:tc>
        <w:tc>
          <w:tcPr>
            <w:tcW w:w="1134" w:type="dxa"/>
            <w:tcBorders>
              <w:top w:val="single" w:sz="4" w:space="0" w:color="FFFFFF"/>
              <w:left w:val="single" w:sz="4" w:space="0" w:color="FFFFFF"/>
              <w:bottom w:val="single" w:sz="4" w:space="0" w:color="FFFFFF"/>
              <w:right w:val="single" w:sz="4" w:space="0" w:color="FFFFFF"/>
            </w:tcBorders>
            <w:shd w:val="clear" w:color="auto" w:fill="DEEAF6"/>
          </w:tcPr>
          <w:p w14:paraId="1D9E2267" w14:textId="77777777" w:rsidR="001946C8" w:rsidRPr="00B072AC" w:rsidRDefault="001946C8" w:rsidP="00A4488F">
            <w:pPr>
              <w:spacing w:before="40" w:after="40"/>
              <w:jc w:val="center"/>
              <w:rPr>
                <w:rFonts w:cstheme="minorHAnsi"/>
              </w:rPr>
            </w:pPr>
            <w:r w:rsidRPr="00B072AC">
              <w:rPr>
                <w:rFonts w:cstheme="minorHAnsi"/>
                <w:lang w:val="en-US"/>
              </w:rPr>
              <w:t>8,3</w:t>
            </w:r>
          </w:p>
        </w:tc>
        <w:tc>
          <w:tcPr>
            <w:tcW w:w="1134" w:type="dxa"/>
            <w:tcBorders>
              <w:top w:val="single" w:sz="4" w:space="0" w:color="FFFFFF"/>
              <w:left w:val="single" w:sz="4" w:space="0" w:color="FFFFFF"/>
              <w:bottom w:val="single" w:sz="4" w:space="0" w:color="FFFFFF"/>
              <w:right w:val="single" w:sz="4" w:space="0" w:color="FFFFFF"/>
            </w:tcBorders>
            <w:shd w:val="clear" w:color="auto" w:fill="DEEAF6"/>
          </w:tcPr>
          <w:p w14:paraId="569A8549" w14:textId="77777777" w:rsidR="001946C8" w:rsidRPr="00B072AC" w:rsidRDefault="001946C8" w:rsidP="00A4488F">
            <w:pPr>
              <w:spacing w:before="40" w:after="40"/>
              <w:jc w:val="center"/>
              <w:rPr>
                <w:rFonts w:cstheme="minorHAnsi"/>
              </w:rPr>
            </w:pPr>
            <w:r w:rsidRPr="00B072AC">
              <w:rPr>
                <w:rFonts w:cstheme="minorHAnsi"/>
                <w:lang w:val="en-US"/>
              </w:rPr>
              <w:t>7,9</w:t>
            </w:r>
          </w:p>
        </w:tc>
      </w:tr>
      <w:tr w:rsidR="001946C8" w:rsidRPr="00B072AC" w14:paraId="101EAD9B" w14:textId="77777777" w:rsidTr="00A4488F">
        <w:trPr>
          <w:jc w:val="center"/>
        </w:trPr>
        <w:tc>
          <w:tcPr>
            <w:tcW w:w="1795"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49FF016E" w14:textId="77777777" w:rsidR="001946C8" w:rsidRPr="00B072AC" w:rsidRDefault="001946C8" w:rsidP="00A4488F">
            <w:pPr>
              <w:spacing w:before="40" w:after="40"/>
              <w:jc w:val="both"/>
              <w:rPr>
                <w:rFonts w:cstheme="minorHAnsi"/>
              </w:rPr>
            </w:pPr>
            <w:r w:rsidRPr="00B072AC">
              <w:rPr>
                <w:rFonts w:cstheme="minorHAnsi"/>
                <w:lang w:val="en-US"/>
              </w:rPr>
              <w:t>65–69</w:t>
            </w:r>
          </w:p>
        </w:tc>
        <w:tc>
          <w:tcPr>
            <w:tcW w:w="1177"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56E6AAC8" w14:textId="77777777" w:rsidR="001946C8" w:rsidRPr="00B072AC" w:rsidRDefault="001946C8" w:rsidP="00A4488F">
            <w:pPr>
              <w:spacing w:before="40" w:after="40"/>
              <w:jc w:val="center"/>
              <w:rPr>
                <w:rFonts w:cstheme="minorHAnsi"/>
              </w:rPr>
            </w:pPr>
            <w:r w:rsidRPr="00B072AC">
              <w:rPr>
                <w:rFonts w:cstheme="minorHAnsi"/>
                <w:lang w:val="en-US"/>
              </w:rPr>
              <w:t>7,4</w:t>
            </w:r>
          </w:p>
        </w:tc>
        <w:tc>
          <w:tcPr>
            <w:tcW w:w="1134"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6A32AD72" w14:textId="77777777" w:rsidR="001946C8" w:rsidRPr="00B072AC" w:rsidRDefault="001946C8" w:rsidP="00A4488F">
            <w:pPr>
              <w:spacing w:before="40" w:after="40"/>
              <w:jc w:val="center"/>
              <w:rPr>
                <w:rFonts w:cstheme="minorHAnsi"/>
              </w:rPr>
            </w:pPr>
            <w:r w:rsidRPr="00B072AC">
              <w:rPr>
                <w:rFonts w:cstheme="minorHAnsi"/>
                <w:lang w:val="en-US"/>
              </w:rPr>
              <w:t>5,6</w:t>
            </w:r>
          </w:p>
        </w:tc>
        <w:tc>
          <w:tcPr>
            <w:tcW w:w="1134" w:type="dxa"/>
            <w:tcBorders>
              <w:top w:val="single" w:sz="4" w:space="0" w:color="FFFFFF"/>
              <w:left w:val="single" w:sz="4" w:space="0" w:color="FFFFFF"/>
              <w:bottom w:val="single" w:sz="4" w:space="0" w:color="FFFFFF"/>
              <w:right w:val="single" w:sz="4" w:space="0" w:color="FFFFFF"/>
            </w:tcBorders>
            <w:shd w:val="clear" w:color="auto" w:fill="BDD6EE"/>
          </w:tcPr>
          <w:p w14:paraId="3534D2BE" w14:textId="77777777" w:rsidR="001946C8" w:rsidRPr="00B072AC" w:rsidRDefault="001946C8" w:rsidP="00A4488F">
            <w:pPr>
              <w:spacing w:before="40" w:after="40"/>
              <w:jc w:val="center"/>
              <w:rPr>
                <w:rFonts w:cstheme="minorHAnsi"/>
              </w:rPr>
            </w:pPr>
            <w:r w:rsidRPr="00B072AC">
              <w:rPr>
                <w:rFonts w:cstheme="minorHAnsi"/>
                <w:lang w:val="en-US"/>
              </w:rPr>
              <w:t>6,8</w:t>
            </w:r>
          </w:p>
        </w:tc>
        <w:tc>
          <w:tcPr>
            <w:tcW w:w="1134" w:type="dxa"/>
            <w:tcBorders>
              <w:top w:val="single" w:sz="4" w:space="0" w:color="FFFFFF"/>
              <w:left w:val="single" w:sz="4" w:space="0" w:color="FFFFFF"/>
              <w:bottom w:val="single" w:sz="4" w:space="0" w:color="FFFFFF"/>
              <w:right w:val="single" w:sz="4" w:space="0" w:color="FFFFFF"/>
            </w:tcBorders>
            <w:shd w:val="clear" w:color="auto" w:fill="BDD6EE"/>
          </w:tcPr>
          <w:p w14:paraId="4685A52E" w14:textId="77777777" w:rsidR="001946C8" w:rsidRPr="00B072AC" w:rsidRDefault="001946C8" w:rsidP="00A4488F">
            <w:pPr>
              <w:spacing w:before="40" w:after="40"/>
              <w:jc w:val="center"/>
              <w:rPr>
                <w:rFonts w:cstheme="minorHAnsi"/>
              </w:rPr>
            </w:pPr>
            <w:r w:rsidRPr="00B072AC">
              <w:rPr>
                <w:rFonts w:cstheme="minorHAnsi"/>
                <w:lang w:val="en-US"/>
              </w:rPr>
              <w:t>8,9</w:t>
            </w:r>
          </w:p>
        </w:tc>
      </w:tr>
      <w:tr w:rsidR="001946C8" w:rsidRPr="00B072AC" w14:paraId="3D9A3900" w14:textId="77777777" w:rsidTr="00A4488F">
        <w:trPr>
          <w:jc w:val="center"/>
        </w:trPr>
        <w:tc>
          <w:tcPr>
            <w:tcW w:w="1795" w:type="dxa"/>
            <w:tcBorders>
              <w:top w:val="single" w:sz="4" w:space="0" w:color="FFFFFF"/>
              <w:left w:val="single" w:sz="4" w:space="0" w:color="FFFFFF"/>
              <w:bottom w:val="single" w:sz="4" w:space="0" w:color="FFFFFF"/>
              <w:right w:val="single" w:sz="4" w:space="0" w:color="FFFFFF"/>
            </w:tcBorders>
            <w:shd w:val="clear" w:color="auto" w:fill="DEEAF6"/>
            <w:vAlign w:val="center"/>
          </w:tcPr>
          <w:p w14:paraId="03F6C943" w14:textId="77777777" w:rsidR="001946C8" w:rsidRPr="00B072AC" w:rsidRDefault="001946C8" w:rsidP="00A4488F">
            <w:pPr>
              <w:spacing w:before="40" w:after="40"/>
              <w:jc w:val="both"/>
              <w:rPr>
                <w:rFonts w:cstheme="minorHAnsi"/>
              </w:rPr>
            </w:pPr>
            <w:r w:rsidRPr="00B072AC">
              <w:rPr>
                <w:rFonts w:cstheme="minorHAnsi"/>
                <w:lang w:val="en-US"/>
              </w:rPr>
              <w:t>70–74</w:t>
            </w:r>
          </w:p>
        </w:tc>
        <w:tc>
          <w:tcPr>
            <w:tcW w:w="1177" w:type="dxa"/>
            <w:tcBorders>
              <w:top w:val="single" w:sz="4" w:space="0" w:color="FFFFFF"/>
              <w:left w:val="single" w:sz="4" w:space="0" w:color="FFFFFF"/>
              <w:bottom w:val="single" w:sz="4" w:space="0" w:color="FFFFFF"/>
              <w:right w:val="single" w:sz="4" w:space="0" w:color="FFFFFF"/>
            </w:tcBorders>
            <w:shd w:val="clear" w:color="auto" w:fill="DEEAF6"/>
            <w:vAlign w:val="center"/>
          </w:tcPr>
          <w:p w14:paraId="2D93BA6D" w14:textId="77777777" w:rsidR="001946C8" w:rsidRPr="00B072AC" w:rsidRDefault="001946C8" w:rsidP="00A4488F">
            <w:pPr>
              <w:spacing w:before="40" w:after="40"/>
              <w:jc w:val="center"/>
              <w:rPr>
                <w:rFonts w:cstheme="minorHAnsi"/>
              </w:rPr>
            </w:pPr>
            <w:r w:rsidRPr="00B072AC">
              <w:rPr>
                <w:rFonts w:cstheme="minorHAnsi"/>
                <w:lang w:val="en-US"/>
              </w:rPr>
              <w:t>5,6</w:t>
            </w:r>
          </w:p>
        </w:tc>
        <w:tc>
          <w:tcPr>
            <w:tcW w:w="1134" w:type="dxa"/>
            <w:tcBorders>
              <w:top w:val="single" w:sz="4" w:space="0" w:color="FFFFFF"/>
              <w:left w:val="single" w:sz="4" w:space="0" w:color="FFFFFF"/>
              <w:bottom w:val="single" w:sz="4" w:space="0" w:color="FFFFFF"/>
              <w:right w:val="single" w:sz="4" w:space="0" w:color="FFFFFF"/>
            </w:tcBorders>
            <w:shd w:val="clear" w:color="auto" w:fill="DEEAF6"/>
            <w:vAlign w:val="center"/>
          </w:tcPr>
          <w:p w14:paraId="1763AC16" w14:textId="77777777" w:rsidR="001946C8" w:rsidRPr="00B072AC" w:rsidRDefault="001946C8" w:rsidP="00A4488F">
            <w:pPr>
              <w:spacing w:before="40" w:after="40"/>
              <w:jc w:val="center"/>
              <w:rPr>
                <w:rFonts w:cstheme="minorHAnsi"/>
              </w:rPr>
            </w:pPr>
            <w:r w:rsidRPr="00B072AC">
              <w:rPr>
                <w:rFonts w:cstheme="minorHAnsi"/>
                <w:lang w:val="en-US"/>
              </w:rPr>
              <w:t>6,6</w:t>
            </w:r>
          </w:p>
        </w:tc>
        <w:tc>
          <w:tcPr>
            <w:tcW w:w="1134" w:type="dxa"/>
            <w:tcBorders>
              <w:top w:val="single" w:sz="4" w:space="0" w:color="FFFFFF"/>
              <w:left w:val="single" w:sz="4" w:space="0" w:color="FFFFFF"/>
              <w:bottom w:val="single" w:sz="4" w:space="0" w:color="FFFFFF"/>
              <w:right w:val="single" w:sz="4" w:space="0" w:color="FFFFFF"/>
            </w:tcBorders>
            <w:shd w:val="clear" w:color="auto" w:fill="DEEAF6"/>
          </w:tcPr>
          <w:p w14:paraId="65CD7C37" w14:textId="77777777" w:rsidR="001946C8" w:rsidRPr="00B072AC" w:rsidRDefault="001946C8" w:rsidP="00A4488F">
            <w:pPr>
              <w:spacing w:before="40" w:after="40"/>
              <w:jc w:val="center"/>
              <w:rPr>
                <w:rFonts w:cstheme="minorHAnsi"/>
              </w:rPr>
            </w:pPr>
            <w:r w:rsidRPr="00B072AC">
              <w:rPr>
                <w:rFonts w:cstheme="minorHAnsi"/>
                <w:lang w:val="en-US"/>
              </w:rPr>
              <w:t>5,2</w:t>
            </w:r>
          </w:p>
        </w:tc>
        <w:tc>
          <w:tcPr>
            <w:tcW w:w="1134" w:type="dxa"/>
            <w:tcBorders>
              <w:top w:val="single" w:sz="4" w:space="0" w:color="FFFFFF"/>
              <w:left w:val="single" w:sz="4" w:space="0" w:color="FFFFFF"/>
              <w:bottom w:val="single" w:sz="4" w:space="0" w:color="FFFFFF"/>
              <w:right w:val="single" w:sz="4" w:space="0" w:color="FFFFFF"/>
            </w:tcBorders>
            <w:shd w:val="clear" w:color="auto" w:fill="DEEAF6"/>
          </w:tcPr>
          <w:p w14:paraId="17233AFA" w14:textId="77777777" w:rsidR="001946C8" w:rsidRPr="00B072AC" w:rsidRDefault="001946C8" w:rsidP="00A4488F">
            <w:pPr>
              <w:spacing w:before="40" w:after="40"/>
              <w:jc w:val="center"/>
              <w:rPr>
                <w:rFonts w:cstheme="minorHAnsi"/>
              </w:rPr>
            </w:pPr>
            <w:r w:rsidRPr="00B072AC">
              <w:rPr>
                <w:rFonts w:cstheme="minorHAnsi"/>
                <w:lang w:val="en-US"/>
              </w:rPr>
              <w:t>8,0</w:t>
            </w:r>
          </w:p>
        </w:tc>
      </w:tr>
      <w:tr w:rsidR="001946C8" w:rsidRPr="00B072AC" w14:paraId="3CCBA4DF" w14:textId="77777777" w:rsidTr="00A4488F">
        <w:trPr>
          <w:jc w:val="center"/>
        </w:trPr>
        <w:tc>
          <w:tcPr>
            <w:tcW w:w="1795"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608986F8" w14:textId="77777777" w:rsidR="001946C8" w:rsidRPr="00B072AC" w:rsidRDefault="001946C8" w:rsidP="00A4488F">
            <w:pPr>
              <w:spacing w:before="40" w:after="40"/>
              <w:jc w:val="both"/>
              <w:rPr>
                <w:rFonts w:cstheme="minorHAnsi"/>
              </w:rPr>
            </w:pPr>
            <w:r w:rsidRPr="00B072AC">
              <w:rPr>
                <w:rFonts w:cstheme="minorHAnsi"/>
                <w:lang w:val="en-US"/>
              </w:rPr>
              <w:t>75–79</w:t>
            </w:r>
          </w:p>
        </w:tc>
        <w:tc>
          <w:tcPr>
            <w:tcW w:w="1177"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170BCD5C" w14:textId="77777777" w:rsidR="001946C8" w:rsidRPr="00B072AC" w:rsidRDefault="001946C8" w:rsidP="00A4488F">
            <w:pPr>
              <w:spacing w:before="40" w:after="40"/>
              <w:jc w:val="center"/>
              <w:rPr>
                <w:rFonts w:cstheme="minorHAnsi"/>
              </w:rPr>
            </w:pPr>
            <w:r w:rsidRPr="00B072AC">
              <w:rPr>
                <w:rFonts w:cstheme="minorHAnsi"/>
                <w:lang w:val="en-US"/>
              </w:rPr>
              <w:t>2,5</w:t>
            </w:r>
          </w:p>
        </w:tc>
        <w:tc>
          <w:tcPr>
            <w:tcW w:w="1134"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3AD2002A" w14:textId="77777777" w:rsidR="001946C8" w:rsidRPr="00B072AC" w:rsidRDefault="001946C8" w:rsidP="00A4488F">
            <w:pPr>
              <w:spacing w:before="40" w:after="40"/>
              <w:jc w:val="center"/>
              <w:rPr>
                <w:rFonts w:cstheme="minorHAnsi"/>
              </w:rPr>
            </w:pPr>
            <w:r w:rsidRPr="00B072AC">
              <w:rPr>
                <w:rFonts w:cstheme="minorHAnsi"/>
                <w:lang w:val="en-US"/>
              </w:rPr>
              <w:t>6,0</w:t>
            </w:r>
          </w:p>
        </w:tc>
        <w:tc>
          <w:tcPr>
            <w:tcW w:w="1134" w:type="dxa"/>
            <w:tcBorders>
              <w:top w:val="single" w:sz="4" w:space="0" w:color="FFFFFF"/>
              <w:left w:val="single" w:sz="4" w:space="0" w:color="FFFFFF"/>
              <w:bottom w:val="single" w:sz="4" w:space="0" w:color="FFFFFF"/>
              <w:right w:val="single" w:sz="4" w:space="0" w:color="FFFFFF"/>
            </w:tcBorders>
            <w:shd w:val="clear" w:color="auto" w:fill="BDD6EE"/>
          </w:tcPr>
          <w:p w14:paraId="255D1883" w14:textId="77777777" w:rsidR="001946C8" w:rsidRPr="00B072AC" w:rsidRDefault="001946C8" w:rsidP="00A4488F">
            <w:pPr>
              <w:spacing w:before="40" w:after="40"/>
              <w:jc w:val="center"/>
              <w:rPr>
                <w:rFonts w:cstheme="minorHAnsi"/>
              </w:rPr>
            </w:pPr>
            <w:r w:rsidRPr="00B072AC">
              <w:rPr>
                <w:rFonts w:cstheme="minorHAnsi"/>
                <w:lang w:val="en-US"/>
              </w:rPr>
              <w:t>4,8</w:t>
            </w:r>
          </w:p>
        </w:tc>
        <w:tc>
          <w:tcPr>
            <w:tcW w:w="1134" w:type="dxa"/>
            <w:tcBorders>
              <w:top w:val="single" w:sz="4" w:space="0" w:color="FFFFFF"/>
              <w:left w:val="single" w:sz="4" w:space="0" w:color="FFFFFF"/>
              <w:bottom w:val="single" w:sz="4" w:space="0" w:color="FFFFFF"/>
              <w:right w:val="single" w:sz="4" w:space="0" w:color="FFFFFF"/>
            </w:tcBorders>
            <w:shd w:val="clear" w:color="auto" w:fill="BDD6EE"/>
          </w:tcPr>
          <w:p w14:paraId="7F82177A" w14:textId="77777777" w:rsidR="001946C8" w:rsidRPr="00B072AC" w:rsidRDefault="001946C8" w:rsidP="00A4488F">
            <w:pPr>
              <w:spacing w:before="40" w:after="40"/>
              <w:jc w:val="center"/>
              <w:rPr>
                <w:rFonts w:cstheme="minorHAnsi"/>
              </w:rPr>
            </w:pPr>
            <w:r w:rsidRPr="00B072AC">
              <w:rPr>
                <w:rFonts w:cstheme="minorHAnsi"/>
                <w:lang w:val="en-US"/>
              </w:rPr>
              <w:t>6,2</w:t>
            </w:r>
          </w:p>
        </w:tc>
      </w:tr>
      <w:tr w:rsidR="001946C8" w:rsidRPr="00B072AC" w14:paraId="3D0CA618" w14:textId="77777777" w:rsidTr="00A4488F">
        <w:trPr>
          <w:jc w:val="center"/>
        </w:trPr>
        <w:tc>
          <w:tcPr>
            <w:tcW w:w="1795" w:type="dxa"/>
            <w:tcBorders>
              <w:top w:val="single" w:sz="4" w:space="0" w:color="FFFFFF"/>
              <w:left w:val="single" w:sz="4" w:space="0" w:color="FFFFFF"/>
              <w:bottom w:val="single" w:sz="4" w:space="0" w:color="FFFFFF"/>
              <w:right w:val="single" w:sz="4" w:space="0" w:color="FFFFFF"/>
            </w:tcBorders>
            <w:shd w:val="clear" w:color="auto" w:fill="DEEAF6"/>
            <w:vAlign w:val="center"/>
          </w:tcPr>
          <w:p w14:paraId="6B80DB19" w14:textId="77777777" w:rsidR="001946C8" w:rsidRPr="00B072AC" w:rsidRDefault="001946C8" w:rsidP="00A4488F">
            <w:pPr>
              <w:spacing w:before="40" w:after="40"/>
              <w:jc w:val="both"/>
              <w:rPr>
                <w:rFonts w:cstheme="minorHAnsi"/>
              </w:rPr>
            </w:pPr>
            <w:r w:rsidRPr="00B072AC">
              <w:rPr>
                <w:rFonts w:cstheme="minorHAnsi"/>
                <w:lang w:val="en-US"/>
              </w:rPr>
              <w:t>80 i więcej</w:t>
            </w:r>
          </w:p>
        </w:tc>
        <w:tc>
          <w:tcPr>
            <w:tcW w:w="1177" w:type="dxa"/>
            <w:tcBorders>
              <w:top w:val="single" w:sz="4" w:space="0" w:color="FFFFFF"/>
              <w:left w:val="single" w:sz="4" w:space="0" w:color="FFFFFF"/>
              <w:bottom w:val="single" w:sz="4" w:space="0" w:color="FFFFFF"/>
              <w:right w:val="single" w:sz="4" w:space="0" w:color="FFFFFF"/>
            </w:tcBorders>
            <w:shd w:val="clear" w:color="auto" w:fill="DEEAF6"/>
            <w:vAlign w:val="center"/>
          </w:tcPr>
          <w:p w14:paraId="496230FD" w14:textId="77777777" w:rsidR="001946C8" w:rsidRPr="00B072AC" w:rsidRDefault="001946C8" w:rsidP="00A4488F">
            <w:pPr>
              <w:spacing w:before="40" w:after="40"/>
              <w:jc w:val="center"/>
              <w:rPr>
                <w:rFonts w:cstheme="minorHAnsi"/>
              </w:rPr>
            </w:pPr>
            <w:r w:rsidRPr="00B072AC">
              <w:rPr>
                <w:rFonts w:cstheme="minorHAnsi"/>
                <w:lang w:val="en-US"/>
              </w:rPr>
              <w:t>4,4</w:t>
            </w:r>
          </w:p>
        </w:tc>
        <w:tc>
          <w:tcPr>
            <w:tcW w:w="1134" w:type="dxa"/>
            <w:tcBorders>
              <w:top w:val="single" w:sz="4" w:space="0" w:color="FFFFFF"/>
              <w:left w:val="single" w:sz="4" w:space="0" w:color="FFFFFF"/>
              <w:bottom w:val="single" w:sz="4" w:space="0" w:color="FFFFFF"/>
              <w:right w:val="single" w:sz="4" w:space="0" w:color="FFFFFF"/>
            </w:tcBorders>
            <w:shd w:val="clear" w:color="auto" w:fill="DEEAF6"/>
            <w:vAlign w:val="center"/>
          </w:tcPr>
          <w:p w14:paraId="56FE2AC2" w14:textId="77777777" w:rsidR="001946C8" w:rsidRPr="00B072AC" w:rsidRDefault="001946C8" w:rsidP="00A4488F">
            <w:pPr>
              <w:spacing w:before="40" w:after="40"/>
              <w:jc w:val="center"/>
              <w:rPr>
                <w:rFonts w:cstheme="minorHAnsi"/>
              </w:rPr>
            </w:pPr>
            <w:r w:rsidRPr="00B072AC">
              <w:rPr>
                <w:rFonts w:cstheme="minorHAnsi"/>
                <w:lang w:val="en-US"/>
              </w:rPr>
              <w:t>6,1</w:t>
            </w:r>
          </w:p>
        </w:tc>
        <w:tc>
          <w:tcPr>
            <w:tcW w:w="1134" w:type="dxa"/>
            <w:tcBorders>
              <w:top w:val="single" w:sz="4" w:space="0" w:color="FFFFFF"/>
              <w:left w:val="single" w:sz="4" w:space="0" w:color="FFFFFF"/>
              <w:bottom w:val="single" w:sz="4" w:space="0" w:color="FFFFFF"/>
              <w:right w:val="single" w:sz="4" w:space="0" w:color="FFFFFF"/>
            </w:tcBorders>
            <w:shd w:val="clear" w:color="auto" w:fill="DEEAF6"/>
          </w:tcPr>
          <w:p w14:paraId="6FBB2DF0" w14:textId="77777777" w:rsidR="001946C8" w:rsidRPr="00B072AC" w:rsidRDefault="001946C8" w:rsidP="00A4488F">
            <w:pPr>
              <w:spacing w:before="40" w:after="40"/>
              <w:jc w:val="center"/>
              <w:rPr>
                <w:rFonts w:cstheme="minorHAnsi"/>
              </w:rPr>
            </w:pPr>
            <w:r w:rsidRPr="00B072AC">
              <w:rPr>
                <w:rFonts w:cstheme="minorHAnsi"/>
                <w:lang w:val="en-US"/>
              </w:rPr>
              <w:t>10,1</w:t>
            </w:r>
          </w:p>
        </w:tc>
        <w:tc>
          <w:tcPr>
            <w:tcW w:w="1134" w:type="dxa"/>
            <w:tcBorders>
              <w:top w:val="single" w:sz="4" w:space="0" w:color="FFFFFF"/>
              <w:left w:val="single" w:sz="4" w:space="0" w:color="FFFFFF"/>
              <w:bottom w:val="single" w:sz="4" w:space="0" w:color="FFFFFF"/>
              <w:right w:val="single" w:sz="4" w:space="0" w:color="FFFFFF"/>
            </w:tcBorders>
            <w:shd w:val="clear" w:color="auto" w:fill="DEEAF6"/>
          </w:tcPr>
          <w:p w14:paraId="7ADE4BBE" w14:textId="77777777" w:rsidR="001946C8" w:rsidRPr="00B072AC" w:rsidRDefault="001946C8" w:rsidP="00A4488F">
            <w:pPr>
              <w:spacing w:before="40" w:after="40"/>
              <w:jc w:val="center"/>
              <w:rPr>
                <w:rFonts w:cstheme="minorHAnsi"/>
              </w:rPr>
            </w:pPr>
            <w:r w:rsidRPr="00B072AC">
              <w:rPr>
                <w:rFonts w:cstheme="minorHAnsi"/>
                <w:lang w:val="en-US"/>
              </w:rPr>
              <w:t>10,3</w:t>
            </w:r>
          </w:p>
        </w:tc>
      </w:tr>
      <w:tr w:rsidR="001946C8" w:rsidRPr="00B072AC" w14:paraId="42F12D54" w14:textId="77777777" w:rsidTr="00A4488F">
        <w:trPr>
          <w:trHeight w:val="419"/>
          <w:jc w:val="center"/>
        </w:trPr>
        <w:tc>
          <w:tcPr>
            <w:tcW w:w="1795" w:type="dxa"/>
            <w:tcBorders>
              <w:top w:val="single" w:sz="4" w:space="0" w:color="FFFFFF"/>
              <w:left w:val="single" w:sz="4" w:space="0" w:color="FFFFFF"/>
              <w:bottom w:val="single" w:sz="4" w:space="0" w:color="FFFFFF"/>
              <w:right w:val="single" w:sz="4" w:space="0" w:color="FFFFFF"/>
            </w:tcBorders>
            <w:shd w:val="clear" w:color="auto" w:fill="9CC2E5"/>
            <w:vAlign w:val="center"/>
          </w:tcPr>
          <w:p w14:paraId="294CBA1E" w14:textId="77777777" w:rsidR="001946C8" w:rsidRPr="00B072AC" w:rsidRDefault="001946C8" w:rsidP="00A4488F">
            <w:pPr>
              <w:spacing w:before="40" w:after="40"/>
              <w:jc w:val="both"/>
              <w:rPr>
                <w:rFonts w:cstheme="minorHAnsi"/>
              </w:rPr>
            </w:pPr>
            <w:r w:rsidRPr="00B072AC">
              <w:rPr>
                <w:rFonts w:cstheme="minorHAnsi"/>
                <w:b/>
                <w:lang w:val="en-US"/>
              </w:rPr>
              <w:t>Ogółem</w:t>
            </w:r>
          </w:p>
        </w:tc>
        <w:tc>
          <w:tcPr>
            <w:tcW w:w="1177" w:type="dxa"/>
            <w:tcBorders>
              <w:top w:val="single" w:sz="4" w:space="0" w:color="FFFFFF"/>
              <w:left w:val="single" w:sz="4" w:space="0" w:color="FFFFFF"/>
              <w:bottom w:val="single" w:sz="4" w:space="0" w:color="FFFFFF"/>
              <w:right w:val="single" w:sz="4" w:space="0" w:color="FFFFFF"/>
            </w:tcBorders>
            <w:shd w:val="clear" w:color="auto" w:fill="9CC2E5"/>
            <w:vAlign w:val="center"/>
          </w:tcPr>
          <w:p w14:paraId="7F8CCABD" w14:textId="77777777" w:rsidR="001946C8" w:rsidRPr="00B072AC" w:rsidRDefault="001946C8" w:rsidP="00A4488F">
            <w:pPr>
              <w:spacing w:before="40" w:after="40"/>
              <w:jc w:val="center"/>
              <w:rPr>
                <w:rFonts w:cstheme="minorHAnsi"/>
              </w:rPr>
            </w:pPr>
            <w:r w:rsidRPr="00B072AC">
              <w:rPr>
                <w:rFonts w:cstheme="minorHAnsi"/>
                <w:b/>
                <w:lang w:val="en-US"/>
              </w:rPr>
              <w:t>27,5</w:t>
            </w:r>
          </w:p>
        </w:tc>
        <w:tc>
          <w:tcPr>
            <w:tcW w:w="1134" w:type="dxa"/>
            <w:tcBorders>
              <w:top w:val="single" w:sz="4" w:space="0" w:color="FFFFFF"/>
              <w:left w:val="single" w:sz="4" w:space="0" w:color="FFFFFF"/>
              <w:bottom w:val="single" w:sz="4" w:space="0" w:color="FFFFFF"/>
              <w:right w:val="single" w:sz="4" w:space="0" w:color="FFFFFF"/>
            </w:tcBorders>
            <w:shd w:val="clear" w:color="auto" w:fill="9CC2E5"/>
            <w:vAlign w:val="center"/>
          </w:tcPr>
          <w:p w14:paraId="574ABD8E" w14:textId="77777777" w:rsidR="001946C8" w:rsidRPr="00B072AC" w:rsidRDefault="001946C8" w:rsidP="00A4488F">
            <w:pPr>
              <w:spacing w:before="40" w:after="40"/>
              <w:jc w:val="center"/>
              <w:rPr>
                <w:rFonts w:cstheme="minorHAnsi"/>
              </w:rPr>
            </w:pPr>
            <w:r w:rsidRPr="00B072AC">
              <w:rPr>
                <w:rFonts w:cstheme="minorHAnsi"/>
                <w:b/>
                <w:lang w:val="en-US"/>
              </w:rPr>
              <w:t>29,8</w:t>
            </w:r>
          </w:p>
        </w:tc>
        <w:tc>
          <w:tcPr>
            <w:tcW w:w="1134" w:type="dxa"/>
            <w:tcBorders>
              <w:top w:val="single" w:sz="4" w:space="0" w:color="FFFFFF"/>
              <w:left w:val="single" w:sz="4" w:space="0" w:color="FFFFFF"/>
              <w:bottom w:val="single" w:sz="4" w:space="0" w:color="FFFFFF"/>
              <w:right w:val="single" w:sz="4" w:space="0" w:color="FFFFFF"/>
            </w:tcBorders>
            <w:shd w:val="clear" w:color="auto" w:fill="9CC2E5"/>
          </w:tcPr>
          <w:p w14:paraId="6956C507" w14:textId="77777777" w:rsidR="001946C8" w:rsidRPr="00B072AC" w:rsidRDefault="001946C8" w:rsidP="00A4488F">
            <w:pPr>
              <w:spacing w:before="40" w:after="40"/>
              <w:jc w:val="center"/>
              <w:rPr>
                <w:rFonts w:cstheme="minorHAnsi"/>
              </w:rPr>
            </w:pPr>
            <w:r w:rsidRPr="00B072AC">
              <w:rPr>
                <w:rFonts w:cstheme="minorHAnsi"/>
                <w:b/>
                <w:lang w:val="en-US"/>
              </w:rPr>
              <w:t>35,2</w:t>
            </w:r>
          </w:p>
        </w:tc>
        <w:tc>
          <w:tcPr>
            <w:tcW w:w="1134" w:type="dxa"/>
            <w:tcBorders>
              <w:top w:val="single" w:sz="4" w:space="0" w:color="FFFFFF"/>
              <w:left w:val="single" w:sz="4" w:space="0" w:color="FFFFFF"/>
              <w:bottom w:val="single" w:sz="4" w:space="0" w:color="FFFFFF"/>
              <w:right w:val="single" w:sz="4" w:space="0" w:color="FFFFFF"/>
            </w:tcBorders>
            <w:shd w:val="clear" w:color="auto" w:fill="9CC2E5"/>
          </w:tcPr>
          <w:p w14:paraId="40D19295" w14:textId="77777777" w:rsidR="001946C8" w:rsidRPr="00B072AC" w:rsidRDefault="001946C8" w:rsidP="00A4488F">
            <w:pPr>
              <w:spacing w:before="40" w:after="40"/>
              <w:jc w:val="center"/>
              <w:rPr>
                <w:rFonts w:cstheme="minorHAnsi"/>
              </w:rPr>
            </w:pPr>
            <w:r w:rsidRPr="00B072AC">
              <w:rPr>
                <w:rFonts w:cstheme="minorHAnsi"/>
                <w:b/>
                <w:lang w:val="en-US"/>
              </w:rPr>
              <w:t>41,4</w:t>
            </w:r>
          </w:p>
        </w:tc>
      </w:tr>
    </w:tbl>
    <w:p w14:paraId="3964C921" w14:textId="77777777" w:rsidR="001946C8" w:rsidRPr="00B072AC" w:rsidRDefault="001946C8" w:rsidP="001946C8">
      <w:pPr>
        <w:jc w:val="center"/>
        <w:rPr>
          <w:sz w:val="16"/>
          <w:szCs w:val="16"/>
        </w:rPr>
      </w:pPr>
      <w:r w:rsidRPr="00B072AC">
        <w:rPr>
          <w:sz w:val="16"/>
          <w:szCs w:val="16"/>
        </w:rPr>
        <w:t xml:space="preserve">Źródło: </w:t>
      </w:r>
      <w:r w:rsidRPr="00B072AC">
        <w:rPr>
          <w:i/>
          <w:sz w:val="16"/>
          <w:szCs w:val="16"/>
        </w:rPr>
        <w:t>Informacja o sytuacji osób starszych w Polsce za rok 2018 r.</w:t>
      </w:r>
      <w:r w:rsidRPr="00B072AC">
        <w:rPr>
          <w:sz w:val="16"/>
          <w:szCs w:val="16"/>
        </w:rPr>
        <w:t>, s. 7 (na podstawie prognozy GUS).</w:t>
      </w:r>
    </w:p>
    <w:p w14:paraId="6A84DA1E" w14:textId="77777777" w:rsidR="001946C8" w:rsidRDefault="001946C8" w:rsidP="001946C8">
      <w:pPr>
        <w:jc w:val="both"/>
      </w:pPr>
      <w:bookmarkStart w:id="5" w:name="_Hlk39859492"/>
      <w:r>
        <w:t xml:space="preserve">Prognozy wskazują, że w ciągu najbliższego dziesięciolecia będzie wzrastała liczba i udział osób w wieku 60–79 lat w ogóle ludności Polski. W wiek ten będą bowiem wchodziły liczne grupy osób urodzonych w latach </w:t>
      </w:r>
      <w:r w:rsidRPr="00F751E2">
        <w:rPr>
          <w:i/>
        </w:rPr>
        <w:t>boomu</w:t>
      </w:r>
      <w:r>
        <w:t xml:space="preserve"> urodzeń z przełomu lat pięćdziesiątych i sześćdziesiątych XX w. Z kolei w wiek późnej starości będą wchodziły stosunkowo mało liczne grupy osób urodzonych w czasie drugiej wojny światowej</w:t>
      </w:r>
      <w:r w:rsidRPr="00B072AC">
        <w:rPr>
          <w:color w:val="0070C0"/>
          <w:vertAlign w:val="superscript"/>
        </w:rPr>
        <w:footnoteReference w:id="8"/>
      </w:r>
      <w:r>
        <w:t>.</w:t>
      </w:r>
    </w:p>
    <w:p w14:paraId="05B096A8" w14:textId="77777777" w:rsidR="001946C8" w:rsidRDefault="001946C8" w:rsidP="001946C8">
      <w:pPr>
        <w:jc w:val="both"/>
      </w:pPr>
      <w:r>
        <w:t>Począwszy od 2026 r. rozpocznie się z kolei dynamiczny wzrost liczby osób w wieku 80 lat i więcej. Będzie to związane z wchodzeniem w wiek późnej starości bardzo licznej grupy osób urodzonych pomiędzy końcem drugiej wojny światowej a początkiem lat sześćdziesiątych. Szacuje się, że pomiędzy 2025 a 2040 r. liczebność osób w wieku co najmniej 80 lat i więcej zwiększy się dwukrotnie – z 1,7 mln do 3,4 mln</w:t>
      </w:r>
      <w:r w:rsidRPr="00B072AC">
        <w:rPr>
          <w:color w:val="0070C0"/>
          <w:vertAlign w:val="superscript"/>
        </w:rPr>
        <w:footnoteReference w:id="9"/>
      </w:r>
      <w:r>
        <w:t>.</w:t>
      </w:r>
    </w:p>
    <w:bookmarkEnd w:id="5"/>
    <w:p w14:paraId="629051C4" w14:textId="77777777" w:rsidR="001946C8" w:rsidRPr="00B072AC" w:rsidRDefault="001946C8" w:rsidP="001946C8">
      <w:pPr>
        <w:spacing w:after="120"/>
        <w:jc w:val="center"/>
        <w:rPr>
          <w:rFonts w:cstheme="minorHAnsi"/>
          <w:color w:val="0070C0"/>
        </w:rPr>
      </w:pPr>
      <w:r w:rsidRPr="00B072AC">
        <w:rPr>
          <w:rFonts w:cstheme="minorHAnsi"/>
          <w:i/>
          <w:color w:val="0070C0"/>
        </w:rPr>
        <w:t xml:space="preserve">Tabela </w:t>
      </w:r>
      <w:r>
        <w:rPr>
          <w:rFonts w:cstheme="minorHAnsi"/>
          <w:i/>
          <w:color w:val="0070C0"/>
        </w:rPr>
        <w:t>3</w:t>
      </w:r>
      <w:r w:rsidRPr="00B072AC">
        <w:rPr>
          <w:rFonts w:cstheme="minorHAnsi"/>
          <w:i/>
          <w:color w:val="0070C0"/>
        </w:rPr>
        <w:t>. Liczba i struktura populacji osób w wieku 60 lat i więcej w populacji Polski w 2018 r.</w:t>
      </w:r>
    </w:p>
    <w:tbl>
      <w:tblPr>
        <w:tblW w:w="0" w:type="auto"/>
        <w:jc w:val="center"/>
        <w:tblLayout w:type="fixed"/>
        <w:tblLook w:val="0000" w:firstRow="0" w:lastRow="0" w:firstColumn="0" w:lastColumn="0" w:noHBand="0" w:noVBand="0"/>
      </w:tblPr>
      <w:tblGrid>
        <w:gridCol w:w="3404"/>
        <w:gridCol w:w="1414"/>
        <w:gridCol w:w="1295"/>
        <w:gridCol w:w="1253"/>
      </w:tblGrid>
      <w:tr w:rsidR="001946C8" w:rsidRPr="00B072AC" w14:paraId="4CDE7D43" w14:textId="77777777" w:rsidTr="00A4488F">
        <w:trPr>
          <w:trHeight w:val="460"/>
          <w:jc w:val="center"/>
        </w:trPr>
        <w:tc>
          <w:tcPr>
            <w:tcW w:w="3404" w:type="dxa"/>
            <w:tcBorders>
              <w:top w:val="single" w:sz="4" w:space="0" w:color="FFFFFF"/>
              <w:left w:val="single" w:sz="4" w:space="0" w:color="FFFFFF"/>
              <w:bottom w:val="single" w:sz="4" w:space="0" w:color="FFFFFF"/>
              <w:right w:val="single" w:sz="4" w:space="0" w:color="FFFFFF"/>
            </w:tcBorders>
            <w:shd w:val="clear" w:color="auto" w:fill="9CC2E5"/>
            <w:vAlign w:val="center"/>
          </w:tcPr>
          <w:p w14:paraId="559DC8E2" w14:textId="77777777" w:rsidR="001946C8" w:rsidRPr="00B072AC" w:rsidRDefault="001946C8" w:rsidP="00A4488F">
            <w:pPr>
              <w:spacing w:before="40" w:after="40"/>
              <w:jc w:val="both"/>
              <w:rPr>
                <w:rFonts w:cstheme="minorHAnsi"/>
                <w:b/>
              </w:rPr>
            </w:pPr>
            <w:r w:rsidRPr="00B072AC">
              <w:rPr>
                <w:rFonts w:cstheme="minorHAnsi"/>
                <w:b/>
                <w:lang w:val="en-US"/>
              </w:rPr>
              <w:lastRenderedPageBreak/>
              <w:t>Wyszczególnienie</w:t>
            </w:r>
          </w:p>
        </w:tc>
        <w:tc>
          <w:tcPr>
            <w:tcW w:w="1414" w:type="dxa"/>
            <w:tcBorders>
              <w:top w:val="single" w:sz="4" w:space="0" w:color="FFFFFF"/>
              <w:left w:val="single" w:sz="4" w:space="0" w:color="FFFFFF"/>
              <w:bottom w:val="single" w:sz="4" w:space="0" w:color="FFFFFF"/>
              <w:right w:val="single" w:sz="4" w:space="0" w:color="FFFFFF"/>
            </w:tcBorders>
            <w:shd w:val="clear" w:color="auto" w:fill="9CC2E5"/>
            <w:vAlign w:val="center"/>
          </w:tcPr>
          <w:p w14:paraId="21306989" w14:textId="77777777" w:rsidR="001946C8" w:rsidRPr="00B072AC" w:rsidRDefault="001946C8" w:rsidP="00A4488F">
            <w:pPr>
              <w:spacing w:before="40" w:after="40"/>
              <w:jc w:val="center"/>
              <w:rPr>
                <w:rFonts w:cstheme="minorHAnsi"/>
              </w:rPr>
            </w:pPr>
            <w:r w:rsidRPr="00B072AC">
              <w:rPr>
                <w:rFonts w:cstheme="minorHAnsi"/>
                <w:b/>
                <w:lang w:val="en-US"/>
              </w:rPr>
              <w:t>Mężczyźni</w:t>
            </w:r>
          </w:p>
        </w:tc>
        <w:tc>
          <w:tcPr>
            <w:tcW w:w="1295" w:type="dxa"/>
            <w:tcBorders>
              <w:top w:val="single" w:sz="4" w:space="0" w:color="FFFFFF"/>
              <w:left w:val="single" w:sz="4" w:space="0" w:color="FFFFFF"/>
              <w:bottom w:val="single" w:sz="4" w:space="0" w:color="FFFFFF"/>
              <w:right w:val="single" w:sz="4" w:space="0" w:color="FFFFFF"/>
            </w:tcBorders>
            <w:shd w:val="clear" w:color="auto" w:fill="9CC2E5"/>
            <w:vAlign w:val="center"/>
          </w:tcPr>
          <w:p w14:paraId="594D61AB" w14:textId="77777777" w:rsidR="001946C8" w:rsidRPr="00B072AC" w:rsidRDefault="001946C8" w:rsidP="00A4488F">
            <w:pPr>
              <w:spacing w:before="40" w:after="40"/>
              <w:jc w:val="center"/>
              <w:rPr>
                <w:rFonts w:cstheme="minorHAnsi"/>
              </w:rPr>
            </w:pPr>
            <w:r w:rsidRPr="00B072AC">
              <w:rPr>
                <w:rFonts w:cstheme="minorHAnsi"/>
                <w:b/>
                <w:lang w:val="en-US"/>
              </w:rPr>
              <w:t>Kobiety</w:t>
            </w:r>
          </w:p>
        </w:tc>
        <w:tc>
          <w:tcPr>
            <w:tcW w:w="1253" w:type="dxa"/>
            <w:tcBorders>
              <w:top w:val="single" w:sz="4" w:space="0" w:color="FFFFFF"/>
              <w:left w:val="single" w:sz="4" w:space="0" w:color="FFFFFF"/>
              <w:bottom w:val="single" w:sz="4" w:space="0" w:color="FFFFFF"/>
              <w:right w:val="single" w:sz="4" w:space="0" w:color="FFFFFF"/>
            </w:tcBorders>
            <w:shd w:val="clear" w:color="auto" w:fill="9CC2E5"/>
          </w:tcPr>
          <w:p w14:paraId="08A8C01B" w14:textId="77777777" w:rsidR="001946C8" w:rsidRPr="00B072AC" w:rsidRDefault="001946C8" w:rsidP="00A4488F">
            <w:pPr>
              <w:spacing w:before="40" w:after="40"/>
              <w:jc w:val="center"/>
              <w:rPr>
                <w:rFonts w:cstheme="minorHAnsi"/>
              </w:rPr>
            </w:pPr>
            <w:r w:rsidRPr="00B072AC">
              <w:rPr>
                <w:rFonts w:cstheme="minorHAnsi"/>
                <w:b/>
                <w:lang w:val="en-US"/>
              </w:rPr>
              <w:t>Ogółem</w:t>
            </w:r>
          </w:p>
        </w:tc>
      </w:tr>
      <w:tr w:rsidR="001946C8" w:rsidRPr="00B072AC" w14:paraId="56A6591D" w14:textId="77777777" w:rsidTr="00A4488F">
        <w:trPr>
          <w:jc w:val="center"/>
        </w:trPr>
        <w:tc>
          <w:tcPr>
            <w:tcW w:w="3404"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0E7848B0" w14:textId="77777777" w:rsidR="001946C8" w:rsidRPr="00B072AC" w:rsidRDefault="001946C8" w:rsidP="00A4488F">
            <w:pPr>
              <w:spacing w:before="40" w:after="40"/>
              <w:jc w:val="both"/>
              <w:rPr>
                <w:rFonts w:cstheme="minorHAnsi"/>
              </w:rPr>
            </w:pPr>
            <w:r w:rsidRPr="00B072AC">
              <w:rPr>
                <w:rFonts w:cstheme="minorHAnsi"/>
                <w:lang w:val="en-US"/>
              </w:rPr>
              <w:t>Ogółem</w:t>
            </w:r>
          </w:p>
        </w:tc>
        <w:tc>
          <w:tcPr>
            <w:tcW w:w="1414"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37893725" w14:textId="77777777" w:rsidR="001946C8" w:rsidRPr="00B072AC" w:rsidRDefault="001946C8" w:rsidP="00A4488F">
            <w:pPr>
              <w:spacing w:before="40" w:after="40"/>
              <w:jc w:val="center"/>
              <w:rPr>
                <w:rFonts w:cstheme="minorHAnsi"/>
              </w:rPr>
            </w:pPr>
            <w:r w:rsidRPr="00B072AC">
              <w:rPr>
                <w:rFonts w:cstheme="minorHAnsi"/>
                <w:lang w:val="en-US"/>
              </w:rPr>
              <w:t>18,58</w:t>
            </w:r>
          </w:p>
        </w:tc>
        <w:tc>
          <w:tcPr>
            <w:tcW w:w="1295"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26154A8E" w14:textId="77777777" w:rsidR="001946C8" w:rsidRPr="00B072AC" w:rsidRDefault="001946C8" w:rsidP="00A4488F">
            <w:pPr>
              <w:spacing w:before="40" w:after="40"/>
              <w:jc w:val="center"/>
              <w:rPr>
                <w:rFonts w:cstheme="minorHAnsi"/>
              </w:rPr>
            </w:pPr>
            <w:r w:rsidRPr="00B072AC">
              <w:rPr>
                <w:rFonts w:cstheme="minorHAnsi"/>
                <w:lang w:val="en-US"/>
              </w:rPr>
              <w:t>19,83</w:t>
            </w:r>
          </w:p>
        </w:tc>
        <w:tc>
          <w:tcPr>
            <w:tcW w:w="1253" w:type="dxa"/>
            <w:tcBorders>
              <w:top w:val="single" w:sz="4" w:space="0" w:color="FFFFFF"/>
              <w:left w:val="single" w:sz="4" w:space="0" w:color="FFFFFF"/>
              <w:bottom w:val="single" w:sz="4" w:space="0" w:color="FFFFFF"/>
              <w:right w:val="single" w:sz="4" w:space="0" w:color="FFFFFF"/>
            </w:tcBorders>
            <w:shd w:val="clear" w:color="auto" w:fill="BDD6EE"/>
          </w:tcPr>
          <w:p w14:paraId="19D9E156" w14:textId="77777777" w:rsidR="001946C8" w:rsidRPr="00B072AC" w:rsidRDefault="001946C8" w:rsidP="00A4488F">
            <w:pPr>
              <w:spacing w:before="40" w:after="40"/>
              <w:jc w:val="center"/>
              <w:rPr>
                <w:rFonts w:cstheme="minorHAnsi"/>
              </w:rPr>
            </w:pPr>
            <w:r w:rsidRPr="00B072AC">
              <w:rPr>
                <w:rFonts w:cstheme="minorHAnsi"/>
                <w:lang w:val="en-US"/>
              </w:rPr>
              <w:t>38,41</w:t>
            </w:r>
          </w:p>
        </w:tc>
      </w:tr>
      <w:tr w:rsidR="001946C8" w:rsidRPr="00B072AC" w14:paraId="36A5679D" w14:textId="77777777" w:rsidTr="00A4488F">
        <w:trPr>
          <w:jc w:val="center"/>
        </w:trPr>
        <w:tc>
          <w:tcPr>
            <w:tcW w:w="3404" w:type="dxa"/>
            <w:tcBorders>
              <w:top w:val="single" w:sz="4" w:space="0" w:color="FFFFFF"/>
              <w:left w:val="single" w:sz="4" w:space="0" w:color="FFFFFF"/>
              <w:bottom w:val="single" w:sz="4" w:space="0" w:color="FFFFFF"/>
              <w:right w:val="single" w:sz="4" w:space="0" w:color="FFFFFF"/>
            </w:tcBorders>
            <w:shd w:val="clear" w:color="auto" w:fill="DEEAF6"/>
            <w:vAlign w:val="center"/>
          </w:tcPr>
          <w:p w14:paraId="46B58234" w14:textId="77777777" w:rsidR="001946C8" w:rsidRPr="00B072AC" w:rsidRDefault="001946C8" w:rsidP="00A4488F">
            <w:pPr>
              <w:spacing w:before="40" w:after="40"/>
              <w:jc w:val="both"/>
              <w:rPr>
                <w:rFonts w:cstheme="minorHAnsi"/>
              </w:rPr>
            </w:pPr>
            <w:r w:rsidRPr="00B072AC">
              <w:rPr>
                <w:rFonts w:cstheme="minorHAnsi"/>
              </w:rPr>
              <w:t>w tym osoby w wieku 60 lat i więcej</w:t>
            </w:r>
          </w:p>
        </w:tc>
        <w:tc>
          <w:tcPr>
            <w:tcW w:w="1414" w:type="dxa"/>
            <w:tcBorders>
              <w:top w:val="single" w:sz="4" w:space="0" w:color="FFFFFF"/>
              <w:left w:val="single" w:sz="4" w:space="0" w:color="FFFFFF"/>
              <w:bottom w:val="single" w:sz="4" w:space="0" w:color="FFFFFF"/>
              <w:right w:val="single" w:sz="4" w:space="0" w:color="FFFFFF"/>
            </w:tcBorders>
            <w:shd w:val="clear" w:color="auto" w:fill="DEEAF6"/>
            <w:vAlign w:val="center"/>
          </w:tcPr>
          <w:p w14:paraId="3C50E879" w14:textId="77777777" w:rsidR="001946C8" w:rsidRPr="00B072AC" w:rsidRDefault="001946C8" w:rsidP="00A4488F">
            <w:pPr>
              <w:spacing w:before="40" w:after="40"/>
              <w:jc w:val="center"/>
              <w:rPr>
                <w:rFonts w:cstheme="minorHAnsi"/>
              </w:rPr>
            </w:pPr>
            <w:r w:rsidRPr="00B072AC">
              <w:rPr>
                <w:rFonts w:cstheme="minorHAnsi"/>
                <w:lang w:val="en-US"/>
              </w:rPr>
              <w:t>3,97</w:t>
            </w:r>
          </w:p>
        </w:tc>
        <w:tc>
          <w:tcPr>
            <w:tcW w:w="1295" w:type="dxa"/>
            <w:tcBorders>
              <w:top w:val="single" w:sz="4" w:space="0" w:color="FFFFFF"/>
              <w:left w:val="single" w:sz="4" w:space="0" w:color="FFFFFF"/>
              <w:bottom w:val="single" w:sz="4" w:space="0" w:color="FFFFFF"/>
              <w:right w:val="single" w:sz="4" w:space="0" w:color="FFFFFF"/>
            </w:tcBorders>
            <w:shd w:val="clear" w:color="auto" w:fill="DEEAF6"/>
            <w:vAlign w:val="center"/>
          </w:tcPr>
          <w:p w14:paraId="06F32CCC" w14:textId="77777777" w:rsidR="001946C8" w:rsidRPr="00B072AC" w:rsidRDefault="001946C8" w:rsidP="00A4488F">
            <w:pPr>
              <w:spacing w:before="40" w:after="40"/>
              <w:jc w:val="center"/>
              <w:rPr>
                <w:rFonts w:cstheme="minorHAnsi"/>
              </w:rPr>
            </w:pPr>
            <w:r w:rsidRPr="00B072AC">
              <w:rPr>
                <w:rFonts w:cstheme="minorHAnsi"/>
                <w:lang w:val="en-US"/>
              </w:rPr>
              <w:t>5,54</w:t>
            </w:r>
          </w:p>
        </w:tc>
        <w:tc>
          <w:tcPr>
            <w:tcW w:w="1253" w:type="dxa"/>
            <w:tcBorders>
              <w:top w:val="single" w:sz="4" w:space="0" w:color="FFFFFF"/>
              <w:left w:val="single" w:sz="4" w:space="0" w:color="FFFFFF"/>
              <w:bottom w:val="single" w:sz="4" w:space="0" w:color="FFFFFF"/>
              <w:right w:val="single" w:sz="4" w:space="0" w:color="FFFFFF"/>
            </w:tcBorders>
            <w:shd w:val="clear" w:color="auto" w:fill="DEEAF6"/>
          </w:tcPr>
          <w:p w14:paraId="3A0A427C" w14:textId="77777777" w:rsidR="001946C8" w:rsidRPr="00B072AC" w:rsidRDefault="001946C8" w:rsidP="00A4488F">
            <w:pPr>
              <w:spacing w:before="40" w:after="40"/>
              <w:jc w:val="center"/>
              <w:rPr>
                <w:rFonts w:cstheme="minorHAnsi"/>
              </w:rPr>
            </w:pPr>
            <w:r w:rsidRPr="00B072AC">
              <w:rPr>
                <w:rFonts w:cstheme="minorHAnsi"/>
                <w:lang w:val="en-US"/>
              </w:rPr>
              <w:t>9,51</w:t>
            </w:r>
          </w:p>
        </w:tc>
      </w:tr>
      <w:tr w:rsidR="001946C8" w:rsidRPr="00B072AC" w14:paraId="39D375F7" w14:textId="77777777" w:rsidTr="00A4488F">
        <w:trPr>
          <w:trHeight w:val="462"/>
          <w:jc w:val="center"/>
        </w:trPr>
        <w:tc>
          <w:tcPr>
            <w:tcW w:w="7366" w:type="dxa"/>
            <w:gridSpan w:val="4"/>
            <w:tcBorders>
              <w:top w:val="single" w:sz="4" w:space="0" w:color="FFFFFF"/>
              <w:left w:val="single" w:sz="4" w:space="0" w:color="FFFFFF"/>
              <w:bottom w:val="single" w:sz="4" w:space="0" w:color="FFFFFF"/>
              <w:right w:val="single" w:sz="4" w:space="0" w:color="FFFFFF"/>
            </w:tcBorders>
            <w:shd w:val="clear" w:color="auto" w:fill="9CC2E5"/>
            <w:vAlign w:val="center"/>
          </w:tcPr>
          <w:p w14:paraId="0284C057" w14:textId="77777777" w:rsidR="001946C8" w:rsidRPr="00B072AC" w:rsidRDefault="001946C8" w:rsidP="00A4488F">
            <w:pPr>
              <w:spacing w:before="40" w:after="40"/>
              <w:jc w:val="both"/>
              <w:rPr>
                <w:rFonts w:cstheme="minorHAnsi"/>
              </w:rPr>
            </w:pPr>
            <w:r w:rsidRPr="00B072AC">
              <w:rPr>
                <w:rFonts w:cstheme="minorHAnsi"/>
                <w:b/>
              </w:rPr>
              <w:t>Osoby w wieku 60 lat i więcej w podziale na grupy wiekowe:</w:t>
            </w:r>
          </w:p>
        </w:tc>
      </w:tr>
      <w:tr w:rsidR="001946C8" w:rsidRPr="00B072AC" w14:paraId="28016EC1" w14:textId="77777777" w:rsidTr="00A4488F">
        <w:trPr>
          <w:jc w:val="center"/>
        </w:trPr>
        <w:tc>
          <w:tcPr>
            <w:tcW w:w="3404" w:type="dxa"/>
            <w:tcBorders>
              <w:top w:val="single" w:sz="4" w:space="0" w:color="FFFFFF"/>
              <w:left w:val="single" w:sz="4" w:space="0" w:color="FFFFFF"/>
              <w:bottom w:val="single" w:sz="4" w:space="0" w:color="FFFFFF"/>
              <w:right w:val="single" w:sz="4" w:space="0" w:color="FFFFFF"/>
            </w:tcBorders>
            <w:shd w:val="clear" w:color="auto" w:fill="DEEAF6"/>
            <w:vAlign w:val="center"/>
          </w:tcPr>
          <w:p w14:paraId="00614C98" w14:textId="77777777" w:rsidR="001946C8" w:rsidRPr="00B072AC" w:rsidRDefault="001946C8" w:rsidP="00A4488F">
            <w:pPr>
              <w:spacing w:before="40" w:after="40"/>
              <w:jc w:val="both"/>
              <w:rPr>
                <w:rFonts w:cstheme="minorHAnsi"/>
              </w:rPr>
            </w:pPr>
            <w:r w:rsidRPr="00B072AC">
              <w:rPr>
                <w:rFonts w:cstheme="minorHAnsi"/>
                <w:lang w:val="en-US"/>
              </w:rPr>
              <w:t>60–64</w:t>
            </w:r>
            <w:r>
              <w:rPr>
                <w:rFonts w:cstheme="minorHAnsi"/>
                <w:lang w:val="en-US"/>
              </w:rPr>
              <w:t xml:space="preserve"> lat</w:t>
            </w:r>
          </w:p>
        </w:tc>
        <w:tc>
          <w:tcPr>
            <w:tcW w:w="1414" w:type="dxa"/>
            <w:tcBorders>
              <w:top w:val="single" w:sz="4" w:space="0" w:color="FFFFFF"/>
              <w:left w:val="single" w:sz="4" w:space="0" w:color="FFFFFF"/>
              <w:bottom w:val="single" w:sz="4" w:space="0" w:color="FFFFFF"/>
              <w:right w:val="single" w:sz="4" w:space="0" w:color="FFFFFF"/>
            </w:tcBorders>
            <w:shd w:val="clear" w:color="auto" w:fill="DEEAF6"/>
            <w:vAlign w:val="center"/>
          </w:tcPr>
          <w:p w14:paraId="2FC40EC1" w14:textId="77777777" w:rsidR="001946C8" w:rsidRPr="00B072AC" w:rsidRDefault="001946C8" w:rsidP="00A4488F">
            <w:pPr>
              <w:spacing w:before="40" w:after="40"/>
              <w:jc w:val="center"/>
              <w:rPr>
                <w:rFonts w:cstheme="minorHAnsi"/>
              </w:rPr>
            </w:pPr>
            <w:r w:rsidRPr="00B072AC">
              <w:rPr>
                <w:rFonts w:cstheme="minorHAnsi"/>
                <w:lang w:val="en-US"/>
              </w:rPr>
              <w:t>1,30</w:t>
            </w:r>
          </w:p>
        </w:tc>
        <w:tc>
          <w:tcPr>
            <w:tcW w:w="1295" w:type="dxa"/>
            <w:tcBorders>
              <w:top w:val="single" w:sz="4" w:space="0" w:color="FFFFFF"/>
              <w:left w:val="single" w:sz="4" w:space="0" w:color="FFFFFF"/>
              <w:bottom w:val="single" w:sz="4" w:space="0" w:color="FFFFFF"/>
              <w:right w:val="single" w:sz="4" w:space="0" w:color="FFFFFF"/>
            </w:tcBorders>
            <w:shd w:val="clear" w:color="auto" w:fill="DEEAF6"/>
            <w:vAlign w:val="center"/>
          </w:tcPr>
          <w:p w14:paraId="0F76CA0D" w14:textId="77777777" w:rsidR="001946C8" w:rsidRPr="00B072AC" w:rsidRDefault="001946C8" w:rsidP="00A4488F">
            <w:pPr>
              <w:spacing w:before="40" w:after="40"/>
              <w:jc w:val="center"/>
              <w:rPr>
                <w:rFonts w:cstheme="minorHAnsi"/>
              </w:rPr>
            </w:pPr>
            <w:r w:rsidRPr="00B072AC">
              <w:rPr>
                <w:rFonts w:cstheme="minorHAnsi"/>
                <w:lang w:val="en-US"/>
              </w:rPr>
              <w:t>1,47</w:t>
            </w:r>
          </w:p>
        </w:tc>
        <w:tc>
          <w:tcPr>
            <w:tcW w:w="1253" w:type="dxa"/>
            <w:tcBorders>
              <w:top w:val="single" w:sz="4" w:space="0" w:color="FFFFFF"/>
              <w:left w:val="single" w:sz="4" w:space="0" w:color="FFFFFF"/>
              <w:bottom w:val="single" w:sz="4" w:space="0" w:color="FFFFFF"/>
              <w:right w:val="single" w:sz="4" w:space="0" w:color="FFFFFF"/>
            </w:tcBorders>
            <w:shd w:val="clear" w:color="auto" w:fill="DEEAF6"/>
          </w:tcPr>
          <w:p w14:paraId="5B31FE9B" w14:textId="77777777" w:rsidR="001946C8" w:rsidRPr="00B072AC" w:rsidRDefault="001946C8" w:rsidP="00A4488F">
            <w:pPr>
              <w:spacing w:before="40" w:after="40"/>
              <w:jc w:val="center"/>
              <w:rPr>
                <w:rFonts w:cstheme="minorHAnsi"/>
              </w:rPr>
            </w:pPr>
            <w:r w:rsidRPr="00B072AC">
              <w:rPr>
                <w:rFonts w:cstheme="minorHAnsi"/>
                <w:lang w:val="en-US"/>
              </w:rPr>
              <w:t>2,77</w:t>
            </w:r>
          </w:p>
        </w:tc>
      </w:tr>
      <w:tr w:rsidR="001946C8" w:rsidRPr="00B072AC" w14:paraId="167E3175" w14:textId="77777777" w:rsidTr="00A4488F">
        <w:trPr>
          <w:jc w:val="center"/>
        </w:trPr>
        <w:tc>
          <w:tcPr>
            <w:tcW w:w="3404"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5A02B1E9" w14:textId="77777777" w:rsidR="001946C8" w:rsidRPr="00B072AC" w:rsidRDefault="001946C8" w:rsidP="00A4488F">
            <w:pPr>
              <w:spacing w:before="40" w:after="40"/>
              <w:jc w:val="both"/>
              <w:rPr>
                <w:rFonts w:cstheme="minorHAnsi"/>
              </w:rPr>
            </w:pPr>
            <w:r w:rsidRPr="00B072AC">
              <w:rPr>
                <w:rFonts w:cstheme="minorHAnsi"/>
                <w:lang w:val="en-US"/>
              </w:rPr>
              <w:t>65–69</w:t>
            </w:r>
            <w:r>
              <w:rPr>
                <w:rFonts w:cstheme="minorHAnsi"/>
                <w:lang w:val="en-US"/>
              </w:rPr>
              <w:t xml:space="preserve"> lat</w:t>
            </w:r>
          </w:p>
        </w:tc>
        <w:tc>
          <w:tcPr>
            <w:tcW w:w="1414"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347022A5" w14:textId="77777777" w:rsidR="001946C8" w:rsidRPr="00B072AC" w:rsidRDefault="001946C8" w:rsidP="00A4488F">
            <w:pPr>
              <w:spacing w:before="40" w:after="40"/>
              <w:jc w:val="center"/>
              <w:rPr>
                <w:rFonts w:cstheme="minorHAnsi"/>
              </w:rPr>
            </w:pPr>
            <w:r w:rsidRPr="00B072AC">
              <w:rPr>
                <w:rFonts w:cstheme="minorHAnsi"/>
                <w:lang w:val="en-US"/>
              </w:rPr>
              <w:t>1,01</w:t>
            </w:r>
          </w:p>
        </w:tc>
        <w:tc>
          <w:tcPr>
            <w:tcW w:w="1295"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4CEDD61A" w14:textId="77777777" w:rsidR="001946C8" w:rsidRPr="00B072AC" w:rsidRDefault="001946C8" w:rsidP="00A4488F">
            <w:pPr>
              <w:spacing w:before="40" w:after="40"/>
              <w:jc w:val="center"/>
              <w:rPr>
                <w:rFonts w:cstheme="minorHAnsi"/>
              </w:rPr>
            </w:pPr>
            <w:r w:rsidRPr="00B072AC">
              <w:rPr>
                <w:rFonts w:cstheme="minorHAnsi"/>
                <w:lang w:val="en-US"/>
              </w:rPr>
              <w:t>1,34</w:t>
            </w:r>
          </w:p>
        </w:tc>
        <w:tc>
          <w:tcPr>
            <w:tcW w:w="1253" w:type="dxa"/>
            <w:tcBorders>
              <w:top w:val="single" w:sz="4" w:space="0" w:color="FFFFFF"/>
              <w:left w:val="single" w:sz="4" w:space="0" w:color="FFFFFF"/>
              <w:bottom w:val="single" w:sz="4" w:space="0" w:color="FFFFFF"/>
              <w:right w:val="single" w:sz="4" w:space="0" w:color="FFFFFF"/>
            </w:tcBorders>
            <w:shd w:val="clear" w:color="auto" w:fill="BDD6EE"/>
          </w:tcPr>
          <w:p w14:paraId="5B3B8C32" w14:textId="77777777" w:rsidR="001946C8" w:rsidRPr="00B072AC" w:rsidRDefault="001946C8" w:rsidP="00A4488F">
            <w:pPr>
              <w:spacing w:before="40" w:after="40"/>
              <w:jc w:val="center"/>
              <w:rPr>
                <w:rFonts w:cstheme="minorHAnsi"/>
              </w:rPr>
            </w:pPr>
            <w:r w:rsidRPr="00B072AC">
              <w:rPr>
                <w:rFonts w:cstheme="minorHAnsi"/>
                <w:lang w:val="en-US"/>
              </w:rPr>
              <w:t>2,35</w:t>
            </w:r>
          </w:p>
        </w:tc>
      </w:tr>
      <w:tr w:rsidR="001946C8" w:rsidRPr="00B072AC" w14:paraId="5DEE6B68" w14:textId="77777777" w:rsidTr="00A4488F">
        <w:trPr>
          <w:jc w:val="center"/>
        </w:trPr>
        <w:tc>
          <w:tcPr>
            <w:tcW w:w="3404" w:type="dxa"/>
            <w:tcBorders>
              <w:top w:val="single" w:sz="4" w:space="0" w:color="FFFFFF"/>
              <w:left w:val="single" w:sz="4" w:space="0" w:color="FFFFFF"/>
              <w:bottom w:val="single" w:sz="4" w:space="0" w:color="FFFFFF"/>
              <w:right w:val="single" w:sz="4" w:space="0" w:color="FFFFFF"/>
            </w:tcBorders>
            <w:shd w:val="clear" w:color="auto" w:fill="DEEAF6"/>
            <w:vAlign w:val="center"/>
          </w:tcPr>
          <w:p w14:paraId="023C2070" w14:textId="77777777" w:rsidR="001946C8" w:rsidRPr="00B072AC" w:rsidRDefault="001946C8" w:rsidP="00A4488F">
            <w:pPr>
              <w:spacing w:before="40" w:after="40"/>
              <w:jc w:val="both"/>
              <w:rPr>
                <w:rFonts w:cstheme="minorHAnsi"/>
              </w:rPr>
            </w:pPr>
            <w:r w:rsidRPr="00B072AC">
              <w:rPr>
                <w:rFonts w:cstheme="minorHAnsi"/>
                <w:lang w:val="en-US"/>
              </w:rPr>
              <w:t>70–74</w:t>
            </w:r>
            <w:r>
              <w:rPr>
                <w:rFonts w:cstheme="minorHAnsi"/>
                <w:lang w:val="en-US"/>
              </w:rPr>
              <w:t xml:space="preserve"> lat</w:t>
            </w:r>
          </w:p>
        </w:tc>
        <w:tc>
          <w:tcPr>
            <w:tcW w:w="1414" w:type="dxa"/>
            <w:tcBorders>
              <w:top w:val="single" w:sz="4" w:space="0" w:color="FFFFFF"/>
              <w:left w:val="single" w:sz="4" w:space="0" w:color="FFFFFF"/>
              <w:bottom w:val="single" w:sz="4" w:space="0" w:color="FFFFFF"/>
              <w:right w:val="single" w:sz="4" w:space="0" w:color="FFFFFF"/>
            </w:tcBorders>
            <w:shd w:val="clear" w:color="auto" w:fill="DEEAF6"/>
            <w:vAlign w:val="center"/>
          </w:tcPr>
          <w:p w14:paraId="57B50E60" w14:textId="77777777" w:rsidR="001946C8" w:rsidRPr="00B072AC" w:rsidRDefault="001946C8" w:rsidP="00A4488F">
            <w:pPr>
              <w:spacing w:before="40" w:after="40"/>
              <w:jc w:val="center"/>
              <w:rPr>
                <w:rFonts w:cstheme="minorHAnsi"/>
              </w:rPr>
            </w:pPr>
            <w:r w:rsidRPr="00B072AC">
              <w:rPr>
                <w:rFonts w:cstheme="minorHAnsi"/>
                <w:lang w:val="en-US"/>
              </w:rPr>
              <w:t>0,67</w:t>
            </w:r>
          </w:p>
        </w:tc>
        <w:tc>
          <w:tcPr>
            <w:tcW w:w="1295" w:type="dxa"/>
            <w:tcBorders>
              <w:top w:val="single" w:sz="4" w:space="0" w:color="FFFFFF"/>
              <w:left w:val="single" w:sz="4" w:space="0" w:color="FFFFFF"/>
              <w:bottom w:val="single" w:sz="4" w:space="0" w:color="FFFFFF"/>
              <w:right w:val="single" w:sz="4" w:space="0" w:color="FFFFFF"/>
            </w:tcBorders>
            <w:shd w:val="clear" w:color="auto" w:fill="DEEAF6"/>
            <w:vAlign w:val="center"/>
          </w:tcPr>
          <w:p w14:paraId="57F560BA" w14:textId="77777777" w:rsidR="001946C8" w:rsidRPr="00B072AC" w:rsidRDefault="001946C8" w:rsidP="00A4488F">
            <w:pPr>
              <w:spacing w:before="40" w:after="40"/>
              <w:jc w:val="center"/>
              <w:rPr>
                <w:rFonts w:cstheme="minorHAnsi"/>
              </w:rPr>
            </w:pPr>
            <w:r w:rsidRPr="00B072AC">
              <w:rPr>
                <w:rFonts w:cstheme="minorHAnsi"/>
                <w:lang w:val="en-US"/>
              </w:rPr>
              <w:t>0,92</w:t>
            </w:r>
          </w:p>
        </w:tc>
        <w:tc>
          <w:tcPr>
            <w:tcW w:w="1253" w:type="dxa"/>
            <w:tcBorders>
              <w:top w:val="single" w:sz="4" w:space="0" w:color="FFFFFF"/>
              <w:left w:val="single" w:sz="4" w:space="0" w:color="FFFFFF"/>
              <w:bottom w:val="single" w:sz="4" w:space="0" w:color="FFFFFF"/>
              <w:right w:val="single" w:sz="4" w:space="0" w:color="FFFFFF"/>
            </w:tcBorders>
            <w:shd w:val="clear" w:color="auto" w:fill="DEEAF6"/>
          </w:tcPr>
          <w:p w14:paraId="7B8CA6F8" w14:textId="77777777" w:rsidR="001946C8" w:rsidRPr="00B072AC" w:rsidRDefault="001946C8" w:rsidP="00A4488F">
            <w:pPr>
              <w:spacing w:before="40" w:after="40"/>
              <w:jc w:val="center"/>
              <w:rPr>
                <w:rFonts w:cstheme="minorHAnsi"/>
              </w:rPr>
            </w:pPr>
            <w:r w:rsidRPr="00B072AC">
              <w:rPr>
                <w:rFonts w:cstheme="minorHAnsi"/>
                <w:lang w:val="en-US"/>
              </w:rPr>
              <w:t>1,59</w:t>
            </w:r>
          </w:p>
        </w:tc>
      </w:tr>
      <w:tr w:rsidR="001946C8" w:rsidRPr="00B072AC" w14:paraId="650D06D3" w14:textId="77777777" w:rsidTr="00A4488F">
        <w:trPr>
          <w:jc w:val="center"/>
        </w:trPr>
        <w:tc>
          <w:tcPr>
            <w:tcW w:w="3404"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1E9B639A" w14:textId="77777777" w:rsidR="001946C8" w:rsidRPr="00B072AC" w:rsidRDefault="001946C8" w:rsidP="00A4488F">
            <w:pPr>
              <w:spacing w:before="40" w:after="40"/>
              <w:jc w:val="both"/>
              <w:rPr>
                <w:rFonts w:cstheme="minorHAnsi"/>
              </w:rPr>
            </w:pPr>
            <w:r w:rsidRPr="00B072AC">
              <w:rPr>
                <w:rFonts w:cstheme="minorHAnsi"/>
                <w:lang w:val="en-US"/>
              </w:rPr>
              <w:t>75–79</w:t>
            </w:r>
            <w:r>
              <w:rPr>
                <w:rFonts w:cstheme="minorHAnsi"/>
                <w:lang w:val="en-US"/>
              </w:rPr>
              <w:t xml:space="preserve"> lat</w:t>
            </w:r>
          </w:p>
        </w:tc>
        <w:tc>
          <w:tcPr>
            <w:tcW w:w="1414"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4A48D739" w14:textId="77777777" w:rsidR="001946C8" w:rsidRPr="00B072AC" w:rsidRDefault="001946C8" w:rsidP="00A4488F">
            <w:pPr>
              <w:spacing w:before="40" w:after="40"/>
              <w:jc w:val="center"/>
              <w:rPr>
                <w:rFonts w:cstheme="minorHAnsi"/>
              </w:rPr>
            </w:pPr>
            <w:r w:rsidRPr="00B072AC">
              <w:rPr>
                <w:rFonts w:cstheme="minorHAnsi"/>
                <w:lang w:val="en-US"/>
              </w:rPr>
              <w:t>0,40</w:t>
            </w:r>
          </w:p>
        </w:tc>
        <w:tc>
          <w:tcPr>
            <w:tcW w:w="1295"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67757C19" w14:textId="77777777" w:rsidR="001946C8" w:rsidRPr="00B072AC" w:rsidRDefault="001946C8" w:rsidP="00A4488F">
            <w:pPr>
              <w:spacing w:before="40" w:after="40"/>
              <w:jc w:val="center"/>
              <w:rPr>
                <w:rFonts w:cstheme="minorHAnsi"/>
              </w:rPr>
            </w:pPr>
            <w:r w:rsidRPr="00B072AC">
              <w:rPr>
                <w:rFonts w:cstheme="minorHAnsi"/>
                <w:lang w:val="en-US"/>
              </w:rPr>
              <w:t>0,66</w:t>
            </w:r>
          </w:p>
        </w:tc>
        <w:tc>
          <w:tcPr>
            <w:tcW w:w="1253" w:type="dxa"/>
            <w:tcBorders>
              <w:top w:val="single" w:sz="4" w:space="0" w:color="FFFFFF"/>
              <w:left w:val="single" w:sz="4" w:space="0" w:color="FFFFFF"/>
              <w:bottom w:val="single" w:sz="4" w:space="0" w:color="FFFFFF"/>
              <w:right w:val="single" w:sz="4" w:space="0" w:color="FFFFFF"/>
            </w:tcBorders>
            <w:shd w:val="clear" w:color="auto" w:fill="BDD6EE"/>
          </w:tcPr>
          <w:p w14:paraId="2126B57B" w14:textId="77777777" w:rsidR="001946C8" w:rsidRPr="00B072AC" w:rsidRDefault="001946C8" w:rsidP="00A4488F">
            <w:pPr>
              <w:spacing w:before="40" w:after="40"/>
              <w:jc w:val="center"/>
              <w:rPr>
                <w:rFonts w:cstheme="minorHAnsi"/>
              </w:rPr>
            </w:pPr>
            <w:r w:rsidRPr="00B072AC">
              <w:rPr>
                <w:rFonts w:cstheme="minorHAnsi"/>
                <w:lang w:val="en-US"/>
              </w:rPr>
              <w:t>1,06</w:t>
            </w:r>
          </w:p>
        </w:tc>
      </w:tr>
      <w:tr w:rsidR="001946C8" w:rsidRPr="00B072AC" w14:paraId="4E1EC56D" w14:textId="77777777" w:rsidTr="00A4488F">
        <w:trPr>
          <w:jc w:val="center"/>
        </w:trPr>
        <w:tc>
          <w:tcPr>
            <w:tcW w:w="3404" w:type="dxa"/>
            <w:tcBorders>
              <w:top w:val="single" w:sz="4" w:space="0" w:color="FFFFFF"/>
              <w:left w:val="single" w:sz="4" w:space="0" w:color="FFFFFF"/>
              <w:bottom w:val="single" w:sz="4" w:space="0" w:color="FFFFFF"/>
              <w:right w:val="single" w:sz="4" w:space="0" w:color="FFFFFF"/>
            </w:tcBorders>
            <w:shd w:val="clear" w:color="auto" w:fill="DEEAF6"/>
            <w:vAlign w:val="center"/>
          </w:tcPr>
          <w:p w14:paraId="3FCBB002" w14:textId="77777777" w:rsidR="001946C8" w:rsidRPr="00B072AC" w:rsidRDefault="001946C8" w:rsidP="00A4488F">
            <w:pPr>
              <w:spacing w:before="40" w:after="40"/>
              <w:jc w:val="both"/>
              <w:rPr>
                <w:rFonts w:cstheme="minorHAnsi"/>
              </w:rPr>
            </w:pPr>
            <w:r w:rsidRPr="00B072AC">
              <w:rPr>
                <w:rFonts w:cstheme="minorHAnsi"/>
                <w:lang w:val="en-US"/>
              </w:rPr>
              <w:t>80–8</w:t>
            </w:r>
            <w:r>
              <w:rPr>
                <w:rFonts w:cstheme="minorHAnsi"/>
                <w:lang w:val="en-US"/>
              </w:rPr>
              <w:t>4 lat</w:t>
            </w:r>
          </w:p>
        </w:tc>
        <w:tc>
          <w:tcPr>
            <w:tcW w:w="1414" w:type="dxa"/>
            <w:tcBorders>
              <w:top w:val="single" w:sz="4" w:space="0" w:color="FFFFFF"/>
              <w:left w:val="single" w:sz="4" w:space="0" w:color="FFFFFF"/>
              <w:bottom w:val="single" w:sz="4" w:space="0" w:color="FFFFFF"/>
              <w:right w:val="single" w:sz="4" w:space="0" w:color="FFFFFF"/>
            </w:tcBorders>
            <w:shd w:val="clear" w:color="auto" w:fill="DEEAF6"/>
            <w:vAlign w:val="center"/>
          </w:tcPr>
          <w:p w14:paraId="042C1106" w14:textId="77777777" w:rsidR="001946C8" w:rsidRPr="00B072AC" w:rsidRDefault="001946C8" w:rsidP="00A4488F">
            <w:pPr>
              <w:spacing w:before="40" w:after="40"/>
              <w:jc w:val="center"/>
              <w:rPr>
                <w:rFonts w:cstheme="minorHAnsi"/>
              </w:rPr>
            </w:pPr>
            <w:r w:rsidRPr="00B072AC">
              <w:rPr>
                <w:rFonts w:cstheme="minorHAnsi"/>
                <w:lang w:val="en-US"/>
              </w:rPr>
              <w:t>0,30</w:t>
            </w:r>
          </w:p>
        </w:tc>
        <w:tc>
          <w:tcPr>
            <w:tcW w:w="1295" w:type="dxa"/>
            <w:tcBorders>
              <w:top w:val="single" w:sz="4" w:space="0" w:color="FFFFFF"/>
              <w:left w:val="single" w:sz="4" w:space="0" w:color="FFFFFF"/>
              <w:bottom w:val="single" w:sz="4" w:space="0" w:color="FFFFFF"/>
              <w:right w:val="single" w:sz="4" w:space="0" w:color="FFFFFF"/>
            </w:tcBorders>
            <w:shd w:val="clear" w:color="auto" w:fill="DEEAF6"/>
            <w:vAlign w:val="center"/>
          </w:tcPr>
          <w:p w14:paraId="2995D3EB" w14:textId="77777777" w:rsidR="001946C8" w:rsidRPr="00B072AC" w:rsidRDefault="001946C8" w:rsidP="00A4488F">
            <w:pPr>
              <w:spacing w:before="40" w:after="40"/>
              <w:jc w:val="center"/>
              <w:rPr>
                <w:rFonts w:cstheme="minorHAnsi"/>
              </w:rPr>
            </w:pPr>
            <w:r w:rsidRPr="00B072AC">
              <w:rPr>
                <w:rFonts w:cstheme="minorHAnsi"/>
                <w:lang w:val="en-US"/>
              </w:rPr>
              <w:t>0,58</w:t>
            </w:r>
          </w:p>
        </w:tc>
        <w:tc>
          <w:tcPr>
            <w:tcW w:w="1253" w:type="dxa"/>
            <w:tcBorders>
              <w:top w:val="single" w:sz="4" w:space="0" w:color="FFFFFF"/>
              <w:left w:val="single" w:sz="4" w:space="0" w:color="FFFFFF"/>
              <w:bottom w:val="single" w:sz="4" w:space="0" w:color="FFFFFF"/>
              <w:right w:val="single" w:sz="4" w:space="0" w:color="FFFFFF"/>
            </w:tcBorders>
            <w:shd w:val="clear" w:color="auto" w:fill="DEEAF6"/>
          </w:tcPr>
          <w:p w14:paraId="73EFB5CF" w14:textId="77777777" w:rsidR="001946C8" w:rsidRPr="00B072AC" w:rsidRDefault="001946C8" w:rsidP="00A4488F">
            <w:pPr>
              <w:spacing w:before="40" w:after="40"/>
              <w:jc w:val="center"/>
              <w:rPr>
                <w:rFonts w:cstheme="minorHAnsi"/>
              </w:rPr>
            </w:pPr>
            <w:r w:rsidRPr="00B072AC">
              <w:rPr>
                <w:rFonts w:cstheme="minorHAnsi"/>
                <w:lang w:val="en-US"/>
              </w:rPr>
              <w:t>0,88</w:t>
            </w:r>
          </w:p>
        </w:tc>
      </w:tr>
      <w:tr w:rsidR="001946C8" w:rsidRPr="00B072AC" w14:paraId="2A9F8F51" w14:textId="77777777" w:rsidTr="00A4488F">
        <w:trPr>
          <w:jc w:val="center"/>
        </w:trPr>
        <w:tc>
          <w:tcPr>
            <w:tcW w:w="3404"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0D88D0ED" w14:textId="77777777" w:rsidR="001946C8" w:rsidRPr="00B072AC" w:rsidRDefault="001946C8" w:rsidP="00A4488F">
            <w:pPr>
              <w:spacing w:before="40" w:after="40"/>
              <w:jc w:val="both"/>
              <w:rPr>
                <w:rFonts w:cstheme="minorHAnsi"/>
              </w:rPr>
            </w:pPr>
            <w:r w:rsidRPr="00B072AC">
              <w:rPr>
                <w:rFonts w:cstheme="minorHAnsi"/>
                <w:lang w:val="en-US"/>
              </w:rPr>
              <w:t>85</w:t>
            </w:r>
            <w:r>
              <w:rPr>
                <w:rFonts w:cstheme="minorHAnsi"/>
                <w:lang w:val="en-US"/>
              </w:rPr>
              <w:t xml:space="preserve"> lat</w:t>
            </w:r>
            <w:r w:rsidRPr="00B072AC">
              <w:rPr>
                <w:rFonts w:cstheme="minorHAnsi"/>
                <w:lang w:val="en-US"/>
              </w:rPr>
              <w:t xml:space="preserve"> i więcej</w:t>
            </w:r>
          </w:p>
        </w:tc>
        <w:tc>
          <w:tcPr>
            <w:tcW w:w="1414"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54C3BDE8" w14:textId="77777777" w:rsidR="001946C8" w:rsidRPr="00B072AC" w:rsidRDefault="001946C8" w:rsidP="00A4488F">
            <w:pPr>
              <w:spacing w:before="40" w:after="40"/>
              <w:jc w:val="center"/>
              <w:rPr>
                <w:rFonts w:cstheme="minorHAnsi"/>
              </w:rPr>
            </w:pPr>
            <w:r w:rsidRPr="00B072AC">
              <w:rPr>
                <w:rFonts w:cstheme="minorHAnsi"/>
                <w:lang w:val="en-US"/>
              </w:rPr>
              <w:t>0,22</w:t>
            </w:r>
          </w:p>
        </w:tc>
        <w:tc>
          <w:tcPr>
            <w:tcW w:w="1295"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745954C1" w14:textId="77777777" w:rsidR="001946C8" w:rsidRPr="00B072AC" w:rsidRDefault="001946C8" w:rsidP="00A4488F">
            <w:pPr>
              <w:spacing w:before="40" w:after="40"/>
              <w:jc w:val="center"/>
              <w:rPr>
                <w:rFonts w:cstheme="minorHAnsi"/>
              </w:rPr>
            </w:pPr>
            <w:r w:rsidRPr="00B072AC">
              <w:rPr>
                <w:rFonts w:cstheme="minorHAnsi"/>
                <w:lang w:val="en-US"/>
              </w:rPr>
              <w:t>0,57</w:t>
            </w:r>
          </w:p>
        </w:tc>
        <w:tc>
          <w:tcPr>
            <w:tcW w:w="1253" w:type="dxa"/>
            <w:tcBorders>
              <w:top w:val="single" w:sz="4" w:space="0" w:color="FFFFFF"/>
              <w:left w:val="single" w:sz="4" w:space="0" w:color="FFFFFF"/>
              <w:bottom w:val="single" w:sz="4" w:space="0" w:color="FFFFFF"/>
              <w:right w:val="single" w:sz="4" w:space="0" w:color="FFFFFF"/>
            </w:tcBorders>
            <w:shd w:val="clear" w:color="auto" w:fill="BDD6EE"/>
          </w:tcPr>
          <w:p w14:paraId="22156A66" w14:textId="77777777" w:rsidR="001946C8" w:rsidRPr="00B072AC" w:rsidRDefault="001946C8" w:rsidP="00A4488F">
            <w:pPr>
              <w:spacing w:before="40" w:after="40"/>
              <w:jc w:val="center"/>
              <w:rPr>
                <w:rFonts w:cstheme="minorHAnsi"/>
              </w:rPr>
            </w:pPr>
            <w:r w:rsidRPr="00B072AC">
              <w:rPr>
                <w:rFonts w:cstheme="minorHAnsi"/>
                <w:lang w:val="en-US"/>
              </w:rPr>
              <w:t>0,77</w:t>
            </w:r>
          </w:p>
        </w:tc>
      </w:tr>
    </w:tbl>
    <w:p w14:paraId="4649DC1C" w14:textId="77777777" w:rsidR="001946C8" w:rsidRPr="00D210AE" w:rsidRDefault="001946C8" w:rsidP="001946C8">
      <w:pPr>
        <w:jc w:val="center"/>
        <w:rPr>
          <w:sz w:val="16"/>
          <w:szCs w:val="16"/>
        </w:rPr>
      </w:pPr>
      <w:r w:rsidRPr="00D210AE">
        <w:rPr>
          <w:sz w:val="16"/>
          <w:szCs w:val="16"/>
        </w:rPr>
        <w:t xml:space="preserve">Na podstawie: </w:t>
      </w:r>
      <w:r w:rsidRPr="00D210AE">
        <w:rPr>
          <w:i/>
          <w:sz w:val="16"/>
          <w:szCs w:val="16"/>
        </w:rPr>
        <w:t>Informacja o sytuacji osób starszych w Polsce za rok 2018</w:t>
      </w:r>
      <w:r w:rsidRPr="00D210AE">
        <w:rPr>
          <w:sz w:val="16"/>
          <w:szCs w:val="16"/>
        </w:rPr>
        <w:t>, s. 7 (na podstawie danych GUS).</w:t>
      </w:r>
    </w:p>
    <w:p w14:paraId="1A8DF52B" w14:textId="77777777" w:rsidR="001946C8" w:rsidRDefault="001946C8" w:rsidP="001946C8">
      <w:pPr>
        <w:jc w:val="both"/>
      </w:pPr>
      <w:r>
        <w:t xml:space="preserve">Obserwowane w Polsce pozytywne zmiany w zakresie spadku natężeniu zgonów są przyczyną trwającego od ponad ćwierćwiecza (tj. od 1992 r.) wzrostu przeciętnego trwania życia. W 2018 r. przeciętne trwanie życia noworodka płci męskiej wynosiło 73,85 lat, natomiast płci żeńskiej 81,68 lat (tabela 3). W porównaniu </w:t>
      </w:r>
      <w:r w:rsidRPr="00D62687">
        <w:t xml:space="preserve">z 1990 r. trwanie życia wydłużyło się o 7,6 </w:t>
      </w:r>
      <w:r>
        <w:t xml:space="preserve">wśród kobiet </w:t>
      </w:r>
      <w:r w:rsidRPr="00D62687">
        <w:t>i 6,5 lat</w:t>
      </w:r>
      <w:r>
        <w:t xml:space="preserve"> wśród mężczyzn</w:t>
      </w:r>
      <w:r w:rsidRPr="00D62687">
        <w:t>.</w:t>
      </w:r>
      <w:r>
        <w:t xml:space="preserve"> W Polsce w 2018 r. mężczyzna w wieku 60 lat miał przed sobą jeszcze średnio nieco ponad 19 lat życia, zaś kobieta w tym wieku ponad 24 lata, czyli o 4-5 lat więcej niż w 1991 r.</w:t>
      </w:r>
      <w:r w:rsidRPr="00D7752C">
        <w:rPr>
          <w:color w:val="0070C0"/>
          <w:vertAlign w:val="superscript"/>
        </w:rPr>
        <w:footnoteReference w:id="10"/>
      </w:r>
      <w:r>
        <w:t>.</w:t>
      </w:r>
    </w:p>
    <w:p w14:paraId="530321AD" w14:textId="77777777" w:rsidR="001946C8" w:rsidRPr="00D7752C" w:rsidRDefault="001946C8" w:rsidP="001946C8">
      <w:pPr>
        <w:spacing w:after="120"/>
        <w:jc w:val="center"/>
        <w:rPr>
          <w:rFonts w:cstheme="minorHAnsi"/>
          <w:color w:val="0070C0"/>
        </w:rPr>
      </w:pPr>
      <w:r w:rsidRPr="00D7752C">
        <w:rPr>
          <w:rFonts w:cstheme="minorHAnsi"/>
          <w:i/>
          <w:color w:val="0070C0"/>
        </w:rPr>
        <w:t>Tabela 3. Dalsze trwanie życia i dalsze trwanie życia</w:t>
      </w:r>
    </w:p>
    <w:tbl>
      <w:tblPr>
        <w:tblW w:w="0" w:type="auto"/>
        <w:jc w:val="center"/>
        <w:tblLayout w:type="fixed"/>
        <w:tblLook w:val="0000" w:firstRow="0" w:lastRow="0" w:firstColumn="0" w:lastColumn="0" w:noHBand="0" w:noVBand="0"/>
      </w:tblPr>
      <w:tblGrid>
        <w:gridCol w:w="4249"/>
        <w:gridCol w:w="1558"/>
        <w:gridCol w:w="1416"/>
        <w:gridCol w:w="1438"/>
      </w:tblGrid>
      <w:tr w:rsidR="001946C8" w:rsidRPr="00D7752C" w14:paraId="15AD2AAC" w14:textId="77777777" w:rsidTr="00A4488F">
        <w:trPr>
          <w:jc w:val="center"/>
        </w:trPr>
        <w:tc>
          <w:tcPr>
            <w:tcW w:w="4249" w:type="dxa"/>
            <w:tcBorders>
              <w:top w:val="single" w:sz="4" w:space="0" w:color="FFFFFF"/>
              <w:left w:val="single" w:sz="4" w:space="0" w:color="FFFFFF"/>
              <w:bottom w:val="single" w:sz="4" w:space="0" w:color="FFFFFF"/>
              <w:right w:val="single" w:sz="4" w:space="0" w:color="FFFFFF"/>
            </w:tcBorders>
            <w:shd w:val="clear" w:color="auto" w:fill="9CC2E5"/>
            <w:vAlign w:val="center"/>
          </w:tcPr>
          <w:p w14:paraId="3A2FC663" w14:textId="77777777" w:rsidR="001946C8" w:rsidRPr="00D7752C" w:rsidRDefault="001946C8" w:rsidP="00A4488F">
            <w:pPr>
              <w:spacing w:before="40" w:after="40"/>
              <w:jc w:val="both"/>
              <w:rPr>
                <w:rFonts w:cstheme="minorHAnsi"/>
                <w:b/>
              </w:rPr>
            </w:pPr>
            <w:r w:rsidRPr="00D7752C">
              <w:rPr>
                <w:rFonts w:cstheme="minorHAnsi"/>
                <w:b/>
                <w:lang w:val="en-US"/>
              </w:rPr>
              <w:t>Dalsze trwanie życia</w:t>
            </w:r>
          </w:p>
        </w:tc>
        <w:tc>
          <w:tcPr>
            <w:tcW w:w="1558" w:type="dxa"/>
            <w:tcBorders>
              <w:top w:val="single" w:sz="4" w:space="0" w:color="FFFFFF"/>
              <w:left w:val="single" w:sz="4" w:space="0" w:color="FFFFFF"/>
              <w:bottom w:val="single" w:sz="4" w:space="0" w:color="FFFFFF"/>
              <w:right w:val="single" w:sz="4" w:space="0" w:color="FFFFFF"/>
            </w:tcBorders>
            <w:shd w:val="clear" w:color="auto" w:fill="9CC2E5"/>
            <w:vAlign w:val="center"/>
          </w:tcPr>
          <w:p w14:paraId="55DA83F4" w14:textId="77777777" w:rsidR="001946C8" w:rsidRPr="00D7752C" w:rsidRDefault="001946C8" w:rsidP="00A4488F">
            <w:pPr>
              <w:spacing w:before="40" w:after="40"/>
              <w:jc w:val="center"/>
              <w:rPr>
                <w:rFonts w:cstheme="minorHAnsi"/>
              </w:rPr>
            </w:pPr>
            <w:r w:rsidRPr="00D7752C">
              <w:rPr>
                <w:rFonts w:cstheme="minorHAnsi"/>
                <w:b/>
                <w:lang w:val="en-US"/>
              </w:rPr>
              <w:t>Mężczyźni</w:t>
            </w:r>
          </w:p>
        </w:tc>
        <w:tc>
          <w:tcPr>
            <w:tcW w:w="1416" w:type="dxa"/>
            <w:tcBorders>
              <w:top w:val="single" w:sz="4" w:space="0" w:color="FFFFFF"/>
              <w:left w:val="single" w:sz="4" w:space="0" w:color="FFFFFF"/>
              <w:bottom w:val="single" w:sz="4" w:space="0" w:color="FFFFFF"/>
              <w:right w:val="single" w:sz="4" w:space="0" w:color="FFFFFF"/>
            </w:tcBorders>
            <w:shd w:val="clear" w:color="auto" w:fill="9CC2E5"/>
            <w:vAlign w:val="center"/>
          </w:tcPr>
          <w:p w14:paraId="3B050620" w14:textId="77777777" w:rsidR="001946C8" w:rsidRPr="00D7752C" w:rsidRDefault="001946C8" w:rsidP="00A4488F">
            <w:pPr>
              <w:spacing w:before="40" w:after="40"/>
              <w:jc w:val="center"/>
              <w:rPr>
                <w:rFonts w:cstheme="minorHAnsi"/>
              </w:rPr>
            </w:pPr>
            <w:r w:rsidRPr="00D7752C">
              <w:rPr>
                <w:rFonts w:cstheme="minorHAnsi"/>
                <w:b/>
                <w:lang w:val="en-US"/>
              </w:rPr>
              <w:t>Kobiety</w:t>
            </w:r>
          </w:p>
        </w:tc>
        <w:tc>
          <w:tcPr>
            <w:tcW w:w="1438" w:type="dxa"/>
            <w:tcBorders>
              <w:top w:val="single" w:sz="4" w:space="0" w:color="FFFFFF"/>
              <w:left w:val="single" w:sz="4" w:space="0" w:color="FFFFFF"/>
              <w:bottom w:val="single" w:sz="4" w:space="0" w:color="FFFFFF"/>
              <w:right w:val="single" w:sz="4" w:space="0" w:color="FFFFFF"/>
            </w:tcBorders>
            <w:shd w:val="clear" w:color="auto" w:fill="9CC2E5"/>
          </w:tcPr>
          <w:p w14:paraId="4AC8D556" w14:textId="77777777" w:rsidR="001946C8" w:rsidRPr="00D7752C" w:rsidRDefault="001946C8" w:rsidP="00A4488F">
            <w:pPr>
              <w:spacing w:before="40" w:after="40"/>
              <w:jc w:val="center"/>
              <w:rPr>
                <w:rFonts w:cstheme="minorHAnsi"/>
              </w:rPr>
            </w:pPr>
            <w:r w:rsidRPr="00D7752C">
              <w:rPr>
                <w:rFonts w:cstheme="minorHAnsi"/>
                <w:b/>
                <w:lang w:val="en-US"/>
              </w:rPr>
              <w:t>Średnia</w:t>
            </w:r>
          </w:p>
        </w:tc>
      </w:tr>
      <w:tr w:rsidR="001946C8" w:rsidRPr="00D7752C" w14:paraId="5B1A22CD" w14:textId="77777777" w:rsidTr="00A4488F">
        <w:trPr>
          <w:jc w:val="center"/>
        </w:trPr>
        <w:tc>
          <w:tcPr>
            <w:tcW w:w="4249" w:type="dxa"/>
            <w:tcBorders>
              <w:top w:val="single" w:sz="4" w:space="0" w:color="FFFFFF"/>
              <w:left w:val="single" w:sz="4" w:space="0" w:color="FFFFFF"/>
              <w:bottom w:val="single" w:sz="4" w:space="0" w:color="FFFFFF"/>
              <w:right w:val="single" w:sz="4" w:space="0" w:color="FFFFFF"/>
            </w:tcBorders>
            <w:shd w:val="clear" w:color="auto" w:fill="DEEAF6"/>
            <w:vAlign w:val="center"/>
          </w:tcPr>
          <w:p w14:paraId="2F4AC793" w14:textId="77777777" w:rsidR="001946C8" w:rsidRPr="00D7752C" w:rsidRDefault="001946C8" w:rsidP="00A4488F">
            <w:pPr>
              <w:spacing w:before="40" w:after="40"/>
              <w:jc w:val="both"/>
              <w:rPr>
                <w:rFonts w:cstheme="minorHAnsi"/>
              </w:rPr>
            </w:pPr>
            <w:r w:rsidRPr="00D7752C">
              <w:rPr>
                <w:rFonts w:cstheme="minorHAnsi"/>
              </w:rPr>
              <w:t>osób w wieku 0 lat urodzonych w 2018 r.</w:t>
            </w:r>
          </w:p>
        </w:tc>
        <w:tc>
          <w:tcPr>
            <w:tcW w:w="1558" w:type="dxa"/>
            <w:tcBorders>
              <w:top w:val="single" w:sz="4" w:space="0" w:color="FFFFFF"/>
              <w:left w:val="single" w:sz="4" w:space="0" w:color="FFFFFF"/>
              <w:bottom w:val="single" w:sz="4" w:space="0" w:color="FFFFFF"/>
              <w:right w:val="single" w:sz="4" w:space="0" w:color="FFFFFF"/>
            </w:tcBorders>
            <w:shd w:val="clear" w:color="auto" w:fill="DEEAF6"/>
            <w:vAlign w:val="center"/>
          </w:tcPr>
          <w:p w14:paraId="62D729FE" w14:textId="77777777" w:rsidR="001946C8" w:rsidRPr="00D7752C" w:rsidRDefault="001946C8" w:rsidP="00A4488F">
            <w:pPr>
              <w:spacing w:before="40" w:after="40"/>
              <w:jc w:val="center"/>
              <w:rPr>
                <w:rFonts w:cstheme="minorHAnsi"/>
              </w:rPr>
            </w:pPr>
            <w:r w:rsidRPr="00D7752C">
              <w:rPr>
                <w:rFonts w:cstheme="minorHAnsi"/>
                <w:lang w:val="en-US"/>
              </w:rPr>
              <w:t>73,85</w:t>
            </w:r>
          </w:p>
        </w:tc>
        <w:tc>
          <w:tcPr>
            <w:tcW w:w="1416" w:type="dxa"/>
            <w:tcBorders>
              <w:top w:val="single" w:sz="4" w:space="0" w:color="FFFFFF"/>
              <w:left w:val="single" w:sz="4" w:space="0" w:color="FFFFFF"/>
              <w:bottom w:val="single" w:sz="4" w:space="0" w:color="FFFFFF"/>
              <w:right w:val="single" w:sz="4" w:space="0" w:color="FFFFFF"/>
            </w:tcBorders>
            <w:shd w:val="clear" w:color="auto" w:fill="DEEAF6"/>
            <w:vAlign w:val="center"/>
          </w:tcPr>
          <w:p w14:paraId="7372DC12" w14:textId="77777777" w:rsidR="001946C8" w:rsidRPr="00D7752C" w:rsidRDefault="001946C8" w:rsidP="00A4488F">
            <w:pPr>
              <w:spacing w:before="40" w:after="40"/>
              <w:jc w:val="center"/>
              <w:rPr>
                <w:rFonts w:cstheme="minorHAnsi"/>
              </w:rPr>
            </w:pPr>
            <w:r w:rsidRPr="00D7752C">
              <w:rPr>
                <w:rFonts w:cstheme="minorHAnsi"/>
                <w:lang w:val="en-US"/>
              </w:rPr>
              <w:t>81,68</w:t>
            </w:r>
          </w:p>
        </w:tc>
        <w:tc>
          <w:tcPr>
            <w:tcW w:w="1438" w:type="dxa"/>
            <w:tcBorders>
              <w:top w:val="single" w:sz="4" w:space="0" w:color="FFFFFF"/>
              <w:left w:val="single" w:sz="4" w:space="0" w:color="FFFFFF"/>
              <w:bottom w:val="single" w:sz="4" w:space="0" w:color="FFFFFF"/>
              <w:right w:val="single" w:sz="4" w:space="0" w:color="FFFFFF"/>
            </w:tcBorders>
            <w:shd w:val="clear" w:color="auto" w:fill="DEEAF6"/>
          </w:tcPr>
          <w:p w14:paraId="1871A6D6" w14:textId="77777777" w:rsidR="001946C8" w:rsidRPr="00D7752C" w:rsidRDefault="001946C8" w:rsidP="00A4488F">
            <w:pPr>
              <w:spacing w:before="40" w:after="40"/>
              <w:jc w:val="center"/>
              <w:rPr>
                <w:rFonts w:cstheme="minorHAnsi"/>
              </w:rPr>
            </w:pPr>
            <w:r w:rsidRPr="00D7752C">
              <w:rPr>
                <w:rFonts w:cstheme="minorHAnsi"/>
                <w:lang w:val="en-US"/>
              </w:rPr>
              <w:t>77,77</w:t>
            </w:r>
          </w:p>
        </w:tc>
      </w:tr>
      <w:tr w:rsidR="001946C8" w:rsidRPr="00D7752C" w14:paraId="75C33C63" w14:textId="77777777" w:rsidTr="00A4488F">
        <w:trPr>
          <w:jc w:val="center"/>
        </w:trPr>
        <w:tc>
          <w:tcPr>
            <w:tcW w:w="4249"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14B6021E" w14:textId="77777777" w:rsidR="001946C8" w:rsidRPr="00D7752C" w:rsidRDefault="001946C8" w:rsidP="00A4488F">
            <w:pPr>
              <w:spacing w:before="40" w:after="40"/>
              <w:jc w:val="both"/>
              <w:rPr>
                <w:rFonts w:cstheme="minorHAnsi"/>
              </w:rPr>
            </w:pPr>
            <w:r w:rsidRPr="00D7752C">
              <w:rPr>
                <w:rFonts w:cstheme="minorHAnsi"/>
                <w:lang w:val="en-US"/>
              </w:rPr>
              <w:t>osób w w</w:t>
            </w:r>
            <w:r>
              <w:rPr>
                <w:rFonts w:cstheme="minorHAnsi"/>
                <w:lang w:val="en-US"/>
              </w:rPr>
              <w:t>i</w:t>
            </w:r>
            <w:r w:rsidRPr="00D7752C">
              <w:rPr>
                <w:rFonts w:cstheme="minorHAnsi"/>
                <w:lang w:val="en-US"/>
              </w:rPr>
              <w:t>eku 60 lat</w:t>
            </w:r>
          </w:p>
        </w:tc>
        <w:tc>
          <w:tcPr>
            <w:tcW w:w="1558"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257C051A" w14:textId="77777777" w:rsidR="001946C8" w:rsidRPr="00D7752C" w:rsidRDefault="001946C8" w:rsidP="00A4488F">
            <w:pPr>
              <w:spacing w:before="40" w:after="40"/>
              <w:jc w:val="center"/>
              <w:rPr>
                <w:rFonts w:cstheme="minorHAnsi"/>
              </w:rPr>
            </w:pPr>
            <w:r w:rsidRPr="00D7752C">
              <w:rPr>
                <w:rFonts w:cstheme="minorHAnsi"/>
                <w:lang w:val="en-US"/>
              </w:rPr>
              <w:t>19,13</w:t>
            </w:r>
          </w:p>
        </w:tc>
        <w:tc>
          <w:tcPr>
            <w:tcW w:w="1416"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21DC85DF" w14:textId="77777777" w:rsidR="001946C8" w:rsidRPr="00D7752C" w:rsidRDefault="001946C8" w:rsidP="00A4488F">
            <w:pPr>
              <w:spacing w:before="40" w:after="40"/>
              <w:jc w:val="center"/>
              <w:rPr>
                <w:rFonts w:cstheme="minorHAnsi"/>
              </w:rPr>
            </w:pPr>
            <w:r w:rsidRPr="00D7752C">
              <w:rPr>
                <w:rFonts w:cstheme="minorHAnsi"/>
                <w:lang w:val="en-US"/>
              </w:rPr>
              <w:t>24,20</w:t>
            </w:r>
          </w:p>
        </w:tc>
        <w:tc>
          <w:tcPr>
            <w:tcW w:w="1438" w:type="dxa"/>
            <w:tcBorders>
              <w:top w:val="single" w:sz="4" w:space="0" w:color="FFFFFF"/>
              <w:left w:val="single" w:sz="4" w:space="0" w:color="FFFFFF"/>
              <w:bottom w:val="single" w:sz="4" w:space="0" w:color="FFFFFF"/>
              <w:right w:val="single" w:sz="4" w:space="0" w:color="FFFFFF"/>
            </w:tcBorders>
            <w:shd w:val="clear" w:color="auto" w:fill="BDD6EE"/>
          </w:tcPr>
          <w:p w14:paraId="2408842B" w14:textId="77777777" w:rsidR="001946C8" w:rsidRPr="00D7752C" w:rsidRDefault="001946C8" w:rsidP="00A4488F">
            <w:pPr>
              <w:spacing w:before="40" w:after="40"/>
              <w:jc w:val="center"/>
              <w:rPr>
                <w:rFonts w:cstheme="minorHAnsi"/>
              </w:rPr>
            </w:pPr>
            <w:r w:rsidRPr="00D7752C">
              <w:rPr>
                <w:rFonts w:cstheme="minorHAnsi"/>
                <w:lang w:val="en-US"/>
              </w:rPr>
              <w:t>21,67</w:t>
            </w:r>
          </w:p>
        </w:tc>
      </w:tr>
      <w:tr w:rsidR="001946C8" w:rsidRPr="00D7752C" w14:paraId="48D7F65C" w14:textId="77777777" w:rsidTr="00A4488F">
        <w:trPr>
          <w:jc w:val="center"/>
        </w:trPr>
        <w:tc>
          <w:tcPr>
            <w:tcW w:w="4249" w:type="dxa"/>
            <w:tcBorders>
              <w:top w:val="single" w:sz="4" w:space="0" w:color="FFFFFF"/>
              <w:left w:val="single" w:sz="4" w:space="0" w:color="FFFFFF"/>
              <w:bottom w:val="single" w:sz="4" w:space="0" w:color="FFFFFF"/>
              <w:right w:val="single" w:sz="4" w:space="0" w:color="FFFFFF"/>
            </w:tcBorders>
            <w:shd w:val="clear" w:color="auto" w:fill="DEEAF6"/>
            <w:vAlign w:val="center"/>
          </w:tcPr>
          <w:p w14:paraId="5DF088D7" w14:textId="77777777" w:rsidR="001946C8" w:rsidRPr="00D7752C" w:rsidRDefault="001946C8" w:rsidP="00A4488F">
            <w:pPr>
              <w:spacing w:before="40" w:after="40"/>
              <w:jc w:val="both"/>
              <w:rPr>
                <w:rFonts w:cstheme="minorHAnsi"/>
              </w:rPr>
            </w:pPr>
            <w:r w:rsidRPr="00D7752C">
              <w:rPr>
                <w:rFonts w:cstheme="minorHAnsi"/>
                <w:lang w:val="en-US"/>
              </w:rPr>
              <w:t>osób w wieku 65 lat</w:t>
            </w:r>
          </w:p>
        </w:tc>
        <w:tc>
          <w:tcPr>
            <w:tcW w:w="1558" w:type="dxa"/>
            <w:tcBorders>
              <w:top w:val="single" w:sz="4" w:space="0" w:color="FFFFFF"/>
              <w:left w:val="single" w:sz="4" w:space="0" w:color="FFFFFF"/>
              <w:bottom w:val="single" w:sz="4" w:space="0" w:color="FFFFFF"/>
              <w:right w:val="single" w:sz="4" w:space="0" w:color="FFFFFF"/>
            </w:tcBorders>
            <w:shd w:val="clear" w:color="auto" w:fill="DEEAF6"/>
            <w:vAlign w:val="center"/>
          </w:tcPr>
          <w:p w14:paraId="6FBE8914" w14:textId="77777777" w:rsidR="001946C8" w:rsidRPr="00D7752C" w:rsidRDefault="001946C8" w:rsidP="00A4488F">
            <w:pPr>
              <w:spacing w:before="40" w:after="40"/>
              <w:jc w:val="center"/>
              <w:rPr>
                <w:rFonts w:cstheme="minorHAnsi"/>
              </w:rPr>
            </w:pPr>
            <w:r w:rsidRPr="00D7752C">
              <w:rPr>
                <w:rFonts w:cstheme="minorHAnsi"/>
                <w:lang w:val="en-US"/>
              </w:rPr>
              <w:t>15,84</w:t>
            </w:r>
          </w:p>
        </w:tc>
        <w:tc>
          <w:tcPr>
            <w:tcW w:w="1416" w:type="dxa"/>
            <w:tcBorders>
              <w:top w:val="single" w:sz="4" w:space="0" w:color="FFFFFF"/>
              <w:left w:val="single" w:sz="4" w:space="0" w:color="FFFFFF"/>
              <w:bottom w:val="single" w:sz="4" w:space="0" w:color="FFFFFF"/>
              <w:right w:val="single" w:sz="4" w:space="0" w:color="FFFFFF"/>
            </w:tcBorders>
            <w:shd w:val="clear" w:color="auto" w:fill="DEEAF6"/>
            <w:vAlign w:val="center"/>
          </w:tcPr>
          <w:p w14:paraId="7B9DB075" w14:textId="77777777" w:rsidR="001946C8" w:rsidRPr="00D7752C" w:rsidRDefault="001946C8" w:rsidP="00A4488F">
            <w:pPr>
              <w:spacing w:before="40" w:after="40"/>
              <w:jc w:val="center"/>
              <w:rPr>
                <w:rFonts w:cstheme="minorHAnsi"/>
              </w:rPr>
            </w:pPr>
            <w:r w:rsidRPr="00D7752C">
              <w:rPr>
                <w:rFonts w:cstheme="minorHAnsi"/>
                <w:lang w:val="en-US"/>
              </w:rPr>
              <w:t>20,11</w:t>
            </w:r>
          </w:p>
        </w:tc>
        <w:tc>
          <w:tcPr>
            <w:tcW w:w="1438" w:type="dxa"/>
            <w:tcBorders>
              <w:top w:val="single" w:sz="4" w:space="0" w:color="FFFFFF"/>
              <w:left w:val="single" w:sz="4" w:space="0" w:color="FFFFFF"/>
              <w:bottom w:val="single" w:sz="4" w:space="0" w:color="FFFFFF"/>
              <w:right w:val="single" w:sz="4" w:space="0" w:color="FFFFFF"/>
            </w:tcBorders>
            <w:shd w:val="clear" w:color="auto" w:fill="DEEAF6"/>
          </w:tcPr>
          <w:p w14:paraId="6B8783CB" w14:textId="77777777" w:rsidR="001946C8" w:rsidRPr="00D7752C" w:rsidRDefault="001946C8" w:rsidP="00A4488F">
            <w:pPr>
              <w:spacing w:before="40" w:after="40"/>
              <w:jc w:val="center"/>
              <w:rPr>
                <w:rFonts w:cstheme="minorHAnsi"/>
              </w:rPr>
            </w:pPr>
            <w:r w:rsidRPr="00D7752C">
              <w:rPr>
                <w:rFonts w:cstheme="minorHAnsi"/>
                <w:lang w:val="en-US"/>
              </w:rPr>
              <w:t>17,98</w:t>
            </w:r>
          </w:p>
        </w:tc>
      </w:tr>
      <w:tr w:rsidR="001946C8" w:rsidRPr="00D7752C" w14:paraId="2730130F" w14:textId="77777777" w:rsidTr="00A4488F">
        <w:trPr>
          <w:jc w:val="center"/>
        </w:trPr>
        <w:tc>
          <w:tcPr>
            <w:tcW w:w="4249"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20130BC1" w14:textId="77777777" w:rsidR="001946C8" w:rsidRPr="00D7752C" w:rsidRDefault="001946C8" w:rsidP="00A4488F">
            <w:pPr>
              <w:spacing w:before="40" w:after="40"/>
              <w:jc w:val="both"/>
              <w:rPr>
                <w:rFonts w:cstheme="minorHAnsi"/>
              </w:rPr>
            </w:pPr>
            <w:r w:rsidRPr="00D7752C">
              <w:rPr>
                <w:rFonts w:cstheme="minorHAnsi"/>
              </w:rPr>
              <w:t>w zdrowiu osób w wieku 65 lat</w:t>
            </w:r>
          </w:p>
        </w:tc>
        <w:tc>
          <w:tcPr>
            <w:tcW w:w="1558"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15B6A6E9" w14:textId="77777777" w:rsidR="001946C8" w:rsidRPr="00D7752C" w:rsidRDefault="001946C8" w:rsidP="00A4488F">
            <w:pPr>
              <w:spacing w:before="40" w:after="40"/>
              <w:jc w:val="center"/>
              <w:rPr>
                <w:rFonts w:cstheme="minorHAnsi"/>
              </w:rPr>
            </w:pPr>
            <w:r w:rsidRPr="00D7752C">
              <w:rPr>
                <w:rFonts w:cstheme="minorHAnsi"/>
                <w:lang w:val="en-US"/>
              </w:rPr>
              <w:t>8,30</w:t>
            </w:r>
          </w:p>
        </w:tc>
        <w:tc>
          <w:tcPr>
            <w:tcW w:w="1416"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1B2DEA2D" w14:textId="77777777" w:rsidR="001946C8" w:rsidRPr="00D7752C" w:rsidRDefault="001946C8" w:rsidP="00A4488F">
            <w:pPr>
              <w:spacing w:before="40" w:after="40"/>
              <w:jc w:val="center"/>
              <w:rPr>
                <w:rFonts w:cstheme="minorHAnsi"/>
              </w:rPr>
            </w:pPr>
            <w:r w:rsidRPr="00D7752C">
              <w:rPr>
                <w:rFonts w:cstheme="minorHAnsi"/>
                <w:lang w:val="en-US"/>
              </w:rPr>
              <w:t>8,60</w:t>
            </w:r>
          </w:p>
        </w:tc>
        <w:tc>
          <w:tcPr>
            <w:tcW w:w="1438" w:type="dxa"/>
            <w:tcBorders>
              <w:top w:val="single" w:sz="4" w:space="0" w:color="FFFFFF"/>
              <w:left w:val="single" w:sz="4" w:space="0" w:color="FFFFFF"/>
              <w:bottom w:val="single" w:sz="4" w:space="0" w:color="FFFFFF"/>
              <w:right w:val="single" w:sz="4" w:space="0" w:color="FFFFFF"/>
            </w:tcBorders>
            <w:shd w:val="clear" w:color="auto" w:fill="BDD6EE"/>
          </w:tcPr>
          <w:p w14:paraId="4B7D764C" w14:textId="77777777" w:rsidR="001946C8" w:rsidRPr="00D7752C" w:rsidRDefault="001946C8" w:rsidP="00A4488F">
            <w:pPr>
              <w:spacing w:before="40" w:after="40"/>
              <w:jc w:val="center"/>
              <w:rPr>
                <w:rFonts w:cstheme="minorHAnsi"/>
              </w:rPr>
            </w:pPr>
            <w:r w:rsidRPr="00D7752C">
              <w:rPr>
                <w:rFonts w:cstheme="minorHAnsi"/>
                <w:lang w:val="en-US"/>
              </w:rPr>
              <w:t>8,45</w:t>
            </w:r>
          </w:p>
        </w:tc>
      </w:tr>
    </w:tbl>
    <w:p w14:paraId="7A57EAEE" w14:textId="77777777" w:rsidR="001946C8" w:rsidRPr="00D7752C" w:rsidRDefault="001946C8" w:rsidP="001946C8">
      <w:pPr>
        <w:jc w:val="center"/>
        <w:rPr>
          <w:sz w:val="16"/>
          <w:szCs w:val="16"/>
        </w:rPr>
      </w:pPr>
      <w:r w:rsidRPr="00D7752C">
        <w:rPr>
          <w:bCs/>
          <w:sz w:val="16"/>
          <w:szCs w:val="16"/>
        </w:rPr>
        <w:t xml:space="preserve">Źródło: </w:t>
      </w:r>
      <w:r w:rsidRPr="00D7752C">
        <w:rPr>
          <w:i/>
          <w:sz w:val="16"/>
          <w:szCs w:val="16"/>
        </w:rPr>
        <w:t>Informacja o sytuacji osób starszych w Polsce za 2018 r.</w:t>
      </w:r>
      <w:r w:rsidRPr="00D7752C">
        <w:rPr>
          <w:sz w:val="16"/>
          <w:szCs w:val="16"/>
        </w:rPr>
        <w:t xml:space="preserve">, s. 7 </w:t>
      </w:r>
      <w:r w:rsidRPr="00D7752C">
        <w:rPr>
          <w:sz w:val="16"/>
          <w:szCs w:val="16"/>
        </w:rPr>
        <w:br/>
        <w:t>(na podstawie wyników bieżących badań GUS i danych Eurostatu za 2017 r.).</w:t>
      </w:r>
    </w:p>
    <w:p w14:paraId="19DCAD6A" w14:textId="77777777" w:rsidR="001946C8" w:rsidRDefault="001946C8" w:rsidP="001946C8">
      <w:pPr>
        <w:jc w:val="both"/>
      </w:pPr>
      <w:r>
        <w:t>W Polsce, podobnie jak w innych krajach, występuje nadumieralność mężczyzn, jednak skala tego zjawiska jest znacznie wyższa niż w większości krajów europejskich – w 2018 r. wartość ta wyniosła 7,9 lat.</w:t>
      </w:r>
      <w:r w:rsidRPr="00D62687">
        <w:t xml:space="preserve"> </w:t>
      </w:r>
      <w:r>
        <w:t xml:space="preserve">Zjawisko </w:t>
      </w:r>
      <w:r w:rsidRPr="00F751E2">
        <w:rPr>
          <w:b/>
        </w:rPr>
        <w:t>nadumieralności mężczyzn</w:t>
      </w:r>
      <w:r>
        <w:t xml:space="preserve"> obserwowane jest we wszystkich grupach wiekowych, jednak różnica między płciami zwiększa się wraz z wiekiem</w:t>
      </w:r>
      <w:r w:rsidRPr="00E250CC">
        <w:rPr>
          <w:color w:val="0070C0"/>
          <w:vertAlign w:val="superscript"/>
        </w:rPr>
        <w:footnoteReference w:id="11"/>
      </w:r>
      <w:r>
        <w:t>.</w:t>
      </w:r>
      <w:r w:rsidRPr="00F470C8">
        <w:t xml:space="preserve"> </w:t>
      </w:r>
      <w:r>
        <w:t>Wśród mężczyzn seniorzy stanowią niespełna 3% ludności, a wśród kobiet prawie 6%</w:t>
      </w:r>
      <w:r w:rsidRPr="00F751E2">
        <w:rPr>
          <w:rStyle w:val="Odwoanieprzypisudolnego"/>
          <w:color w:val="0070C0"/>
        </w:rPr>
        <w:footnoteReference w:id="12"/>
      </w:r>
      <w:r>
        <w:t>.</w:t>
      </w:r>
    </w:p>
    <w:p w14:paraId="41F58636" w14:textId="77777777" w:rsidR="001946C8" w:rsidRDefault="001946C8" w:rsidP="001946C8">
      <w:pPr>
        <w:jc w:val="both"/>
      </w:pPr>
      <w:r w:rsidRPr="00F751E2">
        <w:t>Nadumieralności mężczyzn</w:t>
      </w:r>
      <w:r>
        <w:t xml:space="preserve"> i zróżnicowanie parametrów trwania życia skutkują rosnącym wraz z wiekiem udziałem kobiet w populacji. </w:t>
      </w:r>
      <w:r w:rsidRPr="00D47A26">
        <w:rPr>
          <w:b/>
          <w:bCs/>
        </w:rPr>
        <w:t>Przewaga liczebna kobiet</w:t>
      </w:r>
      <w:r>
        <w:t xml:space="preserve"> wzrasta wraz z przechodzeniem do kolejnych grup podeszłego wieku, np. w grupie 60-64 lata kobiety stanowią ponad 53% zbiorowości i współczynnik feminizacji wynosi 113 (na 100 mężczyzn przypada 113 kobiet),</w:t>
      </w:r>
      <w:r w:rsidRPr="00A37FAF">
        <w:t xml:space="preserve"> </w:t>
      </w:r>
      <w:r>
        <w:t>w</w:t>
      </w:r>
      <w:r w:rsidRPr="00A37FAF">
        <w:t xml:space="preserve"> wieku 65 lat i starszym </w:t>
      </w:r>
      <w:r>
        <w:t xml:space="preserve">współczynnik ten wzrasta do </w:t>
      </w:r>
      <w:r w:rsidRPr="00A37FAF">
        <w:t>134</w:t>
      </w:r>
      <w:r>
        <w:t xml:space="preserve">, a wśród osób co najmniej 85-letnich – do 258 (w miastach 249, a na </w:t>
      </w:r>
      <w:r>
        <w:lastRenderedPageBreak/>
        <w:t>wsi 274). Warto podkreślić, że ogółem od początku lat 90. XX wieku parametr ten obniżył się o 16 punktów procentowych</w:t>
      </w:r>
      <w:r w:rsidRPr="005A2D4F">
        <w:rPr>
          <w:color w:val="0070C0"/>
          <w:vertAlign w:val="superscript"/>
        </w:rPr>
        <w:footnoteReference w:id="13"/>
      </w:r>
      <w:r>
        <w:t>.</w:t>
      </w:r>
    </w:p>
    <w:p w14:paraId="032AA322" w14:textId="77777777" w:rsidR="001946C8" w:rsidRDefault="001946C8" w:rsidP="001946C8">
      <w:pPr>
        <w:jc w:val="both"/>
      </w:pPr>
      <w:r>
        <w:t>Przytoczone dane wskazują mężczyźni żyją znacząco krócej niż kobiety, dlatego też grupa osób w sędziwym wieku jest silnie zróżnicowana ze względu na płeć. Zbiorowość jest zdominowana przez kobiety, których udział stanowi ponad 70% osób w najstarszej grupie wiekowej (podobnie w miastach, jak i na wsi)</w:t>
      </w:r>
      <w:r w:rsidRPr="00F751E2">
        <w:rPr>
          <w:rStyle w:val="Odwoanieprzypisudolnego"/>
          <w:color w:val="0070C0"/>
        </w:rPr>
        <w:footnoteReference w:id="14"/>
      </w:r>
      <w:r>
        <w:t>. Różnice proporcji pomiędzy płciami i poszczególnymi grupami wiekowymi przedstawia wykres 1</w:t>
      </w:r>
      <w:r w:rsidRPr="00EC4CC9">
        <w:t xml:space="preserve"> </w:t>
      </w:r>
      <w:r>
        <w:t>prezentujący przekrój demograficzny ludności Polski.</w:t>
      </w:r>
    </w:p>
    <w:p w14:paraId="15C0F6D7" w14:textId="77777777" w:rsidR="001946C8" w:rsidRPr="00E250CC" w:rsidRDefault="001946C8" w:rsidP="001946C8">
      <w:pPr>
        <w:jc w:val="center"/>
        <w:rPr>
          <w:rFonts w:cstheme="minorHAnsi"/>
          <w:color w:val="0070C0"/>
        </w:rPr>
      </w:pPr>
      <w:r w:rsidRPr="00E250CC">
        <w:rPr>
          <w:rFonts w:eastAsia="F" w:cstheme="minorHAnsi"/>
          <w:i/>
          <w:color w:val="0070C0"/>
          <w:lang w:eastAsia="ja-JP"/>
        </w:rPr>
        <w:t>Wykres 1. Piramida wieku ludności (stan w dniu 30 czerwca 2019 r.)</w:t>
      </w:r>
    </w:p>
    <w:p w14:paraId="26CA6562" w14:textId="77777777" w:rsidR="001946C8" w:rsidRDefault="001946C8" w:rsidP="001946C8">
      <w:pPr>
        <w:jc w:val="center"/>
        <w:rPr>
          <w:bCs/>
          <w:color w:val="000000"/>
        </w:rPr>
      </w:pPr>
      <w:r>
        <w:rPr>
          <w:noProof/>
          <w:lang w:eastAsia="pl-PL"/>
        </w:rPr>
        <w:drawing>
          <wp:inline distT="0" distB="0" distL="0" distR="0" wp14:anchorId="764D447D" wp14:editId="0D497310">
            <wp:extent cx="4192824" cy="4335794"/>
            <wp:effectExtent l="0" t="0" r="0" b="7620"/>
            <wp:docPr id="19" name="Obraz 19" descr="C:\Users\j.skora\AppData\Local\Microsoft\Windows\INetCache\Content.Word\Demografia Polski K+M 31.12.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skora\AppData\Local\Microsoft\Windows\INetCache\Content.Word\Demografia Polski K+M 31.12.201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6920" cy="4340029"/>
                    </a:xfrm>
                    <a:prstGeom prst="rect">
                      <a:avLst/>
                    </a:prstGeom>
                    <a:noFill/>
                    <a:ln>
                      <a:noFill/>
                    </a:ln>
                  </pic:spPr>
                </pic:pic>
              </a:graphicData>
            </a:graphic>
          </wp:inline>
        </w:drawing>
      </w:r>
    </w:p>
    <w:p w14:paraId="3DA031D3" w14:textId="77777777" w:rsidR="001946C8" w:rsidRPr="00E250CC" w:rsidRDefault="001946C8" w:rsidP="001946C8">
      <w:pPr>
        <w:jc w:val="center"/>
        <w:rPr>
          <w:sz w:val="16"/>
          <w:szCs w:val="16"/>
        </w:rPr>
      </w:pPr>
      <w:r w:rsidRPr="00E250CC">
        <w:rPr>
          <w:bCs/>
          <w:color w:val="000000"/>
          <w:sz w:val="16"/>
          <w:szCs w:val="16"/>
        </w:rPr>
        <w:t xml:space="preserve">Źródło: </w:t>
      </w:r>
      <w:r w:rsidRPr="00E250CC">
        <w:rPr>
          <w:i/>
          <w:sz w:val="16"/>
          <w:szCs w:val="16"/>
        </w:rPr>
        <w:t>Ludność. Stan i struktura oraz ruch naturalny w przekroju terytorialnym w 2019 r.</w:t>
      </w:r>
      <w:r>
        <w:rPr>
          <w:sz w:val="16"/>
          <w:szCs w:val="16"/>
        </w:rPr>
        <w:t xml:space="preserve"> </w:t>
      </w:r>
      <w:r w:rsidRPr="00E250CC">
        <w:rPr>
          <w:sz w:val="16"/>
          <w:szCs w:val="16"/>
        </w:rPr>
        <w:t>Stan w dniu 3</w:t>
      </w:r>
      <w:r>
        <w:rPr>
          <w:sz w:val="16"/>
          <w:szCs w:val="16"/>
        </w:rPr>
        <w:t>1</w:t>
      </w:r>
      <w:r w:rsidRPr="00E250CC">
        <w:rPr>
          <w:sz w:val="16"/>
          <w:szCs w:val="16"/>
        </w:rPr>
        <w:t xml:space="preserve"> </w:t>
      </w:r>
      <w:r>
        <w:rPr>
          <w:sz w:val="16"/>
          <w:szCs w:val="16"/>
        </w:rPr>
        <w:t>XII</w:t>
      </w:r>
      <w:r w:rsidRPr="00E250CC">
        <w:rPr>
          <w:sz w:val="16"/>
          <w:szCs w:val="16"/>
        </w:rPr>
        <w:t>, GUS, 2019, s. 1</w:t>
      </w:r>
      <w:r>
        <w:rPr>
          <w:sz w:val="16"/>
          <w:szCs w:val="16"/>
        </w:rPr>
        <w:t>9</w:t>
      </w:r>
      <w:r w:rsidRPr="00E250CC">
        <w:rPr>
          <w:sz w:val="16"/>
          <w:szCs w:val="16"/>
        </w:rPr>
        <w:t>.</w:t>
      </w:r>
    </w:p>
    <w:p w14:paraId="45A44198" w14:textId="77777777" w:rsidR="001946C8" w:rsidRDefault="001946C8" w:rsidP="001946C8">
      <w:pPr>
        <w:jc w:val="both"/>
      </w:pPr>
      <w:r>
        <w:t>Przeciętne trwanie życia różni się także pomiędzy poszczególnymi grupami społeczno-ekonomicznymi, (m.in. grupami o różnym ze względu na różnice w statusie materialnym), grupami o różnych poziomach wykształcenia, grupami zawodowymi, mieszkańcami różnych regionów/województw</w:t>
      </w:r>
      <w:r w:rsidRPr="005054EC">
        <w:t xml:space="preserve"> </w:t>
      </w:r>
      <w:r>
        <w:t>czy miast i wsi (w miastach ludność w starszym wieku stanowi prawie 27% populacji, natomiast na terenach wiejskich mieszka ich mniej i stanowią ponad 21% mieszkańców</w:t>
      </w:r>
      <w:r>
        <w:rPr>
          <w:rStyle w:val="Odwoanieprzypisudolnego"/>
        </w:rPr>
        <w:footnoteReference w:id="15"/>
      </w:r>
      <w:r>
        <w:t>). Nierówności te również utrzymują się w Polsce w większym stopniu niż w krajach Europy Zachodniej</w:t>
      </w:r>
      <w:r w:rsidRPr="00E250CC">
        <w:rPr>
          <w:color w:val="0070C0"/>
          <w:vertAlign w:val="superscript"/>
        </w:rPr>
        <w:footnoteReference w:id="16"/>
      </w:r>
      <w:r>
        <w:t>.</w:t>
      </w:r>
    </w:p>
    <w:p w14:paraId="49754B2C" w14:textId="77777777" w:rsidR="001946C8" w:rsidRPr="002B0535" w:rsidRDefault="001946C8" w:rsidP="001946C8">
      <w:pPr>
        <w:pStyle w:val="Nagwek4"/>
        <w:numPr>
          <w:ilvl w:val="1"/>
          <w:numId w:val="10"/>
        </w:numPr>
        <w:shd w:val="clear" w:color="auto" w:fill="BDD6EE" w:themeFill="accent1" w:themeFillTint="66"/>
        <w:ind w:left="1276" w:hanging="567"/>
        <w:rPr>
          <w:color w:val="0070C0"/>
        </w:rPr>
      </w:pPr>
      <w:r w:rsidRPr="002B0535">
        <w:rPr>
          <w:color w:val="0070C0"/>
        </w:rPr>
        <w:lastRenderedPageBreak/>
        <w:t>Sytuacja zdrowotna</w:t>
      </w:r>
    </w:p>
    <w:p w14:paraId="33D1A07D" w14:textId="77777777" w:rsidR="001946C8" w:rsidRDefault="001946C8" w:rsidP="001946C8">
      <w:pPr>
        <w:jc w:val="both"/>
      </w:pPr>
      <w:r>
        <w:t>Wśród ludzi starszych (po ukończeniu 60. roku życia) w Polsce cz</w:t>
      </w:r>
      <w:r>
        <w:rPr>
          <w:rFonts w:eastAsia="Calibri" w:cs="font469"/>
        </w:rPr>
        <w:t xml:space="preserve">ęsto występują </w:t>
      </w:r>
      <w:r>
        <w:t xml:space="preserve">długotrwałe problemy zdrowotne. W 2014 r. ponad 70% </w:t>
      </w:r>
      <w:r>
        <w:rPr>
          <w:rFonts w:eastAsia="Calibri" w:cs="font469"/>
        </w:rPr>
        <w:t>50-</w:t>
      </w:r>
      <w:r>
        <w:t xml:space="preserve">latków sygnalizowało wystąpienie takich problemów, wśród </w:t>
      </w:r>
      <w:r>
        <w:rPr>
          <w:rFonts w:eastAsia="Calibri" w:cs="font469"/>
        </w:rPr>
        <w:t>60-</w:t>
      </w:r>
      <w:r>
        <w:t>latków odsetek ten wyniósł już 85%, a w grupie ludzi najstarszych – ponad 90%</w:t>
      </w:r>
      <w:r w:rsidRPr="00D7752C">
        <w:rPr>
          <w:color w:val="0070C0"/>
          <w:vertAlign w:val="superscript"/>
        </w:rPr>
        <w:footnoteReference w:id="17"/>
      </w:r>
      <w:r>
        <w:t>.</w:t>
      </w:r>
    </w:p>
    <w:p w14:paraId="0C06BC85" w14:textId="2F60CD6E" w:rsidR="001946C8" w:rsidRDefault="004C3D8E" w:rsidP="001946C8">
      <w:pPr>
        <w:jc w:val="both"/>
      </w:pPr>
      <w:r>
        <w:t>I</w:t>
      </w:r>
      <w:r w:rsidR="001946C8">
        <w:t xml:space="preserve">stotne znaczenie dla jakości życia ma </w:t>
      </w:r>
      <w:r w:rsidR="001946C8">
        <w:rPr>
          <w:b/>
        </w:rPr>
        <w:t xml:space="preserve">długość </w:t>
      </w:r>
      <w:r w:rsidR="001946C8" w:rsidRPr="00EA0E23">
        <w:rPr>
          <w:b/>
        </w:rPr>
        <w:t>trwani</w:t>
      </w:r>
      <w:r w:rsidR="001946C8">
        <w:rPr>
          <w:b/>
        </w:rPr>
        <w:t>a</w:t>
      </w:r>
      <w:r w:rsidR="001946C8" w:rsidRPr="00EA0E23">
        <w:rPr>
          <w:b/>
        </w:rPr>
        <w:t xml:space="preserve"> życia w zdrowiu</w:t>
      </w:r>
      <w:r w:rsidR="001946C8">
        <w:t xml:space="preserve"> wyliczan</w:t>
      </w:r>
      <w:r>
        <w:t>a</w:t>
      </w:r>
      <w:r w:rsidR="001946C8">
        <w:t xml:space="preserve"> na podstawie średniej liczby lat życia bez niepełnosprawności. Według szacunków Eurostatu, mężczyźni w Polsce przeżywają w zdrowiu (bez ograniczonej sprawności) przeciętnie 61,3 lat (83% długości życia), a kobiety średnio 64,6 lat (79% długości życia)</w:t>
      </w:r>
      <w:r w:rsidR="001946C8" w:rsidRPr="00D7752C">
        <w:rPr>
          <w:color w:val="0070C0"/>
          <w:vertAlign w:val="superscript"/>
        </w:rPr>
        <w:footnoteReference w:id="18"/>
      </w:r>
      <w:r w:rsidR="001946C8">
        <w:t>. Wyniki badań Eurostatu dotyczące 2017 r. wskazują, że w Polsce 65-letni mężczyzna ma przed sobą jeszcze 15,8 lata życia, w tym 8,3 lat życia w zdrowiu, natomiast kobieta – 8,6 lat w zdrowiu z pozostałych jej 20,1 lat życia. Zatem kobiety w wieku 65 lat mogą oczekiwać, że mniej niż połowę (ok. 43%) dalszego życia przeżyją w zdrowiu, natomiast mężczyźni – ponad poło</w:t>
      </w:r>
      <w:bookmarkStart w:id="6" w:name="move32926475"/>
      <w:bookmarkEnd w:id="6"/>
      <w:r w:rsidR="001946C8">
        <w:t>wę (ok. 51%)</w:t>
      </w:r>
      <w:r w:rsidR="001946C8" w:rsidRPr="00D7752C">
        <w:rPr>
          <w:color w:val="0070C0"/>
          <w:vertAlign w:val="superscript"/>
        </w:rPr>
        <w:footnoteReference w:id="19"/>
      </w:r>
      <w:r w:rsidR="001946C8">
        <w:t>.</w:t>
      </w:r>
    </w:p>
    <w:p w14:paraId="797AFD60" w14:textId="7D05DD15" w:rsidR="001946C8" w:rsidRDefault="001946C8" w:rsidP="001946C8">
      <w:pPr>
        <w:jc w:val="both"/>
      </w:pPr>
      <w:r>
        <w:t xml:space="preserve">Polska jest krajem o bardzo nierównomiernym rozkładzie umieralności i zachorowalności w różnych grupach społeczno-ekonomicznych. Wysoki poziom </w:t>
      </w:r>
      <w:r w:rsidRPr="00EA0E23">
        <w:rPr>
          <w:b/>
        </w:rPr>
        <w:t>społecznych nierówności w zdrowiu</w:t>
      </w:r>
      <w:r>
        <w:t xml:space="preserve"> populacji osób starszych (oprócz różnic w zamożności, wykształceniu, czy miejscu zamieszkania), może wynikać także z różnic w dostępie do opieki zdrowotnej. Potrzeba opieki wynikająca z ograniczeń funkcjonalnych u osób starszych rozkłada się nierównomiernie w polskiej populacji – ograniczenia funkcjonalne występują dwukrotnie częściej w przedziale osób o najniższych dochodach niż w</w:t>
      </w:r>
      <w:r w:rsidR="004C3D8E">
        <w:t> </w:t>
      </w:r>
      <w:r>
        <w:t xml:space="preserve">przedziale osób o dochodach najwyższych oraz trzykrotnie częściej w grupie osób z wykształceniem podstawowym niż w grupie osób z wykształceniem wyższym. Wyższe zapotrzebowanie na opiekę wśród osób o niższych dochodach i </w:t>
      </w:r>
      <w:r w:rsidR="004C3D8E">
        <w:t>niższym</w:t>
      </w:r>
      <w:r>
        <w:t xml:space="preserve"> wykształceniu niekorzystnie koreluje z możliwością uzyskania przez te osoby pomocy w sektorze prywatnym lub na zasadzie współodpłatności</w:t>
      </w:r>
      <w:r w:rsidRPr="00F751E2">
        <w:rPr>
          <w:color w:val="0070C0"/>
          <w:vertAlign w:val="superscript"/>
        </w:rPr>
        <w:footnoteReference w:id="20"/>
      </w:r>
      <w:r>
        <w:t>.</w:t>
      </w:r>
    </w:p>
    <w:p w14:paraId="7E573B84" w14:textId="77777777" w:rsidR="001946C8" w:rsidRDefault="001946C8" w:rsidP="001946C8">
      <w:pPr>
        <w:jc w:val="both"/>
      </w:pPr>
      <w:r>
        <w:t>Badania dotyczące stanu zdrowia osób w starszym wieku w ostatnich latach wykazują niejednolite tendencje – niektóre wskazują na nieznaczne pogorszenie stanu zdrowia tej grupy osób (wzrost zachorowalności i poziomu zależności na skutek niepełnosprawności i większego rozpowszechnienia chorób przewlekłych i chorób współistniejących), natomiast inne wykazują na poprawę stanu zdrowia tej grupy społecznej (kompresja zachorowalności)</w:t>
      </w:r>
      <w:r w:rsidRPr="0007513B">
        <w:rPr>
          <w:color w:val="0070C0"/>
          <w:vertAlign w:val="superscript"/>
        </w:rPr>
        <w:footnoteReference w:id="21"/>
      </w:r>
      <w:r>
        <w:t>.</w:t>
      </w:r>
    </w:p>
    <w:p w14:paraId="739329AA" w14:textId="0F37FEEB" w:rsidR="001946C8" w:rsidRDefault="001946C8" w:rsidP="001946C8">
      <w:pPr>
        <w:jc w:val="both"/>
      </w:pPr>
      <w:r>
        <w:t>W porównaniu z innymi krajami europejskimi seniorzy w Polsce częściej deklarują zły stan zdrowia – w</w:t>
      </w:r>
      <w:r w:rsidR="004C3D8E">
        <w:t> </w:t>
      </w:r>
      <w:r>
        <w:t xml:space="preserve">2018 r. 23,8% osób w wieku 65–74 lata oraz 42,7% w wieku powyżej 75 lat oceniało swój stan zdrowia jako zły lub bardzo zły (w porównaniu wartości średnie dla UE-28 w 2018 r. wyniosły w tym zakresie  odpowiednio 13,5% i 23,8%). Podobna prawidłowość dotyczyła ograniczonej zdolności do wykonywania codziennych czynności – 11,8% osób w wieku 65–74 lata oraz 26,9% osób w wieku </w:t>
      </w:r>
      <w:r>
        <w:lastRenderedPageBreak/>
        <w:t>powyżej 75 lat ocenia swoje ograniczenie jako poważne, natomiast pewne ograniczenie dostrzega u siebie 29,3% osób wieku 65–74 lata i 37,5% osób w wieku powyżej 75 lat</w:t>
      </w:r>
      <w:r w:rsidRPr="00481BBF">
        <w:rPr>
          <w:color w:val="0070C0"/>
          <w:vertAlign w:val="superscript"/>
        </w:rPr>
        <w:footnoteReference w:id="22"/>
      </w:r>
      <w:r>
        <w:t>.</w:t>
      </w:r>
    </w:p>
    <w:p w14:paraId="6FB2628E" w14:textId="77777777" w:rsidR="001946C8" w:rsidRDefault="001946C8" w:rsidP="001946C8">
      <w:pPr>
        <w:jc w:val="both"/>
      </w:pPr>
      <w:r>
        <w:t xml:space="preserve">Jednocześnie jakość życia starszych Polaków pozostaje niezadowalająca ze względu na znaczne obciążenie </w:t>
      </w:r>
      <w:r w:rsidRPr="00EA0E23">
        <w:rPr>
          <w:b/>
        </w:rPr>
        <w:t>chorobami przewlekłymi</w:t>
      </w:r>
      <w:r>
        <w:t xml:space="preserve"> i </w:t>
      </w:r>
      <w:r w:rsidRPr="00EA0E23">
        <w:rPr>
          <w:b/>
        </w:rPr>
        <w:t>wielochorobowością</w:t>
      </w:r>
      <w:r>
        <w:t xml:space="preserve"> (osoby w wieku powyżej 70 lat chorują średnio na co najmniej trzy choroby przewlekłe) oraz </w:t>
      </w:r>
      <w:r>
        <w:rPr>
          <w:b/>
        </w:rPr>
        <w:t>niesprawnością funkcjonalną</w:t>
      </w:r>
      <w:r>
        <w:t xml:space="preserve"> (oddziaływującą na stan psychiczny i samoocenę stanu zdrowia), których prawdopodobieństwo wystąpienia wzrasta wraz z wiekiem. Wszystko to z kolei zwiększa prawdopodobieństwo zapotrzebowania na świadczenia medyczne, w tym także usługi opiekuńcze. Cechy te kwalifikują się często do kategorii tzw. </w:t>
      </w:r>
      <w:r w:rsidRPr="00F751E2">
        <w:rPr>
          <w:b/>
        </w:rPr>
        <w:t>wielkich problemów geriatrycznych,</w:t>
      </w:r>
      <w:r>
        <w:t xml:space="preserve"> które obecnie nie są powszechnie identyfikowane, a wymagają specjalistycznej pomocy geriatrycznej. Obserwuje się jednak zjawisko uznawania tych problemów za naturalną konsekwencję starzenia, co sprawia, iż seniorom nie zapewnia się specjalistycznej pomocy geriatrycznej lub świadczeń opiekuńczych</w:t>
      </w:r>
      <w:r w:rsidRPr="00481BBF">
        <w:rPr>
          <w:color w:val="0070C0"/>
          <w:vertAlign w:val="superscript"/>
        </w:rPr>
        <w:footnoteReference w:id="23"/>
      </w:r>
      <w:r>
        <w:t>.</w:t>
      </w:r>
    </w:p>
    <w:p w14:paraId="297BCEE8" w14:textId="77777777" w:rsidR="001946C8" w:rsidRDefault="001946C8" w:rsidP="001946C8">
      <w:pPr>
        <w:spacing w:after="60"/>
        <w:jc w:val="both"/>
      </w:pPr>
      <w:r>
        <w:t xml:space="preserve">Najczęstszą przyczyną zgonów zarówno na świecie, jak i w Polsce, są </w:t>
      </w:r>
      <w:r w:rsidRPr="00F751E2">
        <w:rPr>
          <w:b/>
        </w:rPr>
        <w:t>choroby układu sercowo-naczyniowego</w:t>
      </w:r>
      <w:r>
        <w:t xml:space="preserve">. Skalę skutków zdrowotnych poszczególnych chorób, w tym chorób układu krążenia, przedstawiają wyniki </w:t>
      </w:r>
      <w:r>
        <w:rPr>
          <w:rFonts w:cs="Calibri"/>
        </w:rPr>
        <w:t>Globalnego Badania Obciążenia Chorobami (</w:t>
      </w:r>
      <w:r w:rsidRPr="001D321F">
        <w:rPr>
          <w:rFonts w:cs="Calibri"/>
          <w:i/>
        </w:rPr>
        <w:t>Global Burden of Disease Study</w:t>
      </w:r>
      <w:r>
        <w:rPr>
          <w:rFonts w:cs="Calibri"/>
          <w:i/>
        </w:rPr>
        <w:t xml:space="preserve">, </w:t>
      </w:r>
      <w:r w:rsidRPr="00F751E2">
        <w:rPr>
          <w:rFonts w:cs="Calibri"/>
        </w:rPr>
        <w:t>badanie GBD</w:t>
      </w:r>
      <w:r>
        <w:rPr>
          <w:rFonts w:cs="Calibri"/>
        </w:rPr>
        <w:t>)</w:t>
      </w:r>
      <w:r w:rsidRPr="008F19B8">
        <w:rPr>
          <w:rStyle w:val="Odwoanieprzypisudolnego"/>
          <w:rFonts w:cs="Calibri"/>
          <w:color w:val="0070C0"/>
        </w:rPr>
        <w:footnoteReference w:id="24"/>
      </w:r>
      <w:r>
        <w:rPr>
          <w:rFonts w:cs="Calibri"/>
        </w:rPr>
        <w:t xml:space="preserve">. Na jego podstawie </w:t>
      </w:r>
      <w:r>
        <w:t xml:space="preserve">szacuje się, że w 2017 r. w Polsce </w:t>
      </w:r>
      <w:r w:rsidRPr="004C3D8E">
        <w:rPr>
          <w:b/>
          <w:bCs/>
        </w:rPr>
        <w:t>na 100 tys. mieszkańców</w:t>
      </w:r>
      <w:r>
        <w:t xml:space="preserve"> choroby układu sercowo-naczyniowego były powodem łącznie:</w:t>
      </w:r>
    </w:p>
    <w:p w14:paraId="0DBD74B9" w14:textId="224B2995" w:rsidR="001946C8" w:rsidRDefault="001946C8" w:rsidP="001946C8">
      <w:pPr>
        <w:pStyle w:val="Akapitzlist"/>
        <w:numPr>
          <w:ilvl w:val="0"/>
          <w:numId w:val="70"/>
        </w:numPr>
        <w:ind w:left="567" w:hanging="283"/>
        <w:jc w:val="both"/>
      </w:pPr>
      <w:r>
        <w:t>niemal 440 zgonów, co stanowi niemal 43% zgonów</w:t>
      </w:r>
      <w:r w:rsidR="004C3D8E">
        <w:t xml:space="preserve"> na 100 tys. mieszkańców</w:t>
      </w:r>
      <w:r>
        <w:t>;</w:t>
      </w:r>
    </w:p>
    <w:p w14:paraId="383399E6" w14:textId="77777777" w:rsidR="001946C8" w:rsidRPr="00F751E2" w:rsidRDefault="001946C8" w:rsidP="001946C8">
      <w:pPr>
        <w:pStyle w:val="Akapitzlist"/>
        <w:numPr>
          <w:ilvl w:val="0"/>
          <w:numId w:val="70"/>
        </w:numPr>
        <w:ind w:left="567" w:hanging="283"/>
        <w:jc w:val="both"/>
        <w:rPr>
          <w:rFonts w:cs="Calibri"/>
        </w:rPr>
      </w:pPr>
      <w:r>
        <w:t xml:space="preserve">niemal 983 </w:t>
      </w:r>
      <w:r w:rsidRPr="001D321F">
        <w:rPr>
          <w:rFonts w:cs="Calibri"/>
        </w:rPr>
        <w:t>lat życia przeżytych z niepełnosprawnością</w:t>
      </w:r>
      <w:r>
        <w:rPr>
          <w:rFonts w:cs="Calibri"/>
        </w:rPr>
        <w:t xml:space="preserve"> (wskaźnik YLDs – </w:t>
      </w:r>
      <w:r w:rsidRPr="001D321F">
        <w:rPr>
          <w:rFonts w:cs="Calibri"/>
          <w:i/>
        </w:rPr>
        <w:t>Years Lived with Disability</w:t>
      </w:r>
      <w:r>
        <w:rPr>
          <w:rFonts w:cs="Calibri"/>
        </w:rPr>
        <w:t>), co stanowi niemal 7% wszystkich YLDs;</w:t>
      </w:r>
    </w:p>
    <w:p w14:paraId="2EA3EB57" w14:textId="77777777" w:rsidR="001946C8" w:rsidRPr="00F751E2" w:rsidRDefault="001946C8" w:rsidP="001946C8">
      <w:pPr>
        <w:pStyle w:val="Akapitzlist"/>
        <w:numPr>
          <w:ilvl w:val="0"/>
          <w:numId w:val="70"/>
        </w:numPr>
        <w:ind w:left="567" w:hanging="283"/>
        <w:jc w:val="both"/>
        <w:rPr>
          <w:rFonts w:cs="Calibri"/>
        </w:rPr>
      </w:pPr>
      <w:r w:rsidRPr="00F751E2">
        <w:rPr>
          <w:rFonts w:cs="Calibri"/>
        </w:rPr>
        <w:t xml:space="preserve">utraty ponad </w:t>
      </w:r>
      <w:r>
        <w:rPr>
          <w:rFonts w:cs="Calibri"/>
        </w:rPr>
        <w:t xml:space="preserve">7 232 </w:t>
      </w:r>
      <w:r w:rsidRPr="00F751E2">
        <w:rPr>
          <w:rFonts w:cs="Calibri"/>
        </w:rPr>
        <w:t xml:space="preserve">lat życia w zdrowiu (wskaźnik DALYs – </w:t>
      </w:r>
      <w:r w:rsidRPr="00F751E2">
        <w:rPr>
          <w:rFonts w:cs="Calibri"/>
          <w:i/>
        </w:rPr>
        <w:t>Disability Adjusted Life Years</w:t>
      </w:r>
      <w:r w:rsidRPr="00F751E2">
        <w:rPr>
          <w:rFonts w:cs="Calibri"/>
        </w:rPr>
        <w:t xml:space="preserve">), co stanowi </w:t>
      </w:r>
      <w:r>
        <w:rPr>
          <w:rFonts w:cs="Calibri"/>
        </w:rPr>
        <w:t>ponad</w:t>
      </w:r>
      <w:r w:rsidRPr="00F751E2">
        <w:rPr>
          <w:rFonts w:cs="Calibri"/>
        </w:rPr>
        <w:t xml:space="preserve"> </w:t>
      </w:r>
      <w:r>
        <w:rPr>
          <w:rFonts w:cs="Calibri"/>
        </w:rPr>
        <w:t>22</w:t>
      </w:r>
      <w:r w:rsidRPr="00F751E2">
        <w:rPr>
          <w:rFonts w:cs="Calibri"/>
        </w:rPr>
        <w:t>% wszystkich DALYs.</w:t>
      </w:r>
    </w:p>
    <w:p w14:paraId="618839D3" w14:textId="1834F550" w:rsidR="001946C8" w:rsidRDefault="001946C8" w:rsidP="001946C8">
      <w:pPr>
        <w:jc w:val="both"/>
      </w:pPr>
      <w:r w:rsidRPr="00F751E2">
        <w:t>Choroby układu krążenia</w:t>
      </w:r>
      <w:r>
        <w:t xml:space="preserve"> są </w:t>
      </w:r>
      <w:r w:rsidRPr="00F751E2">
        <w:t>n</w:t>
      </w:r>
      <w:r w:rsidRPr="004B5C0B">
        <w:t>ajczęstszą</w:t>
      </w:r>
      <w:r>
        <w:t xml:space="preserve"> przypadłością zdrowotną wśród osób starszych. W 2017 r. spośród ogólnej liczby zgonów spowodowanych chorobami układu krążenia ponad 90% dotyczyło osób w wieku co najmniej 60 lat. Wśród wszystkich osób starszych zgony kardiologiczne stanowiły blisko połowę zgonów, najwięcej wśród kobiet oraz mieszkańców wsi – ponad połowę. W przypadku seniorów (85 lat i więcej) – tylko 4 na 10 osób umiera w wyniku innych przyczyn niż kardiologiczne</w:t>
      </w:r>
      <w:r w:rsidRPr="00481BBF">
        <w:rPr>
          <w:color w:val="0070C0"/>
          <w:vertAlign w:val="superscript"/>
        </w:rPr>
        <w:footnoteReference w:id="25"/>
      </w:r>
      <w:r>
        <w:t>.</w:t>
      </w:r>
    </w:p>
    <w:p w14:paraId="421F4FF5" w14:textId="77777777" w:rsidR="001946C8" w:rsidRDefault="001946C8" w:rsidP="001946C8">
      <w:pPr>
        <w:spacing w:after="60"/>
        <w:jc w:val="both"/>
      </w:pPr>
      <w:r>
        <w:t xml:space="preserve">Drugą najczęstszą przyczyną zgonów są </w:t>
      </w:r>
      <w:r>
        <w:rPr>
          <w:b/>
        </w:rPr>
        <w:t>nowotwory</w:t>
      </w:r>
      <w:r>
        <w:t xml:space="preserve">, w tym nowotwory złośliwe. Zgodnie z wynikami badania GBD w 2017 r. w Polsce </w:t>
      </w:r>
      <w:r w:rsidRPr="004C3D8E">
        <w:rPr>
          <w:b/>
          <w:bCs/>
        </w:rPr>
        <w:t>na 100 tys. mieszkańców</w:t>
      </w:r>
      <w:r>
        <w:t xml:space="preserve"> nowotwory były powodem łącznie</w:t>
      </w:r>
      <w:r w:rsidRPr="008F19B8">
        <w:rPr>
          <w:rStyle w:val="Odwoanieprzypisudolnego"/>
          <w:rFonts w:cs="Calibri"/>
          <w:color w:val="0070C0"/>
        </w:rPr>
        <w:footnoteReference w:id="26"/>
      </w:r>
      <w:r>
        <w:t>:</w:t>
      </w:r>
    </w:p>
    <w:p w14:paraId="464B50F5" w14:textId="531F7D5D" w:rsidR="001946C8" w:rsidRDefault="001946C8" w:rsidP="001946C8">
      <w:pPr>
        <w:pStyle w:val="Akapitzlist"/>
        <w:numPr>
          <w:ilvl w:val="0"/>
          <w:numId w:val="70"/>
        </w:numPr>
        <w:ind w:left="567" w:hanging="283"/>
        <w:jc w:val="both"/>
      </w:pPr>
      <w:r>
        <w:t>niemal 285 zgonów, co stanowi niemal 28% zgonów</w:t>
      </w:r>
      <w:r w:rsidR="004C3D8E">
        <w:t xml:space="preserve"> na 100 tys. mieszkańców</w:t>
      </w:r>
      <w:r>
        <w:t>;</w:t>
      </w:r>
    </w:p>
    <w:p w14:paraId="526D9082" w14:textId="77777777" w:rsidR="001946C8" w:rsidRPr="00F751E2" w:rsidRDefault="001946C8" w:rsidP="001946C8">
      <w:pPr>
        <w:pStyle w:val="Akapitzlist"/>
        <w:numPr>
          <w:ilvl w:val="0"/>
          <w:numId w:val="70"/>
        </w:numPr>
        <w:ind w:left="567" w:hanging="283"/>
        <w:jc w:val="both"/>
        <w:rPr>
          <w:rFonts w:cs="Calibri"/>
        </w:rPr>
      </w:pPr>
      <w:r>
        <w:t xml:space="preserve">ponad 177 </w:t>
      </w:r>
      <w:r>
        <w:rPr>
          <w:rFonts w:cs="Calibri"/>
        </w:rPr>
        <w:t>YLDs, co stanowi 1,24% wszystkich YLDs;</w:t>
      </w:r>
    </w:p>
    <w:p w14:paraId="504DAC55" w14:textId="77777777" w:rsidR="001946C8" w:rsidRPr="00F751E2" w:rsidRDefault="001946C8" w:rsidP="001946C8">
      <w:pPr>
        <w:pStyle w:val="Akapitzlist"/>
        <w:numPr>
          <w:ilvl w:val="0"/>
          <w:numId w:val="70"/>
        </w:numPr>
        <w:ind w:left="567" w:hanging="283"/>
        <w:jc w:val="both"/>
        <w:rPr>
          <w:rFonts w:cs="Calibri"/>
        </w:rPr>
      </w:pPr>
      <w:r w:rsidRPr="00F751E2">
        <w:rPr>
          <w:rFonts w:cs="Calibri"/>
        </w:rPr>
        <w:t xml:space="preserve">utraty ponad 6 125 </w:t>
      </w:r>
      <w:r>
        <w:rPr>
          <w:rFonts w:cs="Calibri"/>
        </w:rPr>
        <w:t>DALYs, co stanowi niemal 19% wszystkich DALYs</w:t>
      </w:r>
      <w:r w:rsidRPr="00F751E2">
        <w:rPr>
          <w:rFonts w:cs="Calibri"/>
        </w:rPr>
        <w:t>.</w:t>
      </w:r>
    </w:p>
    <w:p w14:paraId="4ED9224D" w14:textId="77777777" w:rsidR="001946C8" w:rsidRDefault="001946C8" w:rsidP="001946C8">
      <w:pPr>
        <w:jc w:val="both"/>
      </w:pPr>
      <w:r>
        <w:t xml:space="preserve">Powyższe dane wskazują, że nowotwory skutkują zgonem najczęściej ze wszystkich przyczyn chorób, stanowiąc jednocześnie mniejszą przyczynę niepełnosprawności wśród chorych. </w:t>
      </w:r>
    </w:p>
    <w:p w14:paraId="7B05D39D" w14:textId="69590842" w:rsidR="001946C8" w:rsidRDefault="004C3D8E" w:rsidP="001946C8">
      <w:pPr>
        <w:jc w:val="both"/>
      </w:pPr>
      <w:r>
        <w:t>U</w:t>
      </w:r>
      <w:r w:rsidR="001946C8">
        <w:t>dział</w:t>
      </w:r>
      <w:r>
        <w:t xml:space="preserve"> nowotworów</w:t>
      </w:r>
      <w:r w:rsidR="001946C8">
        <w:t xml:space="preserve"> wśród przyczyn umieralności rośnie. W 2017 r. zarówno w całej populacji, jak i</w:t>
      </w:r>
      <w:r>
        <w:t> </w:t>
      </w:r>
      <w:r w:rsidR="001946C8">
        <w:t>w</w:t>
      </w:r>
      <w:r>
        <w:t> </w:t>
      </w:r>
      <w:r w:rsidR="001946C8">
        <w:t xml:space="preserve">grupie osób starszych co czwarty zgon był spowodowany chorobami nowotworowymi (w 1990 r. </w:t>
      </w:r>
      <w:r w:rsidR="001946C8">
        <w:lastRenderedPageBreak/>
        <w:t>było to 18%). Dane Krajowego Rejestru Nowotworów (KRN) wskazują, że obecnie spośród wszystkich wykrywanych nowotworów złośliwych ponad 70% dotyczy osób w wieku co najmniej 60 lat, zaś na</w:t>
      </w:r>
      <w:r w:rsidR="00867E3D">
        <w:t> </w:t>
      </w:r>
      <w:r w:rsidR="001946C8">
        <w:t>ponad 164 tys. wszystkich zachorowań na nowotwory ok. 120 tys. przypadków dotyczyło osób w</w:t>
      </w:r>
      <w:r w:rsidR="00867E3D">
        <w:t> </w:t>
      </w:r>
      <w:r w:rsidR="001946C8">
        <w:t>starszym wieku. Spośród nowotworów u osób starszych najczęściej występuje nowotwór tchawicy, oskrzeli i płuc (</w:t>
      </w:r>
      <w:r w:rsidR="001946C8" w:rsidRPr="00130E31">
        <w:t>ICD-10:C33</w:t>
      </w:r>
      <w:r w:rsidR="001946C8">
        <w:t>–</w:t>
      </w:r>
      <w:r w:rsidR="001946C8" w:rsidRPr="00130E31">
        <w:t>C34</w:t>
      </w:r>
      <w:r w:rsidR="001946C8">
        <w:t>) oraz nowotwory jelita grubego</w:t>
      </w:r>
      <w:r w:rsidR="001946C8" w:rsidRPr="0007513B">
        <w:rPr>
          <w:color w:val="0070C0"/>
          <w:vertAlign w:val="superscript"/>
        </w:rPr>
        <w:footnoteReference w:id="27"/>
      </w:r>
      <w:r w:rsidR="001946C8">
        <w:t>.</w:t>
      </w:r>
    </w:p>
    <w:p w14:paraId="2994209A" w14:textId="77777777" w:rsidR="001946C8" w:rsidRDefault="001946C8" w:rsidP="001946C8">
      <w:pPr>
        <w:jc w:val="both"/>
      </w:pPr>
      <w:r>
        <w:t>Struktura i częstość zgonów jest zróżnicowana według płci – zarówno dla całej populacji, jak i dla grupy osób w wieku 60 lat i więcej. Umieralność wśród mężczyzn jest zdecydowanie wyższa niż wśród kobiet i proces ten nasila się wraz z wiekiem. Wśród kobiet częstszą przyczyną zgonu są choroby układu krążenia, natomiast mężczyźni częściej niż kobiety umierają na skutek nowotworów złośliwych. Do innych przyczyny zgonów osób starszych należą również: cukrzyca, zapalenie płuc, choroby układu moczowo-płciowego (w tym zapalenie nerek), choroba wrzodowa żołądka i dwunastnicy oraz przewlekła choroba wątroby</w:t>
      </w:r>
      <w:r w:rsidRPr="0007513B">
        <w:rPr>
          <w:color w:val="0070C0"/>
          <w:vertAlign w:val="superscript"/>
        </w:rPr>
        <w:footnoteReference w:id="28"/>
      </w:r>
      <w:r>
        <w:t>.</w:t>
      </w:r>
    </w:p>
    <w:p w14:paraId="32B38372" w14:textId="3611D0CC" w:rsidR="001946C8" w:rsidRDefault="001946C8" w:rsidP="001946C8">
      <w:pPr>
        <w:spacing w:after="60"/>
        <w:jc w:val="both"/>
        <w:rPr>
          <w:rFonts w:cs="Calibri"/>
        </w:rPr>
      </w:pPr>
      <w:r>
        <w:t>W kontekście problemów zdrowotnych osób starszych istotn</w:t>
      </w:r>
      <w:r w:rsidR="000315A6">
        <w:t>ą</w:t>
      </w:r>
      <w:r>
        <w:t xml:space="preserve"> rolę odgrywają także </w:t>
      </w:r>
      <w:r>
        <w:rPr>
          <w:b/>
        </w:rPr>
        <w:t>zaburzenia otępienne</w:t>
      </w:r>
      <w:r>
        <w:t xml:space="preserve">, w tym </w:t>
      </w:r>
      <w:r>
        <w:rPr>
          <w:b/>
        </w:rPr>
        <w:t>choroba Alzheimera</w:t>
      </w:r>
      <w:r>
        <w:t xml:space="preserve">, której rozpowszechnienie w Polsce szacuje się od 360 tys. do 470 tys., a według szacunków organizacji Alzheimer Europe – nawet na 500 tys. osób. Jest to niemal 20% więcej niż w 2005 r. </w:t>
      </w:r>
      <w:r>
        <w:rPr>
          <w:rFonts w:cs="Calibri"/>
        </w:rPr>
        <w:t>Należy przy tym podkreślić, że o ile w latach 2005–2010 coroczny wzrost liczby chorych utrzymywał się na poziomie nieprzekraczającym 2%, o tyle w latach 2010–2015 dynamika ta wynosiła już 3–4%</w:t>
      </w:r>
      <w:r w:rsidRPr="0007513B">
        <w:rPr>
          <w:rFonts w:cs="Calibri"/>
          <w:color w:val="0070C0"/>
          <w:vertAlign w:val="superscript"/>
        </w:rPr>
        <w:footnoteReference w:id="29"/>
      </w:r>
      <w:r>
        <w:rPr>
          <w:rFonts w:cs="Calibri"/>
        </w:rPr>
        <w:t>. Według szacunków badania GBD</w:t>
      </w:r>
      <w:r w:rsidRPr="008F19B8">
        <w:rPr>
          <w:rStyle w:val="Odwoanieprzypisudolnego"/>
          <w:rFonts w:cs="Calibri"/>
          <w:color w:val="0070C0"/>
        </w:rPr>
        <w:footnoteReference w:id="30"/>
      </w:r>
      <w:r>
        <w:rPr>
          <w:rFonts w:cs="Calibri"/>
        </w:rPr>
        <w:t xml:space="preserve"> choroba</w:t>
      </w:r>
      <w:r w:rsidRPr="00F751E2">
        <w:rPr>
          <w:rFonts w:cs="Calibri"/>
          <w:color w:val="0070C0"/>
        </w:rPr>
        <w:t xml:space="preserve"> </w:t>
      </w:r>
      <w:r>
        <w:rPr>
          <w:rFonts w:cs="Calibri"/>
        </w:rPr>
        <w:t xml:space="preserve">Alzheimera oraz inne choroby otępienne w 2017 r. w Polsce </w:t>
      </w:r>
      <w:r w:rsidRPr="000315A6">
        <w:rPr>
          <w:b/>
          <w:bCs/>
        </w:rPr>
        <w:t>na 100 tys. mieszkańców</w:t>
      </w:r>
      <w:r>
        <w:rPr>
          <w:rFonts w:cs="Calibri"/>
        </w:rPr>
        <w:t xml:space="preserve"> były powodem łącznie:</w:t>
      </w:r>
    </w:p>
    <w:p w14:paraId="2BC67B8A" w14:textId="77777777" w:rsidR="001946C8" w:rsidRPr="006A7B3A" w:rsidRDefault="001946C8" w:rsidP="001946C8">
      <w:pPr>
        <w:pStyle w:val="Akapitzlist"/>
        <w:numPr>
          <w:ilvl w:val="0"/>
          <w:numId w:val="69"/>
        </w:numPr>
        <w:spacing w:after="0"/>
        <w:ind w:left="567" w:hanging="283"/>
        <w:jc w:val="both"/>
        <w:rPr>
          <w:rFonts w:cs="Calibri"/>
        </w:rPr>
      </w:pPr>
      <w:r w:rsidRPr="006A7B3A">
        <w:rPr>
          <w:rFonts w:cs="Calibri"/>
        </w:rPr>
        <w:t xml:space="preserve">niemal 75 </w:t>
      </w:r>
      <w:r>
        <w:rPr>
          <w:rFonts w:cs="Calibri"/>
        </w:rPr>
        <w:t>zgonów, co stanowi 7,3% ogółu zgonów;</w:t>
      </w:r>
    </w:p>
    <w:p w14:paraId="787E2FC7" w14:textId="77777777" w:rsidR="001946C8" w:rsidRPr="006A7B3A" w:rsidRDefault="001946C8" w:rsidP="001946C8">
      <w:pPr>
        <w:pStyle w:val="Akapitzlist"/>
        <w:numPr>
          <w:ilvl w:val="0"/>
          <w:numId w:val="69"/>
        </w:numPr>
        <w:spacing w:after="0"/>
        <w:ind w:left="567" w:hanging="283"/>
        <w:jc w:val="both"/>
        <w:rPr>
          <w:rFonts w:cs="Calibri"/>
        </w:rPr>
      </w:pPr>
      <w:r w:rsidRPr="006A7B3A">
        <w:rPr>
          <w:rFonts w:cs="Calibri"/>
        </w:rPr>
        <w:t xml:space="preserve">niemal 187 </w:t>
      </w:r>
      <w:r>
        <w:rPr>
          <w:rFonts w:cs="Calibri"/>
        </w:rPr>
        <w:t>YLDs, co stanowi 1,31% wszystkich YLDs;</w:t>
      </w:r>
    </w:p>
    <w:p w14:paraId="1BFBCC8C" w14:textId="77777777" w:rsidR="001946C8" w:rsidRDefault="001946C8" w:rsidP="001946C8">
      <w:pPr>
        <w:pStyle w:val="Akapitzlist"/>
        <w:numPr>
          <w:ilvl w:val="0"/>
          <w:numId w:val="69"/>
        </w:numPr>
        <w:ind w:left="567" w:hanging="283"/>
        <w:jc w:val="both"/>
      </w:pPr>
      <w:r w:rsidRPr="006A7B3A">
        <w:rPr>
          <w:rFonts w:cs="Calibri"/>
        </w:rPr>
        <w:t xml:space="preserve">utraty ponad 833 </w:t>
      </w:r>
      <w:r>
        <w:rPr>
          <w:rFonts w:cs="Calibri"/>
        </w:rPr>
        <w:t>DLAYs, co stanowi 2,55%</w:t>
      </w:r>
      <w:r w:rsidRPr="00CD7D48">
        <w:rPr>
          <w:rFonts w:cs="Calibri"/>
        </w:rPr>
        <w:t xml:space="preserve"> </w:t>
      </w:r>
      <w:r>
        <w:rPr>
          <w:rFonts w:cs="Calibri"/>
        </w:rPr>
        <w:t>wszystkich DALYs.</w:t>
      </w:r>
    </w:p>
    <w:p w14:paraId="25E2D607" w14:textId="244B7DDC" w:rsidR="001946C8" w:rsidRDefault="001946C8" w:rsidP="001946C8">
      <w:pPr>
        <w:jc w:val="both"/>
      </w:pPr>
      <w:r>
        <w:t>Wzrost rozpowszechnienia zaburzeń otępiennych, w tym w szczególności choroby Alzheimera, jest jednym z negatywnych skutków starzenia się polskiego społeczeństwa i implikuje wiele istotnych wyzwań dla systemu ochrony zdrowia. Wraz z wiekiem zwiększa się bowiem ryzyko wielu chorób, w</w:t>
      </w:r>
      <w:r w:rsidR="00366786">
        <w:t> </w:t>
      </w:r>
      <w:r>
        <w:t>tym również chorób neurodegeneracyjnych. Badania wskazują, iż ryzyko zachorowania na chorobę Alzheimera po ukończeniu 65. lat ulega praktycznie podwojeniu z upływem każdych kolejnych 5 lat życia</w:t>
      </w:r>
      <w:r w:rsidRPr="00FD18CC">
        <w:rPr>
          <w:color w:val="0070C0"/>
          <w:vertAlign w:val="superscript"/>
        </w:rPr>
        <w:footnoteReference w:id="31"/>
      </w:r>
      <w:r>
        <w:t>.</w:t>
      </w:r>
    </w:p>
    <w:p w14:paraId="0A3982BE" w14:textId="6F57D92E" w:rsidR="001946C8" w:rsidRDefault="001946C8" w:rsidP="001946C8">
      <w:pPr>
        <w:jc w:val="both"/>
      </w:pPr>
      <w:r>
        <w:t>Warto podkreślić, że osoby star</w:t>
      </w:r>
      <w:r w:rsidR="00366786">
        <w:t>s</w:t>
      </w:r>
      <w:r>
        <w:t xml:space="preserve">ze, przez wzgląd na choroby przewlekłe i postępującą z wiekiem potrzebę wsparcia w codziennym funkcjonowaniu, stanowią </w:t>
      </w:r>
      <w:r>
        <w:rPr>
          <w:rFonts w:eastAsia="Calibri" w:cs="font469"/>
        </w:rPr>
        <w:t>również</w:t>
      </w:r>
      <w:r>
        <w:t xml:space="preserve"> najliczniejszą grupę wiekową wśród osób deklarujących </w:t>
      </w:r>
      <w:r>
        <w:rPr>
          <w:b/>
          <w:bCs/>
        </w:rPr>
        <w:t>niepełnosprawn</w:t>
      </w:r>
      <w:r>
        <w:rPr>
          <w:rFonts w:eastAsia="Calibri" w:cs="font469"/>
          <w:b/>
          <w:bCs/>
        </w:rPr>
        <w:t>ość</w:t>
      </w:r>
      <w:r>
        <w:t xml:space="preserve"> w Polsce – wśród ok. 4,7 mln osób stwierdzających u</w:t>
      </w:r>
      <w:r w:rsidR="00366786">
        <w:t> </w:t>
      </w:r>
      <w:r>
        <w:t>siebie problemy zdrowotne skutkujące ograniczeniem wykonywania czynności codziennych, aż ponad 2,5 mln osób to ludzie starsi (tj. w wieku co najmniej 60 lat)</w:t>
      </w:r>
      <w:r w:rsidRPr="00FD18CC">
        <w:rPr>
          <w:color w:val="0070C0"/>
          <w:vertAlign w:val="superscript"/>
        </w:rPr>
        <w:footnoteReference w:id="32"/>
      </w:r>
      <w:r>
        <w:t>. P</w:t>
      </w:r>
      <w:r>
        <w:rPr>
          <w:rFonts w:eastAsia="Calibri" w:cs="font469"/>
        </w:rPr>
        <w:t xml:space="preserve">odobny odsetek osób starszych odnotowuje się również </w:t>
      </w:r>
      <w:r>
        <w:t>wśród 2,5 mln osób z formalnie orzeczoną niepełnosprawnością</w:t>
      </w:r>
      <w:r w:rsidRPr="00FD18CC">
        <w:rPr>
          <w:color w:val="0070C0"/>
          <w:vertAlign w:val="superscript"/>
        </w:rPr>
        <w:footnoteReference w:id="33"/>
      </w:r>
      <w:r>
        <w:t xml:space="preserve">. W obu powyższych przypadkach </w:t>
      </w:r>
      <w:r>
        <w:rPr>
          <w:rFonts w:eastAsia="Calibri" w:cs="font469"/>
        </w:rPr>
        <w:t>p</w:t>
      </w:r>
      <w:r>
        <w:t>onad połowę całej zbiorowości osób z niepełnosprawn</w:t>
      </w:r>
      <w:r>
        <w:rPr>
          <w:rFonts w:eastAsia="Calibri" w:cs="font469"/>
        </w:rPr>
        <w:t xml:space="preserve">ościami stanowią </w:t>
      </w:r>
      <w:r>
        <w:rPr>
          <w:rFonts w:eastAsia="Calibri" w:cs="font469"/>
        </w:rPr>
        <w:lastRenderedPageBreak/>
        <w:t>osoby starsze</w:t>
      </w:r>
      <w:r>
        <w:t xml:space="preserve">. </w:t>
      </w:r>
      <w:r>
        <w:rPr>
          <w:rFonts w:eastAsia="Calibri" w:cs="font469"/>
        </w:rPr>
        <w:t>Dane te dobitnie potwierdzają skalę niesprawności i potrzeby wsparcia w codziennym funkcjonowaniu w polskiej populacji, która dotyka przede wszystkim osób starszych, a tym samym również wpływa na wzrost zapotrzebowania na usługi zdrowotne ukierunkowane na tę grupę osób.</w:t>
      </w:r>
    </w:p>
    <w:p w14:paraId="5B596F57" w14:textId="77777777" w:rsidR="001946C8" w:rsidRPr="0007513B" w:rsidRDefault="001946C8" w:rsidP="001946C8">
      <w:pPr>
        <w:pStyle w:val="Nagwek4"/>
        <w:numPr>
          <w:ilvl w:val="1"/>
          <w:numId w:val="10"/>
        </w:numPr>
        <w:shd w:val="clear" w:color="auto" w:fill="BDD6EE" w:themeFill="accent1" w:themeFillTint="66"/>
        <w:ind w:left="1276" w:hanging="567"/>
      </w:pPr>
      <w:r w:rsidRPr="0007513B">
        <w:t>Potrzeby opiekuńcze</w:t>
      </w:r>
    </w:p>
    <w:p w14:paraId="11113EEA" w14:textId="026528F0" w:rsidR="001946C8" w:rsidRDefault="001946C8" w:rsidP="001946C8">
      <w:pPr>
        <w:jc w:val="both"/>
      </w:pPr>
      <w:r>
        <w:t xml:space="preserve">Wyniki badania </w:t>
      </w:r>
      <w:r>
        <w:rPr>
          <w:i/>
        </w:rPr>
        <w:t>PolSenior</w:t>
      </w:r>
      <w:r>
        <w:t xml:space="preserve"> (realizowanego w latach 2007–2011) opartego na wywiadach społecznych i</w:t>
      </w:r>
      <w:r w:rsidR="00366786">
        <w:t> </w:t>
      </w:r>
      <w:r>
        <w:t xml:space="preserve">medycznych z przeprowadzonych na reprezentatywnej próbie osób powyżej 65. roku życia, a także rezultaty badania realizowanego w ramach </w:t>
      </w:r>
      <w:r>
        <w:rPr>
          <w:i/>
        </w:rPr>
        <w:t>Badania Zdrowia, Starzenia się Populacji i Procesów Emerytalnych</w:t>
      </w:r>
      <w:r>
        <w:t xml:space="preserve"> – </w:t>
      </w:r>
      <w:r>
        <w:rPr>
          <w:i/>
        </w:rPr>
        <w:t>SHARE: 50+ w Europie</w:t>
      </w:r>
      <w:r>
        <w:t xml:space="preserve"> (ang. </w:t>
      </w:r>
      <w:r>
        <w:rPr>
          <w:i/>
        </w:rPr>
        <w:t>Survey on Health, Ageing, and Retirement in Europe</w:t>
      </w:r>
      <w:r>
        <w:t xml:space="preserve">, prowadzone od 2004 r.) wykazują </w:t>
      </w:r>
      <w:r w:rsidR="00366786">
        <w:t xml:space="preserve">na </w:t>
      </w:r>
      <w:r>
        <w:rPr>
          <w:b/>
          <w:bCs/>
        </w:rPr>
        <w:t>wysoki poziom ograniczeń funkcjonalnych polskich seniorów</w:t>
      </w:r>
      <w:r>
        <w:t xml:space="preserve">, porównywalny do poziomu zaobserwowanego w krajach Europy Południowej (takich jak Włochy czy Hiszpania) oraz w krajach Europy Wschodniej. Ograniczenia funkcjonalne narastają wraz z wiekiem, przy czym </w:t>
      </w:r>
      <w:r>
        <w:rPr>
          <w:b/>
          <w:bCs/>
        </w:rPr>
        <w:t>bardziej dotknięte są nimi kobiety niż mężczyźni</w:t>
      </w:r>
      <w:r>
        <w:t xml:space="preserve">. Krytyczny moment dla znacznego uzależnienia wynosi 85 lat, a występowanie takiej zależności jest charakterystyczne </w:t>
      </w:r>
      <w:r>
        <w:rPr>
          <w:b/>
          <w:bCs/>
        </w:rPr>
        <w:t>w szczególności dla obszarów wiejskich</w:t>
      </w:r>
      <w:r>
        <w:t>. Ponad 20% przebadanych seniorów w wieku powyżej 85 lat jest całkowicie zależnych od opieki innych</w:t>
      </w:r>
      <w:r w:rsidRPr="00FD18CC">
        <w:rPr>
          <w:color w:val="0070C0"/>
          <w:vertAlign w:val="superscript"/>
        </w:rPr>
        <w:footnoteReference w:id="34"/>
      </w:r>
      <w:r>
        <w:t>.</w:t>
      </w:r>
    </w:p>
    <w:p w14:paraId="5DA75678" w14:textId="1F09DE28" w:rsidR="001946C8" w:rsidRDefault="001946C8" w:rsidP="001946C8">
      <w:pPr>
        <w:spacing w:after="120"/>
        <w:jc w:val="both"/>
      </w:pPr>
      <w:r>
        <w:rPr>
          <w:bCs/>
          <w:color w:val="000000"/>
        </w:rPr>
        <w:t xml:space="preserve">Zgodnie z wynikami rundy 6. badań SHARE, </w:t>
      </w:r>
      <w:r>
        <w:t xml:space="preserve">przeprowadzonego w latach 2010–2011, </w:t>
      </w:r>
      <w:r>
        <w:rPr>
          <w:bCs/>
          <w:color w:val="000000"/>
        </w:rPr>
        <w:t>przeciętnie 13% mężczyzn i ponad 16% kobiet w wieku 50+ w Polsce wskazywało na trudności z wykonywaniem przynajmniej jednej czynności prostej, zaś 19% mężczyzn i ponad 26% kobiet deklarowało problemy z</w:t>
      </w:r>
      <w:r w:rsidR="00366786">
        <w:rPr>
          <w:bCs/>
          <w:color w:val="000000"/>
        </w:rPr>
        <w:t> </w:t>
      </w:r>
      <w:r>
        <w:rPr>
          <w:bCs/>
          <w:color w:val="000000"/>
        </w:rPr>
        <w:t>czynnościami złożonymi</w:t>
      </w:r>
      <w:r w:rsidRPr="00FD18CC">
        <w:rPr>
          <w:bCs/>
          <w:color w:val="0070C0"/>
          <w:vertAlign w:val="superscript"/>
        </w:rPr>
        <w:footnoteReference w:id="35"/>
      </w:r>
      <w:r>
        <w:rPr>
          <w:bCs/>
          <w:color w:val="000000"/>
        </w:rPr>
        <w:t xml:space="preserve">. </w:t>
      </w:r>
    </w:p>
    <w:p w14:paraId="77AD3406" w14:textId="3656F1B0" w:rsidR="001946C8" w:rsidRDefault="001946C8" w:rsidP="001946C8">
      <w:pPr>
        <w:spacing w:after="120"/>
        <w:jc w:val="both"/>
      </w:pPr>
      <w:r>
        <w:rPr>
          <w:bCs/>
          <w:color w:val="000000"/>
        </w:rPr>
        <w:t>Łącznie 23% respondentów (ok. 20% mężczyzn i ponad 25% kobiet) zgłaszało ograniczenia, które przekładały się na przynajmniej jedną godzinę</w:t>
      </w:r>
      <w:r w:rsidRPr="004531BD">
        <w:rPr>
          <w:bCs/>
          <w:color w:val="000000"/>
        </w:rPr>
        <w:t xml:space="preserve"> </w:t>
      </w:r>
      <w:r>
        <w:rPr>
          <w:bCs/>
          <w:color w:val="000000"/>
        </w:rPr>
        <w:t>w miesiącu koniecznego wsparcia ze strony innych osób</w:t>
      </w:r>
      <w:r w:rsidRPr="00FD18CC">
        <w:rPr>
          <w:bCs/>
          <w:color w:val="0070C0"/>
          <w:vertAlign w:val="superscript"/>
        </w:rPr>
        <w:footnoteReference w:id="36"/>
      </w:r>
      <w:r>
        <w:rPr>
          <w:bCs/>
          <w:color w:val="000000"/>
        </w:rPr>
        <w:t>. Poniższ</w:t>
      </w:r>
      <w:r w:rsidR="005A5AE9">
        <w:rPr>
          <w:bCs/>
          <w:color w:val="000000"/>
        </w:rPr>
        <w:t>y</w:t>
      </w:r>
      <w:r>
        <w:rPr>
          <w:bCs/>
          <w:color w:val="000000"/>
        </w:rPr>
        <w:t xml:space="preserve"> </w:t>
      </w:r>
      <w:r w:rsidR="005A5AE9">
        <w:rPr>
          <w:bCs/>
          <w:color w:val="000000"/>
        </w:rPr>
        <w:t>wykres</w:t>
      </w:r>
      <w:r>
        <w:rPr>
          <w:bCs/>
          <w:color w:val="000000"/>
        </w:rPr>
        <w:t xml:space="preserve"> przedstawia jak zapotrzebowanie na taką opiekę rozkładało się w</w:t>
      </w:r>
      <w:r w:rsidR="00366786">
        <w:rPr>
          <w:bCs/>
          <w:color w:val="000000"/>
        </w:rPr>
        <w:t> </w:t>
      </w:r>
      <w:r>
        <w:rPr>
          <w:bCs/>
          <w:color w:val="000000"/>
        </w:rPr>
        <w:t>poszczególnych grupach wiekowych osób starszych.</w:t>
      </w:r>
    </w:p>
    <w:p w14:paraId="4AB1C2BD" w14:textId="77777777" w:rsidR="001946C8" w:rsidRDefault="001946C8" w:rsidP="001946C8">
      <w:pPr>
        <w:jc w:val="center"/>
        <w:rPr>
          <w:i/>
          <w:color w:val="0070C0"/>
        </w:rPr>
      </w:pPr>
      <w:r>
        <w:rPr>
          <w:i/>
          <w:color w:val="0070C0"/>
        </w:rPr>
        <w:t>Wykres 3</w:t>
      </w:r>
      <w:r w:rsidRPr="00FD18CC">
        <w:rPr>
          <w:i/>
          <w:color w:val="0070C0"/>
        </w:rPr>
        <w:t>. Odsetek respondentów rundy 6. badań SHARE</w:t>
      </w:r>
      <w:r>
        <w:rPr>
          <w:i/>
          <w:color w:val="0070C0"/>
        </w:rPr>
        <w:br/>
      </w:r>
      <w:r w:rsidRPr="00FD18CC">
        <w:rPr>
          <w:i/>
          <w:color w:val="0070C0"/>
        </w:rPr>
        <w:t xml:space="preserve"> zgłaszających ograniczenia, przekładające się na zapotrzebowanie </w:t>
      </w:r>
      <w:r>
        <w:rPr>
          <w:i/>
          <w:color w:val="0070C0"/>
        </w:rPr>
        <w:br/>
      </w:r>
      <w:r w:rsidRPr="00FD18CC">
        <w:rPr>
          <w:i/>
          <w:color w:val="0070C0"/>
        </w:rPr>
        <w:t>na przynajmniej jedną godzinę opieki w miesiącu</w:t>
      </w:r>
      <w:r>
        <w:rPr>
          <w:i/>
          <w:color w:val="0070C0"/>
        </w:rPr>
        <w:t xml:space="preserve"> w zależności od wieku</w:t>
      </w:r>
    </w:p>
    <w:p w14:paraId="2088B08B" w14:textId="77777777" w:rsidR="001946C8" w:rsidRPr="00E21CC0" w:rsidRDefault="001946C8" w:rsidP="001946C8">
      <w:pPr>
        <w:jc w:val="center"/>
        <w:rPr>
          <w:iCs/>
          <w:color w:val="0070C0"/>
        </w:rPr>
      </w:pPr>
      <w:r>
        <w:rPr>
          <w:noProof/>
          <w:lang w:eastAsia="pl-PL"/>
        </w:rPr>
        <w:lastRenderedPageBreak/>
        <w:drawing>
          <wp:inline distT="0" distB="0" distL="0" distR="0" wp14:anchorId="55CFE5D5" wp14:editId="23B0FEFD">
            <wp:extent cx="4495800" cy="2499360"/>
            <wp:effectExtent l="0" t="0" r="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6E97CD8" w14:textId="77777777" w:rsidR="001946C8" w:rsidRDefault="001946C8" w:rsidP="001946C8">
      <w:pPr>
        <w:jc w:val="center"/>
      </w:pPr>
      <w:r>
        <w:rPr>
          <w:sz w:val="16"/>
        </w:rPr>
        <w:t>Źródło: Raport ewaluacyjny rundy 6. badania SHARE.</w:t>
      </w:r>
    </w:p>
    <w:p w14:paraId="366734B9" w14:textId="77777777" w:rsidR="001946C8" w:rsidRDefault="001946C8" w:rsidP="001946C8">
      <w:pPr>
        <w:spacing w:after="120"/>
        <w:jc w:val="both"/>
      </w:pPr>
      <w:r>
        <w:rPr>
          <w:color w:val="000000"/>
        </w:rPr>
        <w:t>Przeciętnie co piąta osoba w wieku 85+ zgłaszała ograniczenia, których wyrównanie czy zaspokojenie wymagałoby ponad 100 godzin opieki miesięcznie. Ok. 45% osób wymagających opieki miało zaspokojone potrzeby w tym zakresie i 60% spośród osób wymagających opieki otrzymywało regularną pomoc. 72% osób z zaspokojonymi potrzebami otrzymywało opiekę przede wszystkim od rodziny lub znajomych, często będących członkami tego samego gospodarstwa domowego (27%)</w:t>
      </w:r>
      <w:r w:rsidRPr="00FD18CC">
        <w:rPr>
          <w:color w:val="0070C0"/>
          <w:vertAlign w:val="superscript"/>
        </w:rPr>
        <w:footnoteReference w:id="37"/>
      </w:r>
      <w:r>
        <w:rPr>
          <w:color w:val="000000"/>
        </w:rPr>
        <w:t>.</w:t>
      </w:r>
    </w:p>
    <w:p w14:paraId="305E7746" w14:textId="77777777" w:rsidR="001946C8" w:rsidRDefault="001946C8" w:rsidP="001946C8">
      <w:pPr>
        <w:spacing w:after="120"/>
        <w:jc w:val="both"/>
      </w:pPr>
      <w:r>
        <w:rPr>
          <w:color w:val="000000"/>
        </w:rPr>
        <w:t>Wynik</w:t>
      </w:r>
      <w:r>
        <w:rPr>
          <w:rFonts w:eastAsia="Calibri"/>
          <w:color w:val="000000"/>
        </w:rPr>
        <w:t xml:space="preserve">i </w:t>
      </w:r>
      <w:r>
        <w:rPr>
          <w:color w:val="000000"/>
        </w:rPr>
        <w:t xml:space="preserve">badania GUS </w:t>
      </w:r>
      <w:r>
        <w:rPr>
          <w:rFonts w:eastAsia="Calibri"/>
          <w:color w:val="000000"/>
        </w:rPr>
        <w:t xml:space="preserve">potwierdziły powyższe dane – </w:t>
      </w:r>
      <w:r>
        <w:rPr>
          <w:color w:val="000000"/>
        </w:rPr>
        <w:t xml:space="preserve">w 2014 r. ponad 1,6 mln osób w wieku 65 lat i więcej miało trudności związane z kładzeniem się i wstawaniem z łóżka lub siadaniem czy wstawaniem z krzesła. Także blisko 1,6 mln osób miało problem z samodzielnym umyciem się, a ponad 1,3 mln osób – z samodzielnym ubraniem czy rozebraniem się. Prawie 875 tys. osób starszych miało trudności przy korzystaniu z </w:t>
      </w:r>
      <w:r>
        <w:rPr>
          <w:rFonts w:eastAsia="Calibri"/>
          <w:color w:val="000000"/>
        </w:rPr>
        <w:t>toalety</w:t>
      </w:r>
      <w:r>
        <w:rPr>
          <w:color w:val="000000"/>
        </w:rPr>
        <w:t xml:space="preserve">, a blisko 520 tys. – nawet podczas spożywania posiłków. Wykres </w:t>
      </w:r>
      <w:r>
        <w:rPr>
          <w:rFonts w:eastAsia="Calibri"/>
          <w:color w:val="000000"/>
        </w:rPr>
        <w:t>2</w:t>
      </w:r>
      <w:r>
        <w:rPr>
          <w:color w:val="000000"/>
        </w:rPr>
        <w:t xml:space="preserve"> prezentuje odsetek osób starszych </w:t>
      </w:r>
      <w:r>
        <w:rPr>
          <w:rFonts w:eastAsia="Calibri"/>
          <w:color w:val="000000"/>
        </w:rPr>
        <w:t>wykazujących</w:t>
      </w:r>
      <w:r>
        <w:rPr>
          <w:color w:val="000000"/>
        </w:rPr>
        <w:t xml:space="preserve"> problem</w:t>
      </w:r>
      <w:r>
        <w:rPr>
          <w:rFonts w:eastAsia="Calibri"/>
          <w:color w:val="000000"/>
        </w:rPr>
        <w:t>y</w:t>
      </w:r>
      <w:r>
        <w:rPr>
          <w:color w:val="000000"/>
        </w:rPr>
        <w:t xml:space="preserve"> z wykonaniem poszczególnych czynności codziennych</w:t>
      </w:r>
      <w:r w:rsidRPr="00FD18CC">
        <w:rPr>
          <w:color w:val="0070C0"/>
          <w:vertAlign w:val="superscript"/>
        </w:rPr>
        <w:footnoteReference w:id="38"/>
      </w:r>
      <w:r>
        <w:rPr>
          <w:color w:val="000000"/>
        </w:rPr>
        <w:t>.</w:t>
      </w:r>
    </w:p>
    <w:p w14:paraId="331278A5" w14:textId="77777777" w:rsidR="001946C8" w:rsidRPr="00FD18CC" w:rsidRDefault="001946C8" w:rsidP="001946C8">
      <w:pPr>
        <w:spacing w:after="120"/>
        <w:jc w:val="center"/>
        <w:rPr>
          <w:color w:val="0070C0"/>
        </w:rPr>
      </w:pPr>
      <w:r w:rsidRPr="00FD18CC">
        <w:rPr>
          <w:i/>
          <w:iCs/>
          <w:color w:val="0070C0"/>
        </w:rPr>
        <w:t xml:space="preserve">Wykres </w:t>
      </w:r>
      <w:r>
        <w:rPr>
          <w:i/>
          <w:iCs/>
          <w:color w:val="0070C0"/>
        </w:rPr>
        <w:t>2.</w:t>
      </w:r>
      <w:r w:rsidRPr="00FD18CC">
        <w:rPr>
          <w:i/>
          <w:iCs/>
          <w:color w:val="0070C0"/>
        </w:rPr>
        <w:t xml:space="preserve"> Częstość występowania trudności w samoobsłudze </w:t>
      </w:r>
      <w:r w:rsidRPr="00FD18CC">
        <w:rPr>
          <w:i/>
          <w:iCs/>
          <w:color w:val="0070C0"/>
        </w:rPr>
        <w:br/>
        <w:t>u osób starszych według grup wiekowych [%]</w:t>
      </w:r>
    </w:p>
    <w:p w14:paraId="66AB1EF7" w14:textId="77777777" w:rsidR="001946C8" w:rsidRDefault="001946C8" w:rsidP="001946C8">
      <w:pPr>
        <w:spacing w:after="120"/>
        <w:jc w:val="center"/>
        <w:rPr>
          <w:color w:val="000000"/>
          <w:sz w:val="16"/>
          <w:szCs w:val="16"/>
        </w:rPr>
      </w:pPr>
      <w:r>
        <w:rPr>
          <w:noProof/>
          <w:lang w:eastAsia="pl-PL"/>
        </w:rPr>
        <w:lastRenderedPageBreak/>
        <w:drawing>
          <wp:anchor distT="0" distB="0" distL="0" distR="0" simplePos="0" relativeHeight="251659264" behindDoc="0" locked="0" layoutInCell="1" allowOverlap="1" wp14:anchorId="5832E4E2" wp14:editId="33839C0D">
            <wp:simplePos x="0" y="0"/>
            <wp:positionH relativeFrom="column">
              <wp:align>center</wp:align>
            </wp:positionH>
            <wp:positionV relativeFrom="paragraph">
              <wp:posOffset>635</wp:posOffset>
            </wp:positionV>
            <wp:extent cx="5760720" cy="2455545"/>
            <wp:effectExtent l="0" t="0" r="0" b="1905"/>
            <wp:wrapSquare wrapText="larges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4555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DCFDF71" w14:textId="77777777" w:rsidR="001946C8" w:rsidRDefault="001946C8" w:rsidP="001946C8">
      <w:pPr>
        <w:spacing w:after="120"/>
        <w:jc w:val="center"/>
      </w:pPr>
      <w:r>
        <w:rPr>
          <w:color w:val="000000"/>
          <w:sz w:val="16"/>
          <w:szCs w:val="16"/>
        </w:rPr>
        <w:t xml:space="preserve">Źródło: </w:t>
      </w:r>
      <w:r>
        <w:rPr>
          <w:i/>
          <w:iCs/>
          <w:color w:val="000000"/>
          <w:sz w:val="16"/>
          <w:szCs w:val="16"/>
        </w:rPr>
        <w:t>Stan zdrowia ludności Polski 2014</w:t>
      </w:r>
      <w:r>
        <w:rPr>
          <w:color w:val="000000"/>
          <w:sz w:val="16"/>
          <w:szCs w:val="16"/>
        </w:rPr>
        <w:t>, GUS, Warszawa 2015, s. 71.</w:t>
      </w:r>
    </w:p>
    <w:p w14:paraId="3ABBD99A" w14:textId="75584338" w:rsidR="001946C8" w:rsidRDefault="001946C8" w:rsidP="001946C8">
      <w:pPr>
        <w:spacing w:after="120"/>
        <w:jc w:val="both"/>
      </w:pPr>
      <w:r>
        <w:rPr>
          <w:color w:val="000000"/>
        </w:rPr>
        <w:t>Jednocześnie ponad 55% osób wymagających opieki miało niezaspokojone potrzeby opiekuńcze. Niezaspokojenie potrzeb częściej (na poziomie ponad 60%) deklarowały osoby młodsze w tej grupie (50–64), podczas gdy osoby starsze (85+) zgłaszały je dwukrotnie rzadziej (na poziomie ok. 30%). Osoby młodsze z niezaspokojonymi potrzebami częściej wymagają mniej intensywnej opieki, zaś zapotrzebowanie na intensywną opiekę rośnie wraz z wiekiem. Kobiety zarówno z najmłodszej, jak i</w:t>
      </w:r>
      <w:r w:rsidR="005A5AE9">
        <w:rPr>
          <w:color w:val="000000"/>
        </w:rPr>
        <w:t> </w:t>
      </w:r>
      <w:r>
        <w:rPr>
          <w:color w:val="000000"/>
        </w:rPr>
        <w:t>najstarszej grupy wiekowej potrzebują krótszej codziennej opieki niż mężczyźni</w:t>
      </w:r>
      <w:r w:rsidRPr="00FD18CC">
        <w:rPr>
          <w:color w:val="0070C0"/>
          <w:vertAlign w:val="superscript"/>
        </w:rPr>
        <w:footnoteReference w:id="39"/>
      </w:r>
      <w:r>
        <w:rPr>
          <w:color w:val="000000"/>
        </w:rPr>
        <w:t>.</w:t>
      </w:r>
    </w:p>
    <w:p w14:paraId="5397C3D5" w14:textId="66074CAD" w:rsidR="001946C8" w:rsidRDefault="001946C8" w:rsidP="001946C8">
      <w:pPr>
        <w:spacing w:after="120"/>
        <w:jc w:val="both"/>
      </w:pPr>
      <w:r>
        <w:rPr>
          <w:color w:val="000000"/>
        </w:rPr>
        <w:t>Mimo, że osoby w wieku do 74 lat mieszkające w mieście potrzebują opieki w mniejszym zakresie godzinowym niż mieszkańcy wsi w tym samym wieku, to odwrotną sytuację zaobserwowano w</w:t>
      </w:r>
      <w:r w:rsidR="005A5AE9">
        <w:rPr>
          <w:color w:val="000000"/>
        </w:rPr>
        <w:t> </w:t>
      </w:r>
      <w:r>
        <w:rPr>
          <w:color w:val="000000"/>
        </w:rPr>
        <w:t>przypadku grupy wiekowej 75+. Odsetek osób wymagających miesięcznej opieki nieprzekraczającej 49 godzin jest niższy wśród mieszkańców miast w porównaniu do mieszkańców wsi, zaś odsetek osób z zapotrzebowaniem na opiekę w zakresie przekraczającym 100 godzin miesięcznie jest wyższy wśród mieszkańców miast w porównaniu do mieszkańców wsi</w:t>
      </w:r>
      <w:r w:rsidRPr="00FD18CC">
        <w:rPr>
          <w:color w:val="0070C0"/>
          <w:vertAlign w:val="superscript"/>
        </w:rPr>
        <w:footnoteReference w:id="40"/>
      </w:r>
      <w:r>
        <w:rPr>
          <w:color w:val="000000"/>
        </w:rPr>
        <w:t>.</w:t>
      </w:r>
    </w:p>
    <w:p w14:paraId="0040A8E3" w14:textId="1665AD64" w:rsidR="001946C8" w:rsidRDefault="001946C8" w:rsidP="001946C8">
      <w:pPr>
        <w:spacing w:after="120"/>
        <w:jc w:val="both"/>
      </w:pPr>
      <w:r>
        <w:rPr>
          <w:color w:val="000000"/>
        </w:rPr>
        <w:t>Opieka nad osobami starszymi w</w:t>
      </w:r>
      <w:r w:rsidRPr="001A16F0">
        <w:rPr>
          <w:color w:val="000000"/>
        </w:rPr>
        <w:t>ymagający</w:t>
      </w:r>
      <w:r>
        <w:rPr>
          <w:color w:val="000000"/>
        </w:rPr>
        <w:t>mi</w:t>
      </w:r>
      <w:r w:rsidRPr="001A16F0">
        <w:rPr>
          <w:color w:val="000000"/>
        </w:rPr>
        <w:t xml:space="preserve"> wsparcia w codziennym funkcjonowaniu </w:t>
      </w:r>
      <w:r>
        <w:rPr>
          <w:color w:val="000000"/>
        </w:rPr>
        <w:t xml:space="preserve">była przedmiotem badania w ramach projektu </w:t>
      </w:r>
      <w:r>
        <w:rPr>
          <w:i/>
          <w:color w:val="000000"/>
        </w:rPr>
        <w:t xml:space="preserve">Formalne i nieformalne instytucje opieki w Polsce. Etap pierwszy prac. </w:t>
      </w:r>
      <w:r>
        <w:rPr>
          <w:color w:val="000000"/>
        </w:rPr>
        <w:t>W zależności od miejsca zamieszkania od 31% do 47% procent seniorów wymagało opieki codziennie, co najmniej kilka razy na dobę, przy czym przeciętnie około połowy tej grupy przez całą dobę. Osoby niewymagające opieki całodobowej przeciętnie potrzebowały 3,5–4,5 godzin opieki dziennie. Od 10% do 20% seniorów wymagało opieki co najmniej raz w tygodniu, przeciętnie czas tej opieki wynosił 4–6 godzin tygodniowo.</w:t>
      </w:r>
      <w:r>
        <w:t xml:space="preserve"> Z deklaracji badanych przedstawicieli gospodarstw domowych, w których są seniorzy potrzebujący opieki</w:t>
      </w:r>
      <w:r w:rsidR="005A5AE9">
        <w:t>,</w:t>
      </w:r>
      <w:r>
        <w:t xml:space="preserve"> wynika, że chociaż większość </w:t>
      </w:r>
      <w:r w:rsidR="005A5AE9">
        <w:t>osób</w:t>
      </w:r>
      <w:r>
        <w:t xml:space="preserve"> chce się opiekować </w:t>
      </w:r>
      <w:r w:rsidR="005A5AE9">
        <w:t>bliskimi</w:t>
      </w:r>
      <w:r>
        <w:t>, to gdyby mieli możliwość wyboru rozwiązania najbardziej odpowiadającego ich oczekiwaniom i potrzebom, znacznie zmniejszyliby czasowy udział w opiece nad na rzecz opieki sprawowanej w placówce lub przez indywidualnych opiekunów spoza gospodarstwa domowego</w:t>
      </w:r>
      <w:r w:rsidRPr="00080CDE">
        <w:rPr>
          <w:bCs/>
          <w:color w:val="0070C0"/>
          <w:vertAlign w:val="superscript"/>
        </w:rPr>
        <w:footnoteReference w:id="41"/>
      </w:r>
      <w:r>
        <w:t>.</w:t>
      </w:r>
    </w:p>
    <w:p w14:paraId="4B9BAC29" w14:textId="77777777" w:rsidR="001946C8" w:rsidRDefault="001946C8" w:rsidP="001946C8">
      <w:pPr>
        <w:pStyle w:val="Nagwek3"/>
        <w:numPr>
          <w:ilvl w:val="0"/>
          <w:numId w:val="10"/>
        </w:numPr>
        <w:shd w:val="clear" w:color="auto" w:fill="9CC2E5" w:themeFill="accent1" w:themeFillTint="99"/>
        <w:ind w:hanging="436"/>
      </w:pPr>
      <w:bookmarkStart w:id="7" w:name="_Toc31363432"/>
      <w:bookmarkStart w:id="8" w:name="_Toc25070482"/>
      <w:bookmarkStart w:id="9" w:name="_Toc22650826"/>
      <w:r>
        <w:t>Dostępne wsparcie</w:t>
      </w:r>
      <w:bookmarkEnd w:id="7"/>
      <w:bookmarkEnd w:id="8"/>
      <w:bookmarkEnd w:id="9"/>
      <w:r>
        <w:t xml:space="preserve"> zdrowotne</w:t>
      </w:r>
    </w:p>
    <w:p w14:paraId="2E28745E" w14:textId="36D1380F" w:rsidR="001946C8" w:rsidRDefault="001946C8" w:rsidP="001946C8">
      <w:pPr>
        <w:spacing w:after="120"/>
        <w:jc w:val="both"/>
      </w:pPr>
      <w:r>
        <w:lastRenderedPageBreak/>
        <w:t>Osoby starsze w Polsce, co do zasady, mają</w:t>
      </w:r>
      <w:r w:rsidR="005A5AE9">
        <w:t xml:space="preserve"> gwarantowany</w:t>
      </w:r>
      <w:r>
        <w:t xml:space="preserve"> dostęp do świadczeń opieki zdrowotnej na zasadach ogólnych, jednak ze względu na zwiększający się wraz z wiekiem wskaźnik chorobowości osoby starsze stanowią grupę najczęściej korzystającą ze świadczeń opieki zdrowotnej.</w:t>
      </w:r>
    </w:p>
    <w:p w14:paraId="61050959" w14:textId="76936DCB" w:rsidR="001946C8" w:rsidRDefault="001946C8" w:rsidP="001946C8">
      <w:pPr>
        <w:spacing w:after="120"/>
        <w:jc w:val="both"/>
      </w:pPr>
      <w:r>
        <w:t>Starość, a w zasadzie postępująca niesprawność i potrzeba wsparcia w codziennym funkcjonowaniu związane z procesem starzenia, w polskim prawodawstwie postrzegana jest raczej jako czynnik ryzyka socjalnego. Oznacza to, że dożycie podeszłego wieku może, ale nie musi prowadzić do pogorszenia sytuacji zdrowotnej, społecznej i materialnej. Osoby starsze stają się podmiotem zainteresowania instytucji publicznych lub organizacji szczególnie wówczas, gdy pogarszający się stan zdrowia oraz ograniczenie lub utrata sprawności i samodzielności, a więc kwestie powiązane z procesem starzenia, prowadzą do obniżenia jakości ich życia, w tym życia związanego ze zdrowiem. To właśnie troska o</w:t>
      </w:r>
      <w:r w:rsidR="005A5AE9">
        <w:t> </w:t>
      </w:r>
      <w:r>
        <w:t>jakość życia seniorów oraz ich otoczenia jest w dokumentach strategicznych punktem wyjścia do planowania wszelkich działań na rzecz tej grupy społecznej, w tym również rozwiązań skierowanych do tych osób w ramach systemu ochrony zdrowia</w:t>
      </w:r>
      <w:r w:rsidRPr="00080CDE">
        <w:rPr>
          <w:color w:val="0070C0"/>
          <w:vertAlign w:val="superscript"/>
        </w:rPr>
        <w:footnoteReference w:id="42"/>
      </w:r>
      <w:r>
        <w:t>.</w:t>
      </w:r>
    </w:p>
    <w:p w14:paraId="194474F3" w14:textId="2D720E4A" w:rsidR="001946C8" w:rsidRDefault="001946C8" w:rsidP="001946C8">
      <w:pPr>
        <w:spacing w:after="120"/>
        <w:jc w:val="both"/>
      </w:pPr>
      <w:r>
        <w:t>W ramach świadczeń opieki zdrowotnej finansowanych ze środków publicznych osobom starszym w</w:t>
      </w:r>
      <w:r w:rsidR="005A5AE9">
        <w:t> </w:t>
      </w:r>
      <w:r>
        <w:t>Polsce przysługuje wsparcie medyczne, zarówno w trybie stacjonarnym, jak i dziennym oraz domowym (podstawowa opieka zdrowotna, ambulatoryjna opieka specjalistyczna, opieka szpitalna, opieka długoterminowa, opieka paliatywno-hospicyjna). Możliwość objęcia danym rodzajem świadczeń opieki zdrowotnej zależy od indywidualnego stanu zdrowia i zaleceń medycznych.</w:t>
      </w:r>
    </w:p>
    <w:p w14:paraId="72474B0B" w14:textId="516146CA" w:rsidR="001946C8" w:rsidRDefault="001946C8" w:rsidP="001946C8">
      <w:pPr>
        <w:spacing w:after="120"/>
        <w:jc w:val="both"/>
      </w:pPr>
      <w:r>
        <w:t>Należy podkreślić, iż mimo ustawowo przysługującego wszystkim świadczeniodawcom równego dostępu do świadczeń gwarantowanych, istnieje duże zróżnicowanie w dostępie do tych usług w</w:t>
      </w:r>
      <w:r w:rsidR="005A5AE9">
        <w:t> </w:t>
      </w:r>
      <w:r>
        <w:t>zależności od miejsca zamieszkania.</w:t>
      </w:r>
    </w:p>
    <w:p w14:paraId="3416CAC0" w14:textId="77777777" w:rsidR="001946C8" w:rsidRDefault="001946C8" w:rsidP="001946C8">
      <w:pPr>
        <w:spacing w:after="60"/>
        <w:jc w:val="both"/>
      </w:pPr>
      <w:r>
        <w:t xml:space="preserve">Rodzajami świadczeń gwarantowanych dedykowanym przede wszystkim osobom starszym są: </w:t>
      </w:r>
    </w:p>
    <w:p w14:paraId="696CF500" w14:textId="511CAD3B" w:rsidR="001946C8" w:rsidRDefault="001946C8" w:rsidP="001946C8">
      <w:pPr>
        <w:pStyle w:val="Akapitzlist"/>
        <w:numPr>
          <w:ilvl w:val="0"/>
          <w:numId w:val="71"/>
        </w:numPr>
        <w:spacing w:after="120"/>
        <w:ind w:left="567" w:hanging="283"/>
        <w:jc w:val="both"/>
      </w:pPr>
      <w:r>
        <w:t>świadczenia pielęgnacyjno-opiekuńcze w ramach opieki długoterminowej dostępne w</w:t>
      </w:r>
      <w:r w:rsidR="005A5AE9">
        <w:t> </w:t>
      </w:r>
      <w:r>
        <w:t>warunkach stacjonarnych lub domowych oraz</w:t>
      </w:r>
    </w:p>
    <w:p w14:paraId="13FFE542" w14:textId="77777777" w:rsidR="001946C8" w:rsidRDefault="001946C8" w:rsidP="001946C8">
      <w:pPr>
        <w:pStyle w:val="Akapitzlist"/>
        <w:numPr>
          <w:ilvl w:val="0"/>
          <w:numId w:val="71"/>
        </w:numPr>
        <w:spacing w:after="120"/>
        <w:ind w:left="567" w:hanging="283"/>
        <w:jc w:val="both"/>
      </w:pPr>
      <w:r>
        <w:t>świadczenia opieki paliatywnej i hospicyjnej dostępne w warunkach stacjonarnych, ambulatoryjnych lub domowych.</w:t>
      </w:r>
    </w:p>
    <w:p w14:paraId="5B0AC9CD" w14:textId="19C0427E" w:rsidR="001946C8" w:rsidRDefault="001946C8" w:rsidP="001946C8">
      <w:pPr>
        <w:spacing w:after="120"/>
        <w:jc w:val="both"/>
      </w:pPr>
      <w:r>
        <w:t>Tryb i zakres udzielanej opieki w każdym z ww. rodzajów świadczeń zależy od stanu zdrowia i</w:t>
      </w:r>
      <w:r w:rsidR="005A5AE9">
        <w:t> </w:t>
      </w:r>
      <w:r>
        <w:t>możliwości opiekuńczo-bytowych pacjenta.</w:t>
      </w:r>
    </w:p>
    <w:p w14:paraId="47EC997C" w14:textId="77777777" w:rsidR="001946C8" w:rsidRPr="0041050A" w:rsidRDefault="001946C8" w:rsidP="001946C8">
      <w:pPr>
        <w:pStyle w:val="Nagwek4"/>
        <w:numPr>
          <w:ilvl w:val="1"/>
          <w:numId w:val="10"/>
        </w:numPr>
        <w:shd w:val="clear" w:color="auto" w:fill="BDD6EE" w:themeFill="accent1" w:themeFillTint="66"/>
        <w:ind w:left="1276" w:hanging="567"/>
      </w:pPr>
      <w:r w:rsidRPr="0041050A">
        <w:t>Opieka długoterminowa</w:t>
      </w:r>
    </w:p>
    <w:p w14:paraId="5AC905FC" w14:textId="77777777" w:rsidR="001946C8" w:rsidRDefault="001946C8" w:rsidP="001946C8">
      <w:pPr>
        <w:spacing w:after="120"/>
        <w:jc w:val="both"/>
      </w:pPr>
      <w:r>
        <w:t>Opieka długoterminowa dedykowana jest osobom przewlekle chorym, których stan zdrowia nie wymaga leczenia w warunkach ostrego oddziału szpitalnego, natomiast powoduje występowanie poważnych deficytów w samoopiece i samopielęgnacji, uniemożliwiając niezależne, samodzielne funkcjonowanie</w:t>
      </w:r>
      <w:r w:rsidRPr="00F751E2">
        <w:rPr>
          <w:rStyle w:val="Odwoanieprzypisudolnego"/>
          <w:color w:val="0070C0"/>
        </w:rPr>
        <w:footnoteReference w:id="43"/>
      </w:r>
      <w:r>
        <w:t>.</w:t>
      </w:r>
    </w:p>
    <w:p w14:paraId="6CF76983" w14:textId="30B7C81C" w:rsidR="001946C8" w:rsidRPr="00982A4C" w:rsidRDefault="001946C8" w:rsidP="001946C8">
      <w:pPr>
        <w:spacing w:after="120"/>
        <w:jc w:val="both"/>
        <w:rPr>
          <w:lang w:val="pl" w:eastAsia="pl-PL"/>
        </w:rPr>
      </w:pPr>
      <w:r>
        <w:rPr>
          <w:lang w:val="pl" w:eastAsia="pl-PL"/>
        </w:rPr>
        <w:t>O</w:t>
      </w:r>
      <w:r w:rsidRPr="006D7CA9">
        <w:rPr>
          <w:lang w:val="pl" w:eastAsia="pl-PL"/>
        </w:rPr>
        <w:t xml:space="preserve">piekę długoterminową </w:t>
      </w:r>
      <w:r>
        <w:rPr>
          <w:lang w:val="pl" w:eastAsia="pl-PL"/>
        </w:rPr>
        <w:t>można traktować</w:t>
      </w:r>
      <w:r w:rsidRPr="006D7CA9">
        <w:rPr>
          <w:lang w:val="pl" w:eastAsia="pl-PL"/>
        </w:rPr>
        <w:t xml:space="preserve"> jako całokształt działań medycznych i społecznych polegających na świadczeniu długotrwałej opieki pielęgniarskiej, rehabilitacji, świadczeń terape</w:t>
      </w:r>
      <w:r>
        <w:rPr>
          <w:lang w:val="pl" w:eastAsia="pl-PL"/>
        </w:rPr>
        <w:t>utycznych i usług pielęgnacyjno-</w:t>
      </w:r>
      <w:r w:rsidRPr="006D7CA9">
        <w:rPr>
          <w:lang w:val="pl" w:eastAsia="pl-PL"/>
        </w:rPr>
        <w:t xml:space="preserve">opiekuńczych oraz kontynuacji leczenia farmakologicznego </w:t>
      </w:r>
      <w:r w:rsidRPr="006D7CA9">
        <w:rPr>
          <w:lang w:val="pl" w:eastAsia="pl-PL"/>
        </w:rPr>
        <w:lastRenderedPageBreak/>
        <w:t>i</w:t>
      </w:r>
      <w:r w:rsidR="005A5AE9">
        <w:rPr>
          <w:lang w:val="pl" w:eastAsia="pl-PL"/>
        </w:rPr>
        <w:t> </w:t>
      </w:r>
      <w:r w:rsidRPr="006D7CA9">
        <w:rPr>
          <w:lang w:val="pl" w:eastAsia="pl-PL"/>
        </w:rPr>
        <w:t>dietetycznego osobom przewlekle chorym i niesamodzielnym, które nie wymagają hospitalizacji w</w:t>
      </w:r>
      <w:r w:rsidR="005A5AE9">
        <w:rPr>
          <w:lang w:val="pl" w:eastAsia="pl-PL"/>
        </w:rPr>
        <w:t> </w:t>
      </w:r>
      <w:r w:rsidRPr="006D7CA9">
        <w:rPr>
          <w:lang w:val="pl" w:eastAsia="pl-PL"/>
        </w:rPr>
        <w:t>warunkach oddziału szpitalnego</w:t>
      </w:r>
      <w:r w:rsidRPr="00F751E2">
        <w:rPr>
          <w:rStyle w:val="Odwoanieprzypisudolnego"/>
          <w:color w:val="0070C0"/>
          <w:lang w:val="pl" w:eastAsia="pl-PL"/>
        </w:rPr>
        <w:footnoteReference w:id="44"/>
      </w:r>
      <w:r w:rsidRPr="006D7CA9">
        <w:rPr>
          <w:lang w:val="pl" w:eastAsia="pl-PL"/>
        </w:rPr>
        <w:t>.</w:t>
      </w:r>
    </w:p>
    <w:p w14:paraId="6A97C60A" w14:textId="77777777" w:rsidR="001946C8" w:rsidRDefault="001946C8" w:rsidP="001946C8">
      <w:pPr>
        <w:pStyle w:val="Nagwek5"/>
        <w:numPr>
          <w:ilvl w:val="2"/>
          <w:numId w:val="10"/>
        </w:numPr>
        <w:shd w:val="clear" w:color="auto" w:fill="DEEAF6" w:themeFill="accent1" w:themeFillTint="33"/>
        <w:ind w:left="1985" w:hanging="709"/>
      </w:pPr>
      <w:r w:rsidRPr="0041050A">
        <w:t>Opieka</w:t>
      </w:r>
      <w:r>
        <w:t xml:space="preserve"> stacjonarna</w:t>
      </w:r>
    </w:p>
    <w:p w14:paraId="5B956CC9" w14:textId="77777777" w:rsidR="001946C8" w:rsidRPr="0041050A" w:rsidRDefault="001946C8" w:rsidP="001946C8">
      <w:pPr>
        <w:pStyle w:val="Nagwek7"/>
      </w:pPr>
      <w:r w:rsidRPr="0041050A">
        <w:t>Zakres wsparcia</w:t>
      </w:r>
    </w:p>
    <w:p w14:paraId="0E7B3E3A" w14:textId="77777777" w:rsidR="001946C8" w:rsidRDefault="001946C8" w:rsidP="001946C8">
      <w:pPr>
        <w:spacing w:after="120"/>
        <w:jc w:val="both"/>
      </w:pPr>
      <w:r>
        <w:t>Obejmuje ona całodobowe świadczenie zdrowotne obejmujące swoim zakresem leczenie, pielęgnację i rehabilitację pacjentów, których celem jest rekonwalescencja i poprawa zdrowia pacjenta.</w:t>
      </w:r>
    </w:p>
    <w:p w14:paraId="290EFD6E" w14:textId="77777777" w:rsidR="001946C8" w:rsidRDefault="001946C8" w:rsidP="001946C8">
      <w:pPr>
        <w:spacing w:after="60"/>
        <w:jc w:val="both"/>
      </w:pPr>
      <w:r>
        <w:t>Całodobowe świadczenia pielęgnacyjno-opiekuńcze udzielane w ramach stacjonarnej opieki długoterminowej są udzielane w zakładach opiekuńczych, do których należą:</w:t>
      </w:r>
    </w:p>
    <w:p w14:paraId="3F1D2DF1" w14:textId="77777777" w:rsidR="001946C8" w:rsidRDefault="001946C8" w:rsidP="001946C8">
      <w:pPr>
        <w:numPr>
          <w:ilvl w:val="0"/>
          <w:numId w:val="6"/>
        </w:numPr>
        <w:spacing w:after="0" w:line="240" w:lineRule="auto"/>
        <w:ind w:left="567" w:hanging="283"/>
        <w:jc w:val="both"/>
      </w:pPr>
      <w:r>
        <w:t>zakłady opiekuńczo-lecznicze (ZOL);</w:t>
      </w:r>
    </w:p>
    <w:p w14:paraId="5D784D3E" w14:textId="77777777" w:rsidR="001946C8" w:rsidRDefault="001946C8" w:rsidP="005A5AE9">
      <w:pPr>
        <w:numPr>
          <w:ilvl w:val="0"/>
          <w:numId w:val="6"/>
        </w:numPr>
        <w:spacing w:before="120" w:after="120" w:line="240" w:lineRule="auto"/>
        <w:ind w:left="568" w:hanging="284"/>
        <w:jc w:val="both"/>
      </w:pPr>
      <w:r>
        <w:t>zakłady pielęgnacyjno-opiekuńcze (ZPO).</w:t>
      </w:r>
    </w:p>
    <w:p w14:paraId="6B38236E" w14:textId="41DB42C2" w:rsidR="001946C8" w:rsidRDefault="001946C8" w:rsidP="005A5AE9">
      <w:pPr>
        <w:spacing w:before="120" w:after="120"/>
        <w:jc w:val="both"/>
      </w:pPr>
      <w:r>
        <w:t>Świadczenia te obejmują również środki farmaceutyczne, materiały medyczne, sprzęt ortopedyczny i</w:t>
      </w:r>
      <w:r w:rsidR="005A5AE9">
        <w:t> </w:t>
      </w:r>
      <w:r>
        <w:t>rehabilitacyjny oraz pomoc w rozwiązywaniu problemów socjalnych, psychologicznych i</w:t>
      </w:r>
      <w:r w:rsidR="005A5AE9">
        <w:t> </w:t>
      </w:r>
      <w:r>
        <w:t>psychicznych</w:t>
      </w:r>
      <w:r w:rsidRPr="0041050A">
        <w:rPr>
          <w:color w:val="0070C0"/>
          <w:vertAlign w:val="superscript"/>
        </w:rPr>
        <w:footnoteReference w:id="45"/>
      </w:r>
      <w:r w:rsidRPr="0041050A">
        <w:rPr>
          <w:color w:val="0070C0"/>
          <w:vertAlign w:val="superscript"/>
        </w:rPr>
        <w:t>.</w:t>
      </w:r>
    </w:p>
    <w:p w14:paraId="63B41FFB" w14:textId="77777777" w:rsidR="001946C8" w:rsidRDefault="001946C8" w:rsidP="001946C8">
      <w:pPr>
        <w:spacing w:after="120"/>
        <w:jc w:val="both"/>
      </w:pPr>
      <w:r>
        <w:t>Zadaniem ZOL/ZPO jest okresowe objęcie całodobową pielęgnacją oraz kontynuacja leczenia osób przewlekle chorych, a także osób, które przebywały w szpitalu i u których ukończono proces diagnozowania, leczenia operacyjnego lub intensywnego leczenia zachowawczego.</w:t>
      </w:r>
    </w:p>
    <w:p w14:paraId="103BC51E" w14:textId="77777777" w:rsidR="001946C8" w:rsidRDefault="001946C8" w:rsidP="001946C8">
      <w:pPr>
        <w:spacing w:after="60"/>
        <w:jc w:val="both"/>
      </w:pPr>
      <w:r>
        <w:t>Świadczenia gwarantowane realizowane w ZOL/ZPO obejmują:</w:t>
      </w:r>
    </w:p>
    <w:p w14:paraId="6005B6B6" w14:textId="77777777" w:rsidR="001946C8" w:rsidRDefault="001946C8" w:rsidP="001946C8">
      <w:pPr>
        <w:numPr>
          <w:ilvl w:val="0"/>
          <w:numId w:val="3"/>
        </w:numPr>
        <w:spacing w:after="0" w:line="240" w:lineRule="auto"/>
        <w:ind w:left="568" w:hanging="284"/>
        <w:jc w:val="both"/>
      </w:pPr>
      <w:r>
        <w:t>świadczenia udzielane przez lekarza;</w:t>
      </w:r>
    </w:p>
    <w:p w14:paraId="563F4167" w14:textId="77777777" w:rsidR="001946C8" w:rsidRDefault="001946C8" w:rsidP="001946C8">
      <w:pPr>
        <w:numPr>
          <w:ilvl w:val="0"/>
          <w:numId w:val="3"/>
        </w:numPr>
        <w:spacing w:after="0" w:line="240" w:lineRule="auto"/>
        <w:ind w:left="568" w:hanging="284"/>
        <w:jc w:val="both"/>
      </w:pPr>
      <w:r>
        <w:t>świadczenia udzielane przez pielęgniarkę;</w:t>
      </w:r>
    </w:p>
    <w:p w14:paraId="53BCEBBA" w14:textId="77777777" w:rsidR="001946C8" w:rsidRDefault="001946C8" w:rsidP="001946C8">
      <w:pPr>
        <w:numPr>
          <w:ilvl w:val="0"/>
          <w:numId w:val="3"/>
        </w:numPr>
        <w:spacing w:after="0" w:line="240" w:lineRule="auto"/>
        <w:ind w:left="568" w:hanging="284"/>
        <w:jc w:val="both"/>
      </w:pPr>
      <w:r>
        <w:t>rehabilitację ogólną w podstawowym zakresie, prowadzoną w celu zmniejszenia skutków upośledzenia ruchowego oraz usprawnienia ruchowego;</w:t>
      </w:r>
    </w:p>
    <w:p w14:paraId="11AC1A36" w14:textId="77777777" w:rsidR="001946C8" w:rsidRDefault="001946C8" w:rsidP="001946C8">
      <w:pPr>
        <w:numPr>
          <w:ilvl w:val="0"/>
          <w:numId w:val="3"/>
        </w:numPr>
        <w:spacing w:after="0" w:line="240" w:lineRule="auto"/>
        <w:ind w:left="568" w:hanging="284"/>
        <w:jc w:val="both"/>
      </w:pPr>
      <w:r>
        <w:t>świadczenia psychologa;</w:t>
      </w:r>
    </w:p>
    <w:p w14:paraId="127642B7" w14:textId="77777777" w:rsidR="001946C8" w:rsidRDefault="001946C8" w:rsidP="001946C8">
      <w:pPr>
        <w:numPr>
          <w:ilvl w:val="0"/>
          <w:numId w:val="3"/>
        </w:numPr>
        <w:spacing w:after="0" w:line="240" w:lineRule="auto"/>
        <w:ind w:left="568" w:hanging="284"/>
        <w:jc w:val="both"/>
      </w:pPr>
      <w:r>
        <w:t>terapię zajęciową;</w:t>
      </w:r>
    </w:p>
    <w:p w14:paraId="5DEA29B1" w14:textId="77777777" w:rsidR="001946C8" w:rsidRDefault="001946C8" w:rsidP="001946C8">
      <w:pPr>
        <w:numPr>
          <w:ilvl w:val="0"/>
          <w:numId w:val="3"/>
        </w:numPr>
        <w:spacing w:after="0" w:line="240" w:lineRule="auto"/>
        <w:ind w:left="568" w:hanging="284"/>
        <w:jc w:val="both"/>
      </w:pPr>
      <w:r>
        <w:t>leczenie farmakologiczne;</w:t>
      </w:r>
    </w:p>
    <w:p w14:paraId="7B4E4284" w14:textId="77777777" w:rsidR="001946C8" w:rsidRDefault="001946C8" w:rsidP="001946C8">
      <w:pPr>
        <w:numPr>
          <w:ilvl w:val="0"/>
          <w:numId w:val="3"/>
        </w:numPr>
        <w:spacing w:after="0" w:line="240" w:lineRule="auto"/>
        <w:ind w:left="568" w:hanging="284"/>
        <w:jc w:val="both"/>
      </w:pPr>
      <w:r>
        <w:t>leczenie dietetyczne;</w:t>
      </w:r>
    </w:p>
    <w:p w14:paraId="045AAC48" w14:textId="77777777" w:rsidR="001946C8" w:rsidRDefault="001946C8" w:rsidP="001946C8">
      <w:pPr>
        <w:numPr>
          <w:ilvl w:val="0"/>
          <w:numId w:val="3"/>
        </w:numPr>
        <w:spacing w:after="0" w:line="240" w:lineRule="auto"/>
        <w:ind w:left="568" w:hanging="284"/>
        <w:jc w:val="both"/>
      </w:pPr>
      <w:r>
        <w:t>zaopatrzenie w wyroby medyczne;</w:t>
      </w:r>
    </w:p>
    <w:p w14:paraId="258FF00B" w14:textId="77777777" w:rsidR="001946C8" w:rsidRDefault="001946C8" w:rsidP="001946C8">
      <w:pPr>
        <w:numPr>
          <w:ilvl w:val="0"/>
          <w:numId w:val="3"/>
        </w:numPr>
        <w:spacing w:after="120" w:line="240" w:lineRule="auto"/>
        <w:ind w:left="568" w:hanging="284"/>
        <w:jc w:val="both"/>
      </w:pPr>
      <w:r>
        <w:t>edukację zdrowotną polegającą na przygotowaniu świadczeniobiorcy i jego rodziny lub opiekuna do samoopieki i samopielęgnacji w warunkach domowych.</w:t>
      </w:r>
    </w:p>
    <w:p w14:paraId="1DF89E14" w14:textId="77777777" w:rsidR="001946C8" w:rsidRDefault="001946C8" w:rsidP="001946C8">
      <w:pPr>
        <w:spacing w:after="120"/>
        <w:jc w:val="both"/>
      </w:pPr>
      <w:r>
        <w:t>Dodatkowo, w zakresie koniecznym do wykonania świadczeń gwarantowanych, świadczeniodawca zapewnia świadczeniobiorcy nieodpłatnie leki i badania diagnostyczne.</w:t>
      </w:r>
    </w:p>
    <w:p w14:paraId="65D53510" w14:textId="77777777" w:rsidR="001946C8" w:rsidRDefault="001946C8" w:rsidP="001946C8">
      <w:pPr>
        <w:spacing w:after="120"/>
        <w:jc w:val="both"/>
      </w:pPr>
      <w:r>
        <w:t>Świadczenia gwarantowane udzielane w ZOL/ZPO mogą być realizowane na rzecz świadczeniobiorców wymagających żywienia dojelitowego lub pozajelitowego bądź wentylacji mechanicznej przy pomocy respiratora.</w:t>
      </w:r>
    </w:p>
    <w:p w14:paraId="3F6191CF" w14:textId="77777777" w:rsidR="001946C8" w:rsidRDefault="001946C8" w:rsidP="001946C8">
      <w:pPr>
        <w:spacing w:after="120"/>
        <w:jc w:val="both"/>
      </w:pPr>
      <w:r>
        <w:t>W 2018 r. na terenie Polski łącznie 438 świadczeniodawców w ramach opieki długoterminowej udzielało świadczeń pielęgnacyjno-opiekuńczych w ZOL/ZPO (w stosunku do 422 podmiotów w 2015 r. i 2016 r. oraz 444 podmiotów w 2017 r.). Łączna liczba ZOL/ZPO w latach 2015–2018 przedstawia wykres 4.</w:t>
      </w:r>
    </w:p>
    <w:p w14:paraId="1D239ABA" w14:textId="77777777" w:rsidR="001946C8" w:rsidRDefault="001946C8" w:rsidP="001946C8">
      <w:pPr>
        <w:spacing w:after="120"/>
        <w:jc w:val="center"/>
        <w:rPr>
          <w:i/>
          <w:color w:val="0070C0"/>
        </w:rPr>
      </w:pPr>
      <w:r>
        <w:rPr>
          <w:i/>
          <w:color w:val="0070C0"/>
        </w:rPr>
        <w:lastRenderedPageBreak/>
        <w:t>Wykres 4.</w:t>
      </w:r>
      <w:r w:rsidRPr="0041050A">
        <w:rPr>
          <w:i/>
          <w:color w:val="0070C0"/>
        </w:rPr>
        <w:t xml:space="preserve"> Liczba świadczeniodawców </w:t>
      </w:r>
      <w:r w:rsidRPr="0041050A">
        <w:rPr>
          <w:i/>
          <w:color w:val="0070C0"/>
        </w:rPr>
        <w:br/>
        <w:t>opieki długoterminowej stacjonarnej (ZOL/ZPO) w latach 2015–2018</w:t>
      </w:r>
    </w:p>
    <w:p w14:paraId="79F393F4" w14:textId="77777777" w:rsidR="001946C8" w:rsidRPr="004F3B61" w:rsidRDefault="001946C8" w:rsidP="001946C8">
      <w:pPr>
        <w:spacing w:after="120"/>
        <w:jc w:val="center"/>
        <w:rPr>
          <w:iCs/>
          <w:color w:val="0070C0"/>
        </w:rPr>
      </w:pPr>
      <w:r>
        <w:rPr>
          <w:noProof/>
          <w:lang w:eastAsia="pl-PL"/>
        </w:rPr>
        <w:drawing>
          <wp:inline distT="0" distB="0" distL="0" distR="0" wp14:anchorId="5B06726B" wp14:editId="21604897">
            <wp:extent cx="4514850" cy="2305050"/>
            <wp:effectExtent l="0" t="0" r="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07FF54C" w14:textId="77777777" w:rsidR="001946C8" w:rsidRPr="0041050A" w:rsidRDefault="001946C8" w:rsidP="001946C8">
      <w:pPr>
        <w:jc w:val="center"/>
        <w:rPr>
          <w:sz w:val="20"/>
          <w:szCs w:val="20"/>
        </w:rPr>
      </w:pPr>
      <w:r w:rsidRPr="0041050A">
        <w:rPr>
          <w:sz w:val="16"/>
          <w:szCs w:val="16"/>
        </w:rPr>
        <w:t>Źródło: Dane NFZ.</w:t>
      </w:r>
    </w:p>
    <w:p w14:paraId="17F22F9E" w14:textId="77777777" w:rsidR="001946C8" w:rsidRDefault="001946C8" w:rsidP="001946C8">
      <w:r>
        <w:t>Liczba miejsc, którymi dysponowały ZOL/ZPO w dniu 31 grudnia 2018 r. przedstawia wykres 5.</w:t>
      </w:r>
    </w:p>
    <w:p w14:paraId="41196D0E" w14:textId="77777777" w:rsidR="001946C8" w:rsidRDefault="001946C8" w:rsidP="001946C8">
      <w:pPr>
        <w:jc w:val="center"/>
        <w:rPr>
          <w:i/>
          <w:color w:val="0070C0"/>
        </w:rPr>
      </w:pPr>
      <w:r>
        <w:rPr>
          <w:i/>
          <w:color w:val="0070C0"/>
        </w:rPr>
        <w:t>Wykres 5</w:t>
      </w:r>
      <w:r w:rsidRPr="0041050A">
        <w:rPr>
          <w:i/>
          <w:color w:val="0070C0"/>
        </w:rPr>
        <w:t>. Liczba miejsc stacjonarnych w ZOL/ZPO (w dniu 31 grudnia 2018 r.)</w:t>
      </w:r>
    </w:p>
    <w:p w14:paraId="077995D2" w14:textId="77777777" w:rsidR="001946C8" w:rsidRPr="004F3B61" w:rsidRDefault="001946C8" w:rsidP="001946C8">
      <w:pPr>
        <w:jc w:val="center"/>
        <w:rPr>
          <w:iCs/>
          <w:color w:val="0070C0"/>
        </w:rPr>
      </w:pPr>
      <w:r>
        <w:rPr>
          <w:noProof/>
          <w:lang w:eastAsia="pl-PL"/>
        </w:rPr>
        <w:drawing>
          <wp:inline distT="0" distB="0" distL="0" distR="0" wp14:anchorId="05CD9AE8" wp14:editId="3BBC65C9">
            <wp:extent cx="3514725" cy="2619375"/>
            <wp:effectExtent l="0" t="0" r="9525"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E7543B2" w14:textId="77777777" w:rsidR="001946C8" w:rsidRPr="0041050A" w:rsidRDefault="001946C8" w:rsidP="001946C8">
      <w:pPr>
        <w:jc w:val="center"/>
        <w:rPr>
          <w:sz w:val="16"/>
          <w:szCs w:val="16"/>
        </w:rPr>
      </w:pPr>
      <w:r w:rsidRPr="0041050A">
        <w:rPr>
          <w:sz w:val="16"/>
          <w:szCs w:val="16"/>
        </w:rPr>
        <w:t xml:space="preserve">Źródło: </w:t>
      </w:r>
      <w:r w:rsidRPr="0041050A">
        <w:rPr>
          <w:i/>
          <w:sz w:val="16"/>
          <w:szCs w:val="16"/>
        </w:rPr>
        <w:t>Biuletyn statystyczny Ministerstwa Zdrowia</w:t>
      </w:r>
      <w:r w:rsidRPr="0041050A">
        <w:rPr>
          <w:sz w:val="16"/>
          <w:szCs w:val="16"/>
        </w:rPr>
        <w:t xml:space="preserve"> wydany przez CSIOZ, Warszawa 2019.</w:t>
      </w:r>
    </w:p>
    <w:p w14:paraId="53B2FC86" w14:textId="77777777" w:rsidR="001946C8" w:rsidRDefault="001946C8" w:rsidP="001946C8">
      <w:pPr>
        <w:pStyle w:val="Nagwek7"/>
      </w:pPr>
      <w:r>
        <w:t>Grupa docelowa</w:t>
      </w:r>
    </w:p>
    <w:p w14:paraId="148E79FF" w14:textId="77777777" w:rsidR="001946C8" w:rsidRDefault="001946C8" w:rsidP="001946C8">
      <w:pPr>
        <w:spacing w:after="120"/>
        <w:jc w:val="both"/>
      </w:pPr>
      <w:r>
        <w:t>Osoby te, ze względu na stan zdrowia i niesprawność fizyczną, a także brak lub znaczne ograniczenie samodzielności w wykonywaniu podstawowych codziennych czynności, konieczność stałej kontroli lekarskiej, potrzebę profesjonalnej pielęgnacji oraz rehabilitację, wymagają całodobowej opieki.</w:t>
      </w:r>
    </w:p>
    <w:p w14:paraId="38EAF2E5" w14:textId="77777777" w:rsidR="001946C8" w:rsidRDefault="001946C8" w:rsidP="001946C8">
      <w:pPr>
        <w:spacing w:after="120"/>
        <w:jc w:val="both"/>
      </w:pPr>
      <w:r>
        <w:t>Świadczenia gwarantowane udzielane w warunkach stacjonarnych są udzielane świadczeniobiorcy wymagającemu ze względu na stan zdrowia całodobowych świadczeń pielęgnacyjnych i opiekuńczych, rehabilitacyjnych oraz kontynuacji leczenia, a nie wymagających hospitalizacji w oddziale szpitalnym, który w ocenie skalą poziomu samodzielności (tzw. skalą Barthel) otrzymał 40 punktów lub mniej.</w:t>
      </w:r>
    </w:p>
    <w:p w14:paraId="28750B11" w14:textId="77777777" w:rsidR="001946C8" w:rsidRDefault="001946C8" w:rsidP="001946C8">
      <w:pPr>
        <w:spacing w:after="120"/>
        <w:jc w:val="both"/>
      </w:pPr>
      <w:r>
        <w:t>Wspomaganie oddychania (wentylacja mechaniczna) w ZOL/ZPO dotyczy pacjentów z niewydolnością oddechową, którzy nie wymagają hospitalizacji w oddziałach intensywnej terapii, ale potrzebują ciągłej terapii oddechowej przy pomocy respiratora.</w:t>
      </w:r>
    </w:p>
    <w:p w14:paraId="2D3656C8" w14:textId="77777777" w:rsidR="001946C8" w:rsidRDefault="001946C8" w:rsidP="001946C8">
      <w:pPr>
        <w:spacing w:after="120"/>
        <w:jc w:val="both"/>
      </w:pPr>
      <w:r>
        <w:lastRenderedPageBreak/>
        <w:t>Żywienie dojelitowe i pozajelitowe w ZOL/ZPO dotyczy pacjentów, którzy z powodu braku możliwości podawania drogą naturalną diety kuchennej, wymagają długotrwałego (przewidywanego dłużej niż 30 dni) podawania substancji odżywczych w sposób inny niż doustnie.</w:t>
      </w:r>
    </w:p>
    <w:p w14:paraId="18ABF4B3" w14:textId="77777777" w:rsidR="001946C8" w:rsidRDefault="001946C8" w:rsidP="001946C8">
      <w:pPr>
        <w:spacing w:after="120"/>
        <w:jc w:val="both"/>
      </w:pPr>
      <w:r w:rsidRPr="00CB3D35">
        <w:rPr>
          <w:b/>
          <w:bCs/>
        </w:rPr>
        <w:t>Świadczenia pielęgnacyjno-opiekuńcze w ZOL/ZPO w skali całej Polski w 2018 r. zostały udzielone łącznie ok. 43 tys. pacjentów</w:t>
      </w:r>
      <w:r>
        <w:t>. Liczba pacjentów objętych opieką długoterminową w ZOL/ZPO w latach 2015–2018 przedstawia wykres 6.</w:t>
      </w:r>
    </w:p>
    <w:p w14:paraId="17D739CB" w14:textId="77777777" w:rsidR="001946C8" w:rsidRDefault="001946C8" w:rsidP="001946C8">
      <w:pPr>
        <w:jc w:val="center"/>
        <w:rPr>
          <w:i/>
          <w:color w:val="0070C0"/>
        </w:rPr>
      </w:pPr>
      <w:r>
        <w:rPr>
          <w:i/>
          <w:color w:val="0070C0"/>
        </w:rPr>
        <w:t>Wykres</w:t>
      </w:r>
      <w:r w:rsidRPr="0041050A">
        <w:rPr>
          <w:i/>
          <w:color w:val="0070C0"/>
        </w:rPr>
        <w:t xml:space="preserve"> </w:t>
      </w:r>
      <w:r>
        <w:rPr>
          <w:i/>
          <w:color w:val="0070C0"/>
        </w:rPr>
        <w:t>6.</w:t>
      </w:r>
      <w:r w:rsidRPr="0041050A">
        <w:rPr>
          <w:i/>
          <w:color w:val="0070C0"/>
        </w:rPr>
        <w:t xml:space="preserve"> Liczba pacjentów opieki długoterminowej </w:t>
      </w:r>
      <w:r w:rsidRPr="0041050A">
        <w:rPr>
          <w:i/>
          <w:color w:val="0070C0"/>
        </w:rPr>
        <w:br/>
      </w:r>
      <w:r>
        <w:rPr>
          <w:i/>
          <w:color w:val="0070C0"/>
        </w:rPr>
        <w:t xml:space="preserve">objętych opieką </w:t>
      </w:r>
      <w:r w:rsidRPr="0041050A">
        <w:rPr>
          <w:i/>
          <w:color w:val="0070C0"/>
        </w:rPr>
        <w:t>w trybie stacjonarnym (w ZOL/ZPO) w latach 2015–2018</w:t>
      </w:r>
    </w:p>
    <w:p w14:paraId="36D0CE27" w14:textId="77777777" w:rsidR="001946C8" w:rsidRPr="0041050A" w:rsidRDefault="001946C8" w:rsidP="001946C8">
      <w:pPr>
        <w:jc w:val="center"/>
        <w:rPr>
          <w:color w:val="0070C0"/>
        </w:rPr>
      </w:pPr>
      <w:r>
        <w:rPr>
          <w:noProof/>
          <w:lang w:eastAsia="pl-PL"/>
        </w:rPr>
        <w:drawing>
          <wp:inline distT="0" distB="0" distL="0" distR="0" wp14:anchorId="4599B001" wp14:editId="3401E3FD">
            <wp:extent cx="4667250" cy="2495550"/>
            <wp:effectExtent l="0" t="0" r="0"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3818ADC" w14:textId="77777777" w:rsidR="001946C8" w:rsidRPr="00B467AE" w:rsidRDefault="001946C8" w:rsidP="001946C8">
      <w:pPr>
        <w:jc w:val="center"/>
        <w:rPr>
          <w:sz w:val="16"/>
          <w:szCs w:val="16"/>
        </w:rPr>
      </w:pPr>
      <w:r w:rsidRPr="00B467AE">
        <w:rPr>
          <w:sz w:val="16"/>
          <w:szCs w:val="16"/>
        </w:rPr>
        <w:t>Źródło: dane NFZ.</w:t>
      </w:r>
    </w:p>
    <w:p w14:paraId="1BB8C17D" w14:textId="77777777" w:rsidR="001946C8" w:rsidRDefault="001946C8" w:rsidP="001946C8">
      <w:pPr>
        <w:spacing w:after="120"/>
        <w:jc w:val="both"/>
      </w:pPr>
      <w:r>
        <w:t>Największa liczba pacjentów przebywających w ZOL/ZPO została zanotowana w 2015 r., jednak w 2016 r. dość gwałtownie spadła (o ponad 2,5 tys. osób). Od 2017 r. znowu zaobserwowano wzrost liczby osób w tych placówkach.</w:t>
      </w:r>
    </w:p>
    <w:p w14:paraId="19E3884B" w14:textId="77777777" w:rsidR="001946C8" w:rsidRDefault="001946C8" w:rsidP="001946C8">
      <w:pPr>
        <w:pStyle w:val="Nagwek7"/>
      </w:pPr>
      <w:r>
        <w:t>Finansowanie</w:t>
      </w:r>
    </w:p>
    <w:p w14:paraId="48F05B58" w14:textId="77777777" w:rsidR="001946C8" w:rsidRDefault="001946C8" w:rsidP="001946C8">
      <w:pPr>
        <w:spacing w:after="120"/>
        <w:jc w:val="both"/>
      </w:pPr>
      <w:r>
        <w:t>Opieka długoterminowa finansowana jest ze środków Narodowego Funduszu Zdrowia (NFZ) (w zakresie świadczeń opieki zdrowotnej) i prywatnych (w zakresie pobytu pacjenta, tj. zakwaterowanie i wyżywienie).</w:t>
      </w:r>
    </w:p>
    <w:p w14:paraId="47ED1E5A" w14:textId="5BFCB03C" w:rsidR="001946C8" w:rsidRDefault="001946C8" w:rsidP="001946C8">
      <w:pPr>
        <w:spacing w:after="120"/>
        <w:jc w:val="both"/>
      </w:pPr>
      <w:r>
        <w:t>Łączny koszt świadczeń opieki długoterminowej w ZOL/ZPO w 2018 r. wyniósł ponad 750 mln zł. Koszt tych świadczeń w latach 2015–2018 przedstawia wykres 7.</w:t>
      </w:r>
    </w:p>
    <w:p w14:paraId="0801DE7E" w14:textId="4AC14271" w:rsidR="00CB3D35" w:rsidRDefault="00CB3D35" w:rsidP="001946C8">
      <w:pPr>
        <w:spacing w:after="120"/>
        <w:jc w:val="both"/>
      </w:pPr>
    </w:p>
    <w:p w14:paraId="731ECB81" w14:textId="7F7207A0" w:rsidR="00CB3D35" w:rsidRDefault="00CB3D35" w:rsidP="001946C8">
      <w:pPr>
        <w:spacing w:after="120"/>
        <w:jc w:val="both"/>
      </w:pPr>
    </w:p>
    <w:p w14:paraId="549B7764" w14:textId="77777777" w:rsidR="00CB3D35" w:rsidRDefault="00CB3D35" w:rsidP="001946C8">
      <w:pPr>
        <w:spacing w:after="120"/>
        <w:jc w:val="both"/>
      </w:pPr>
    </w:p>
    <w:p w14:paraId="6EB2454C" w14:textId="77777777" w:rsidR="001946C8" w:rsidRDefault="001946C8" w:rsidP="001946C8">
      <w:pPr>
        <w:spacing w:after="120"/>
        <w:jc w:val="center"/>
        <w:rPr>
          <w:i/>
          <w:color w:val="0070C0"/>
        </w:rPr>
      </w:pPr>
      <w:r>
        <w:rPr>
          <w:i/>
          <w:color w:val="0070C0"/>
        </w:rPr>
        <w:t>Wykres</w:t>
      </w:r>
      <w:r w:rsidRPr="00B467AE">
        <w:rPr>
          <w:i/>
          <w:color w:val="0070C0"/>
        </w:rPr>
        <w:t xml:space="preserve"> </w:t>
      </w:r>
      <w:r>
        <w:rPr>
          <w:i/>
          <w:color w:val="0070C0"/>
        </w:rPr>
        <w:t>7.</w:t>
      </w:r>
      <w:r w:rsidRPr="00B467AE">
        <w:rPr>
          <w:i/>
          <w:color w:val="0070C0"/>
        </w:rPr>
        <w:t xml:space="preserve"> Wartość rozliczonych świadczeń opieki długoterminowej </w:t>
      </w:r>
      <w:r w:rsidRPr="00B467AE">
        <w:rPr>
          <w:i/>
          <w:color w:val="0070C0"/>
        </w:rPr>
        <w:br/>
        <w:t>udzielonych w ZOL/ZPO w latach 2015–2018</w:t>
      </w:r>
    </w:p>
    <w:p w14:paraId="4819764F" w14:textId="77777777" w:rsidR="001946C8" w:rsidRPr="00B467AE" w:rsidRDefault="001946C8" w:rsidP="001946C8">
      <w:pPr>
        <w:spacing w:after="120"/>
        <w:jc w:val="center"/>
        <w:rPr>
          <w:color w:val="0070C0"/>
        </w:rPr>
      </w:pPr>
      <w:r>
        <w:rPr>
          <w:noProof/>
          <w:sz w:val="16"/>
          <w:szCs w:val="16"/>
          <w:lang w:eastAsia="pl-PL"/>
        </w:rPr>
        <w:lastRenderedPageBreak/>
        <w:drawing>
          <wp:inline distT="0" distB="0" distL="0" distR="0" wp14:anchorId="479441A4" wp14:editId="1DA71D87">
            <wp:extent cx="4924425" cy="2600325"/>
            <wp:effectExtent l="0" t="0" r="0" b="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3DC9EBA" w14:textId="77777777" w:rsidR="001946C8" w:rsidRPr="00B467AE" w:rsidRDefault="001946C8" w:rsidP="001946C8">
      <w:pPr>
        <w:jc w:val="center"/>
        <w:rPr>
          <w:sz w:val="16"/>
          <w:szCs w:val="16"/>
        </w:rPr>
      </w:pPr>
      <w:r w:rsidRPr="00B467AE">
        <w:rPr>
          <w:sz w:val="16"/>
          <w:szCs w:val="16"/>
        </w:rPr>
        <w:t>Źródło: Dane NFZ.</w:t>
      </w:r>
    </w:p>
    <w:p w14:paraId="11C1F9E0" w14:textId="77777777" w:rsidR="001946C8" w:rsidRDefault="001946C8" w:rsidP="001946C8">
      <w:pPr>
        <w:pStyle w:val="Nagwek5"/>
        <w:numPr>
          <w:ilvl w:val="2"/>
          <w:numId w:val="10"/>
        </w:numPr>
        <w:shd w:val="clear" w:color="auto" w:fill="DEEAF6" w:themeFill="accent1" w:themeFillTint="33"/>
        <w:ind w:left="1985" w:hanging="709"/>
      </w:pPr>
      <w:r w:rsidRPr="00B467AE">
        <w:t>Opieka</w:t>
      </w:r>
      <w:r>
        <w:t xml:space="preserve"> domowa</w:t>
      </w:r>
    </w:p>
    <w:p w14:paraId="599BB19B" w14:textId="77777777" w:rsidR="001946C8" w:rsidRPr="00B467AE" w:rsidRDefault="001946C8" w:rsidP="001946C8">
      <w:pPr>
        <w:pStyle w:val="Nagwek6"/>
        <w:numPr>
          <w:ilvl w:val="0"/>
          <w:numId w:val="23"/>
        </w:numPr>
        <w:ind w:left="2410" w:hanging="425"/>
        <w:rPr>
          <w:szCs w:val="20"/>
        </w:rPr>
      </w:pPr>
      <w:r w:rsidRPr="00B467AE">
        <w:t>Zespół długoterminowej opieki domowej</w:t>
      </w:r>
    </w:p>
    <w:p w14:paraId="44F98018" w14:textId="77777777" w:rsidR="001946C8" w:rsidRDefault="001946C8" w:rsidP="001946C8">
      <w:pPr>
        <w:pStyle w:val="Nagwek7"/>
      </w:pPr>
      <w:r>
        <w:t>Zakres wsparcia</w:t>
      </w:r>
    </w:p>
    <w:p w14:paraId="32B3EB11" w14:textId="77777777" w:rsidR="001946C8" w:rsidRDefault="001946C8" w:rsidP="001946C8">
      <w:pPr>
        <w:jc w:val="both"/>
      </w:pPr>
      <w:r>
        <w:t>Świadczenia pielęgnacyjne i opiekuńcze w ramach opieki długoterminowej udzielane przez zespół długoterminowej opieki domowej dla dorosłych, dzieci i młodzieży wentylowanych mechanicznie, składający się z lekarza, pielęgniarki i fizjoterapeuty.</w:t>
      </w:r>
    </w:p>
    <w:p w14:paraId="3B4DB68E" w14:textId="77777777" w:rsidR="001946C8" w:rsidRDefault="001946C8" w:rsidP="001946C8">
      <w:pPr>
        <w:jc w:val="both"/>
      </w:pPr>
      <w:r>
        <w:t>W ramach wspomagania oddychania (wentylacja mechaniczna) w warunkach domowych prowadzona jest terapia inwazyjna (za pomocą respiratora – przez rurkę tracheotomijną), bądź terapia nieinwazyjna (za pomocą ustników, masek i kasków).</w:t>
      </w:r>
    </w:p>
    <w:p w14:paraId="2F613516" w14:textId="77777777" w:rsidR="001946C8" w:rsidRDefault="001946C8" w:rsidP="001946C8">
      <w:pPr>
        <w:jc w:val="both"/>
      </w:pPr>
      <w:r>
        <w:t>Do obowiązków zespołu długoterminowej opieki domowej dla dorosłych, dzieci i młodzieży wentylowanych mechanicznie, należy wyposażenie świadczeniobiorców w niezbędny sprzęt (m.in. respirator, ssak itp.) oraz stworzenie chorym i ich opiekunom poczucia bezpieczeństwa poprzez zabezpieczenie dostępu do świadczeń opieki zdrowotnej przez 24h na dobę we wszystkie dni w tygodniu.</w:t>
      </w:r>
    </w:p>
    <w:p w14:paraId="3F3E5C1E" w14:textId="77777777" w:rsidR="001946C8" w:rsidRDefault="001946C8" w:rsidP="001946C8">
      <w:pPr>
        <w:jc w:val="both"/>
      </w:pPr>
      <w:r>
        <w:t>W sytuacjach wymagających nagłej konsultacji, lekarz i pielęgniarka dostępni są pod telefonem. Chory pozostaje pod obserwacją, ma zapewnione badania diagnostyczne konieczne do właściwej realizacji terapii w domu. Świadczenia te są udzielane na podstawie skierowania lekarza ubezpieczenia zdrowotnego, do którego dołącza się: kartę informacyjną leczenia szpitalnego, wyniki badań pacjenta oraz kwalifikację do objęcia opieką w warunkach domowych.</w:t>
      </w:r>
    </w:p>
    <w:p w14:paraId="5660BD8B" w14:textId="77777777" w:rsidR="001946C8" w:rsidRDefault="001946C8" w:rsidP="001946C8">
      <w:pPr>
        <w:pStyle w:val="Nagwek7"/>
      </w:pPr>
      <w:r>
        <w:t>Grupa docelowa</w:t>
      </w:r>
    </w:p>
    <w:p w14:paraId="585464BF" w14:textId="341B7B23" w:rsidR="001946C8" w:rsidRDefault="001946C8" w:rsidP="001946C8">
      <w:pPr>
        <w:jc w:val="both"/>
      </w:pPr>
      <w:r>
        <w:t>Świadczenia te są udzielane pacjentom z przewlekłą niewydolnością oddechową, wymagającym stosowania inwazyjnej bądź nieinwazyjnej, ciągłej lub okresowej wentylacji mechanicznej, a</w:t>
      </w:r>
      <w:r w:rsidR="003B5EDA">
        <w:t> </w:t>
      </w:r>
      <w:r>
        <w:t>niewymagającym hospitalizacji w oddziałach intensywnej terapii lub pobytu w zakładach udzielających całodobowych świadczeń, jednak wymagającym stałego specjalistycznego nadzoru lekarza, profesjonalnej pielęgnacji i rehabilitacji, którzy jednocześnie mają zapewnione odpowiednie warunki domowe i przeszkoloną rodzinę (opiekunów prawnych) w zakresie pielęgnacji i obsługi aparatury medycznej i udzielania pierwszej pomocy, tak aby podczas stosowania terapii mogło być zapewnione bezpieczeństwo świadczeniobiorcy.</w:t>
      </w:r>
    </w:p>
    <w:p w14:paraId="38A9D8C4" w14:textId="77777777" w:rsidR="001946C8" w:rsidRDefault="001946C8" w:rsidP="001946C8">
      <w:pPr>
        <w:jc w:val="both"/>
      </w:pPr>
      <w:r>
        <w:lastRenderedPageBreak/>
        <w:t>Świadczenia zespołu długoterminowej opieki domowej w skali całej Polski w 2018 r. zostały udzielone łącznie niemal 6,8 tys. pacjentom, w tym ponad 6,2 tys. dorosłych pacjentów (w szczególności osobom starszym).</w:t>
      </w:r>
    </w:p>
    <w:p w14:paraId="66EDA7D3" w14:textId="77777777" w:rsidR="001946C8" w:rsidRDefault="001946C8" w:rsidP="001946C8">
      <w:pPr>
        <w:pStyle w:val="Nagwek7"/>
      </w:pPr>
      <w:r>
        <w:t>Finansowanie</w:t>
      </w:r>
    </w:p>
    <w:p w14:paraId="464C3493" w14:textId="77777777" w:rsidR="001946C8" w:rsidRDefault="001946C8" w:rsidP="001946C8">
      <w:pPr>
        <w:spacing w:after="120"/>
        <w:jc w:val="both"/>
      </w:pPr>
      <w:r>
        <w:t>Łączny koszt świadczeń zespołu długoterminowej opieki domowej w 2018 r. wyniósł ponad 200 mln zł, w tym ponad 174 mln dla dorosłych pacjentów.</w:t>
      </w:r>
    </w:p>
    <w:p w14:paraId="7489CCF5" w14:textId="77777777" w:rsidR="001946C8" w:rsidRDefault="001946C8" w:rsidP="001946C8">
      <w:pPr>
        <w:jc w:val="both"/>
      </w:pPr>
      <w:r>
        <w:t>W ostatnich latach w skali całego kraju obserwuje się tendencję wzrostową wydatków publicznych na świadczenia opieki długoterminowej domowej.</w:t>
      </w:r>
    </w:p>
    <w:p w14:paraId="6588BFDF" w14:textId="77777777" w:rsidR="001946C8" w:rsidRPr="00B467AE" w:rsidRDefault="001946C8" w:rsidP="001946C8">
      <w:pPr>
        <w:pStyle w:val="Nagwek6"/>
        <w:numPr>
          <w:ilvl w:val="0"/>
          <w:numId w:val="23"/>
        </w:numPr>
        <w:ind w:left="2410" w:hanging="425"/>
      </w:pPr>
      <w:r w:rsidRPr="00B467AE">
        <w:t>Pielęgniarska opieka długoterminowa domowa</w:t>
      </w:r>
    </w:p>
    <w:p w14:paraId="4A35CB5E" w14:textId="77777777" w:rsidR="001946C8" w:rsidRDefault="001946C8" w:rsidP="001946C8">
      <w:pPr>
        <w:pStyle w:val="Nagwek7"/>
      </w:pPr>
      <w:r>
        <w:t>Zakres wsparcia</w:t>
      </w:r>
    </w:p>
    <w:p w14:paraId="0CC7AA92" w14:textId="77777777" w:rsidR="001946C8" w:rsidRDefault="001946C8" w:rsidP="001946C8">
      <w:pPr>
        <w:spacing w:after="60"/>
        <w:jc w:val="both"/>
      </w:pPr>
      <w:r>
        <w:t>Świadczenia pielęgniarskiej opieki długoterminowej domowej nad osobami obłożnie i przewlekle chorymi przebywającymi w domu, obejmujące:</w:t>
      </w:r>
    </w:p>
    <w:p w14:paraId="62E75936" w14:textId="77777777" w:rsidR="001946C8" w:rsidRDefault="001946C8" w:rsidP="001946C8">
      <w:pPr>
        <w:numPr>
          <w:ilvl w:val="0"/>
          <w:numId w:val="4"/>
        </w:numPr>
        <w:spacing w:after="60" w:line="240" w:lineRule="auto"/>
        <w:ind w:left="567" w:hanging="283"/>
        <w:contextualSpacing/>
        <w:jc w:val="both"/>
      </w:pPr>
      <w:r>
        <w:t>świadczenia udzielane przez pielęgniarkę;</w:t>
      </w:r>
    </w:p>
    <w:p w14:paraId="605652F8" w14:textId="77777777" w:rsidR="001946C8" w:rsidRDefault="001946C8" w:rsidP="001946C8">
      <w:pPr>
        <w:numPr>
          <w:ilvl w:val="0"/>
          <w:numId w:val="4"/>
        </w:numPr>
        <w:spacing w:after="60" w:line="240" w:lineRule="auto"/>
        <w:ind w:left="567" w:hanging="283"/>
        <w:contextualSpacing/>
        <w:jc w:val="both"/>
      </w:pPr>
      <w:r>
        <w:t>przygotowanie pacjenta i jego rodziny do samoopieki i samopielęgnacji (m.in. nauka radzenia sobie z niesprawnością);</w:t>
      </w:r>
    </w:p>
    <w:p w14:paraId="6AB9D293" w14:textId="77777777" w:rsidR="001946C8" w:rsidRDefault="001946C8" w:rsidP="001946C8">
      <w:pPr>
        <w:numPr>
          <w:ilvl w:val="0"/>
          <w:numId w:val="4"/>
        </w:numPr>
        <w:spacing w:after="60" w:line="240" w:lineRule="auto"/>
        <w:ind w:left="567" w:hanging="283"/>
        <w:contextualSpacing/>
        <w:jc w:val="both"/>
      </w:pPr>
      <w:r>
        <w:t>świadczenia pielęgnacyjne, zgodnie z procesem pielęgnowania;</w:t>
      </w:r>
    </w:p>
    <w:p w14:paraId="75D0537A" w14:textId="77777777" w:rsidR="001946C8" w:rsidRDefault="001946C8" w:rsidP="001946C8">
      <w:pPr>
        <w:numPr>
          <w:ilvl w:val="0"/>
          <w:numId w:val="4"/>
        </w:numPr>
        <w:spacing w:after="60" w:line="240" w:lineRule="auto"/>
        <w:ind w:left="567" w:hanging="283"/>
        <w:contextualSpacing/>
        <w:jc w:val="both"/>
      </w:pPr>
      <w:r>
        <w:t>edukację zdrowotną;</w:t>
      </w:r>
    </w:p>
    <w:p w14:paraId="541F55BF" w14:textId="77777777" w:rsidR="001946C8" w:rsidRDefault="001946C8" w:rsidP="001946C8">
      <w:pPr>
        <w:numPr>
          <w:ilvl w:val="0"/>
          <w:numId w:val="4"/>
        </w:numPr>
        <w:spacing w:after="60" w:line="240" w:lineRule="auto"/>
        <w:ind w:left="567" w:hanging="283"/>
        <w:contextualSpacing/>
        <w:jc w:val="both"/>
      </w:pPr>
      <w:r>
        <w:t>pomoc w rozwiązywaniu problemów zdrowotnych związanych z samodzielnym funkcjonowaniem w środowisku domowym;</w:t>
      </w:r>
    </w:p>
    <w:p w14:paraId="512965EA" w14:textId="77777777" w:rsidR="001946C8" w:rsidRDefault="001946C8" w:rsidP="001946C8">
      <w:pPr>
        <w:numPr>
          <w:ilvl w:val="0"/>
          <w:numId w:val="4"/>
        </w:numPr>
        <w:spacing w:after="120" w:line="240" w:lineRule="auto"/>
        <w:ind w:left="568" w:hanging="284"/>
        <w:jc w:val="both"/>
      </w:pPr>
      <w:r>
        <w:t>pomoc w pozyskiwaniu sprzętu medycznego i rehabilitacyjnego niezbędnego do właściwej pielęgnacji i rehabilitacji chorego w domu.</w:t>
      </w:r>
    </w:p>
    <w:p w14:paraId="3C37A091" w14:textId="4E2F805C" w:rsidR="001946C8" w:rsidRDefault="001946C8" w:rsidP="001946C8">
      <w:pPr>
        <w:jc w:val="both"/>
      </w:pPr>
      <w:r>
        <w:t>Wizyty pielęgniarskie realizowane są od poniedziałku do piątku w godzinach od 8:00 do 20:00, a</w:t>
      </w:r>
      <w:r w:rsidR="003B5EDA">
        <w:t> </w:t>
      </w:r>
      <w:r>
        <w:t>w</w:t>
      </w:r>
      <w:r w:rsidR="003B5EDA">
        <w:t> </w:t>
      </w:r>
      <w:r>
        <w:t>soboty i dni ustawowo wolne od pracy – w medycznie uzasadnionych przypadkach. Po godzinie 20:00 do godz. 8:00 rano dnia następnego, świadczenia pielęgniarskie wynikające z zachowania ciągłości procesu leczenia i pielęgnacji zapewnia w ramach sprawowanej opieki świadczeniodawca realizujący umowę w zakresie nocnej i świątecznej opieki zdrowotnej.</w:t>
      </w:r>
    </w:p>
    <w:p w14:paraId="3D17BD5B" w14:textId="77777777" w:rsidR="001946C8" w:rsidRDefault="001946C8" w:rsidP="001946C8">
      <w:pPr>
        <w:pStyle w:val="Nagwek7"/>
      </w:pPr>
      <w:r>
        <w:t>Grupa docelowa</w:t>
      </w:r>
    </w:p>
    <w:p w14:paraId="52C82E5D" w14:textId="5D48ACEF" w:rsidR="001946C8" w:rsidRDefault="001946C8" w:rsidP="001946C8">
      <w:pPr>
        <w:jc w:val="both"/>
      </w:pPr>
      <w:r>
        <w:t>Świadczeniami tymi mogą być objęci pacjenci, którzy nie wymagają leczenia w warunkach stacjonarnych, jednak ze względu na istniejące problemy zdrowotne potrzebują systematycznej i</w:t>
      </w:r>
      <w:r w:rsidR="003B5EDA">
        <w:t> </w:t>
      </w:r>
      <w:r>
        <w:t>intensywnej opieki pielęgniarskiej w warunkach domowych, a jednocześnie mają zapewnione odpowiednie warunki domowe i rodzinę/opiekunów prawnych przeszkolonych w zakresie pielęgnacji i obsługi aparatury medycznej oraz udzielania pierwszej pomocy, tak aby podczas stosowania terapii mogło być zapewnione bezpieczeństwo świadczeniobiorcy.</w:t>
      </w:r>
    </w:p>
    <w:p w14:paraId="64A78B9C" w14:textId="77777777" w:rsidR="001946C8" w:rsidRDefault="001946C8" w:rsidP="001946C8">
      <w:pPr>
        <w:spacing w:after="60"/>
        <w:jc w:val="both"/>
      </w:pPr>
      <w:r>
        <w:t>Do opieki tej mogą być zakwalifikowani pacjenci, którzy:</w:t>
      </w:r>
    </w:p>
    <w:p w14:paraId="0AA3DA1C" w14:textId="77777777" w:rsidR="001946C8" w:rsidRDefault="001946C8" w:rsidP="001946C8">
      <w:pPr>
        <w:numPr>
          <w:ilvl w:val="0"/>
          <w:numId w:val="5"/>
        </w:numPr>
        <w:spacing w:after="60" w:line="240" w:lineRule="auto"/>
        <w:ind w:left="567" w:hanging="283"/>
        <w:jc w:val="both"/>
      </w:pPr>
      <w:r>
        <w:t>w ocenie skalą Barthel otrzymali 40 punktów lub mniej;</w:t>
      </w:r>
    </w:p>
    <w:p w14:paraId="4AF31001" w14:textId="77777777" w:rsidR="001946C8" w:rsidRDefault="001946C8" w:rsidP="001946C8">
      <w:pPr>
        <w:numPr>
          <w:ilvl w:val="0"/>
          <w:numId w:val="5"/>
        </w:numPr>
        <w:spacing w:after="60" w:line="240" w:lineRule="auto"/>
        <w:ind w:left="567" w:hanging="283"/>
        <w:jc w:val="both"/>
      </w:pPr>
      <w:r>
        <w:t>nie korzystają w tym samym czasie z domowej opieki dla pacjentów wentylowanych mechanicznie, hospicjum domowego, stacjonarnego zakładu opiekuńczego (opiekuńczo-leczniczego lub pielęgnacyjno-opiekuńczego);</w:t>
      </w:r>
    </w:p>
    <w:p w14:paraId="69B9DA2A" w14:textId="77777777" w:rsidR="001946C8" w:rsidRDefault="001946C8" w:rsidP="001946C8">
      <w:pPr>
        <w:numPr>
          <w:ilvl w:val="0"/>
          <w:numId w:val="5"/>
        </w:numPr>
        <w:spacing w:after="120" w:line="240" w:lineRule="auto"/>
        <w:ind w:left="568" w:hanging="284"/>
        <w:jc w:val="both"/>
      </w:pPr>
      <w:r>
        <w:t>nie są w ostrej fazie choroby psychicznej.</w:t>
      </w:r>
    </w:p>
    <w:p w14:paraId="19F37B5D" w14:textId="77777777" w:rsidR="001946C8" w:rsidRDefault="001946C8" w:rsidP="001946C8">
      <w:pPr>
        <w:spacing w:after="60"/>
        <w:jc w:val="both"/>
      </w:pPr>
      <w:r w:rsidRPr="003B5EDA">
        <w:rPr>
          <w:b/>
          <w:bCs/>
        </w:rPr>
        <w:t xml:space="preserve">Świadczenia pielęgniarskiej opieki długoterminowej domowej w skali całej Polski w 2018 r. </w:t>
      </w:r>
      <w:r>
        <w:t xml:space="preserve">zostały udzielone łącznie niemal </w:t>
      </w:r>
      <w:r w:rsidRPr="003B5EDA">
        <w:rPr>
          <w:b/>
          <w:bCs/>
        </w:rPr>
        <w:t>62 tys. pacjentów</w:t>
      </w:r>
      <w:r>
        <w:t xml:space="preserve"> (517 osobom na 100 tys. mieszkańców).</w:t>
      </w:r>
    </w:p>
    <w:p w14:paraId="2CD06D29" w14:textId="77777777" w:rsidR="001946C8" w:rsidRDefault="001946C8" w:rsidP="001946C8">
      <w:pPr>
        <w:pStyle w:val="Nagwek7"/>
      </w:pPr>
      <w:r>
        <w:lastRenderedPageBreak/>
        <w:t>Finansowanie</w:t>
      </w:r>
    </w:p>
    <w:p w14:paraId="52F89795" w14:textId="77777777" w:rsidR="001946C8" w:rsidRDefault="001946C8" w:rsidP="001946C8">
      <w:pPr>
        <w:spacing w:after="120"/>
        <w:jc w:val="both"/>
      </w:pPr>
      <w:r>
        <w:t>Łączny koszt tych świadczeń w 2018 r. wyniósł niemal 370 mln zł.</w:t>
      </w:r>
    </w:p>
    <w:p w14:paraId="25DC193B" w14:textId="6B401151" w:rsidR="001946C8" w:rsidRDefault="001946C8" w:rsidP="001946C8">
      <w:pPr>
        <w:jc w:val="both"/>
      </w:pPr>
      <w:r>
        <w:t xml:space="preserve">W ostatnich latach w skali całego kraju obserwuje się tendencję wzrostową wydatków publicznych na świadczenia </w:t>
      </w:r>
      <w:r w:rsidRPr="009D17D0">
        <w:t>pielęgniarskiej opieki długoterminowej domowej</w:t>
      </w:r>
      <w:r>
        <w:t>.</w:t>
      </w:r>
    </w:p>
    <w:p w14:paraId="07C0A7B5" w14:textId="77777777" w:rsidR="001946C8" w:rsidRPr="00BC0888" w:rsidRDefault="001946C8" w:rsidP="001946C8">
      <w:pPr>
        <w:pStyle w:val="Nagwek5"/>
        <w:numPr>
          <w:ilvl w:val="2"/>
          <w:numId w:val="10"/>
        </w:numPr>
        <w:shd w:val="clear" w:color="auto" w:fill="DEEAF6" w:themeFill="accent1" w:themeFillTint="33"/>
        <w:ind w:left="1985" w:hanging="709"/>
      </w:pPr>
      <w:r w:rsidRPr="00BC0888">
        <w:t>Opieka dzienna</w:t>
      </w:r>
    </w:p>
    <w:p w14:paraId="04EE71DF" w14:textId="77777777" w:rsidR="001946C8" w:rsidRDefault="001946C8" w:rsidP="001946C8">
      <w:pPr>
        <w:pStyle w:val="Nagwek7"/>
      </w:pPr>
      <w:r>
        <w:t>Zakres wsparcia</w:t>
      </w:r>
    </w:p>
    <w:p w14:paraId="4A932472" w14:textId="6B1097EE" w:rsidR="001946C8" w:rsidRDefault="001946C8" w:rsidP="001946C8">
      <w:pPr>
        <w:spacing w:after="120"/>
        <w:jc w:val="both"/>
      </w:pPr>
      <w:r>
        <w:t xml:space="preserve">Pilotażowe wdrożenie i przetestowanie standardu Dziennego Domu Opieki Medycznej (DDOM) zostało sfinansowane ze środków Europejskiego Funduszu Społecznego (EFS) w </w:t>
      </w:r>
      <w:r w:rsidR="00CB3D35">
        <w:t>projektach wybranych w </w:t>
      </w:r>
      <w:r>
        <w:t>wyniku konkursu ogłoszonego w 2015 r. w ramach Programu Operacyjnego Wiedza Edukacja Rozwój (PO WER).</w:t>
      </w:r>
    </w:p>
    <w:p w14:paraId="09E9F83E" w14:textId="2CE0C9D9" w:rsidR="001946C8" w:rsidRDefault="001946C8" w:rsidP="001946C8">
      <w:pPr>
        <w:spacing w:after="120"/>
        <w:jc w:val="both"/>
      </w:pPr>
      <w:r>
        <w:t>Beneficjenci projekt</w:t>
      </w:r>
      <w:r w:rsidR="00CB3D35">
        <w:t>ów</w:t>
      </w:r>
      <w:r>
        <w:t xml:space="preserve"> prowadzili DDOM zgodnie ze opracowanym standardem, udzielając pacjentom świadczeń zdrowotnych o charakterze rehabilitacyjno-opiekuńczymi, zapewniając wymagany skład zespołu terapeutycznego.</w:t>
      </w:r>
    </w:p>
    <w:p w14:paraId="6FE5194B" w14:textId="77777777" w:rsidR="001946C8" w:rsidRDefault="001946C8" w:rsidP="001946C8">
      <w:pPr>
        <w:spacing w:after="60"/>
        <w:jc w:val="both"/>
      </w:pPr>
      <w:r>
        <w:t>Podstawowym celem opieki udzielanej w DDOM jest zapobieganie wtórnym hospitalizacjom pacjentów. DDOM zapewnia opiekę medyczną połączoną z kontynuacją terapii i procesem usprawniania w zakresie funkcjonalnym oraz procesów poznawczych. Do podstawowych kategorii świadczeń zdrowotnych realizowanych w ramach domu opieki medycznej należą:</w:t>
      </w:r>
    </w:p>
    <w:p w14:paraId="430849FB" w14:textId="77777777" w:rsidR="001946C8" w:rsidRDefault="001946C8" w:rsidP="001946C8">
      <w:pPr>
        <w:numPr>
          <w:ilvl w:val="0"/>
          <w:numId w:val="12"/>
        </w:numPr>
        <w:spacing w:after="0" w:line="240" w:lineRule="auto"/>
        <w:ind w:left="567" w:hanging="283"/>
        <w:jc w:val="both"/>
      </w:pPr>
      <w:r>
        <w:t>opieka pielęgniarska, w tym edukacja pacjenta dotycząca samoopieki i samopielęgnacji;</w:t>
      </w:r>
    </w:p>
    <w:p w14:paraId="300B0637" w14:textId="77777777" w:rsidR="001946C8" w:rsidRDefault="001946C8" w:rsidP="001946C8">
      <w:pPr>
        <w:numPr>
          <w:ilvl w:val="0"/>
          <w:numId w:val="12"/>
        </w:numPr>
        <w:spacing w:after="0" w:line="240" w:lineRule="auto"/>
        <w:ind w:left="567" w:hanging="283"/>
        <w:jc w:val="both"/>
      </w:pPr>
      <w:r>
        <w:t>doradztwo w doborze odpowiednich wyrobów medycznych;</w:t>
      </w:r>
    </w:p>
    <w:p w14:paraId="31FA3244" w14:textId="77777777" w:rsidR="001946C8" w:rsidRDefault="001946C8" w:rsidP="001946C8">
      <w:pPr>
        <w:numPr>
          <w:ilvl w:val="0"/>
          <w:numId w:val="12"/>
        </w:numPr>
        <w:spacing w:after="0" w:line="240" w:lineRule="auto"/>
        <w:ind w:left="567" w:hanging="283"/>
        <w:jc w:val="both"/>
      </w:pPr>
      <w:r>
        <w:t>usprawnianie ruchowe;</w:t>
      </w:r>
    </w:p>
    <w:p w14:paraId="66671CB7" w14:textId="77777777" w:rsidR="001946C8" w:rsidRDefault="001946C8" w:rsidP="001946C8">
      <w:pPr>
        <w:numPr>
          <w:ilvl w:val="0"/>
          <w:numId w:val="12"/>
        </w:numPr>
        <w:spacing w:after="0" w:line="240" w:lineRule="auto"/>
        <w:ind w:left="567" w:hanging="283"/>
        <w:jc w:val="both"/>
      </w:pPr>
      <w:r>
        <w:t>stymulacja procesów poznawczych;</w:t>
      </w:r>
    </w:p>
    <w:p w14:paraId="1CC5734C" w14:textId="77777777" w:rsidR="001946C8" w:rsidRDefault="001946C8" w:rsidP="001946C8">
      <w:pPr>
        <w:numPr>
          <w:ilvl w:val="0"/>
          <w:numId w:val="12"/>
        </w:numPr>
        <w:spacing w:after="0" w:line="240" w:lineRule="auto"/>
        <w:ind w:left="567" w:hanging="283"/>
        <w:jc w:val="both"/>
      </w:pPr>
      <w:r>
        <w:t>terapia zajęciowa;</w:t>
      </w:r>
    </w:p>
    <w:p w14:paraId="5DE4E3C7" w14:textId="77777777" w:rsidR="001946C8" w:rsidRDefault="001946C8" w:rsidP="001946C8">
      <w:pPr>
        <w:numPr>
          <w:ilvl w:val="0"/>
          <w:numId w:val="12"/>
        </w:numPr>
        <w:spacing w:after="120" w:line="240" w:lineRule="auto"/>
        <w:ind w:left="568" w:hanging="284"/>
        <w:jc w:val="both"/>
      </w:pPr>
      <w:r>
        <w:t>przygotowanie rodziny i opiekunów pacjenta do kontynuacji opieki (działania edukacyjne).</w:t>
      </w:r>
    </w:p>
    <w:p w14:paraId="310339D6" w14:textId="77777777" w:rsidR="001946C8" w:rsidRDefault="001946C8" w:rsidP="001946C8">
      <w:pPr>
        <w:spacing w:after="120"/>
        <w:jc w:val="both"/>
      </w:pPr>
      <w:r>
        <w:t>Dla pacjentów korzystających z DDOM, w zależności od potrzeb, zapewnia się także badania diagnostyczne, konsultacje specjalistyczne, badania laboratoryjne oraz materiały medyczne dostosowane do potrzeb pacjenta. Usprawnianie pacjentów odbywa się poprzez zajęcia rehabilitacyjne, terapię zajęciową, porady psychologiczne, logopedyczne, dietetyczne oraz minimalizację polipragmazji. Pacjenci pozostają pod stałym nadzorem lekarskim oraz pielęgniarskim.</w:t>
      </w:r>
    </w:p>
    <w:p w14:paraId="63CE99D6" w14:textId="77777777" w:rsidR="001946C8" w:rsidRDefault="001946C8" w:rsidP="001946C8">
      <w:pPr>
        <w:spacing w:after="120"/>
        <w:jc w:val="both"/>
      </w:pPr>
      <w:r>
        <w:t>Poza świadczeniami opieki zdrowotnej pacjentom przebywającym w DDOM zapewnione są odpowiednie do stanu zdrowia wyżywienie, prowadzone są zajęcia dodatkowe, pozwalające na zagospodarowanie czasu wolnego pomiędzy udzielanymi świadczeniami zdrowotnymi oraz w razie potrzeby bezpłatny transport z miejsca zamieszkania do DDOM i powrót do miejsca zamieszkania.</w:t>
      </w:r>
    </w:p>
    <w:p w14:paraId="07F09172" w14:textId="77777777" w:rsidR="001946C8" w:rsidRDefault="001946C8" w:rsidP="001946C8">
      <w:pPr>
        <w:spacing w:after="120"/>
        <w:jc w:val="both"/>
      </w:pPr>
      <w:r>
        <w:t>Każdy z DDOM dysponuje 10-15 miejscami dla pacjentów</w:t>
      </w:r>
      <w:r>
        <w:rPr>
          <w:rStyle w:val="Odwoanieprzypisudolnego"/>
        </w:rPr>
        <w:footnoteReference w:id="46"/>
      </w:r>
      <w:r>
        <w:t>, a czas pobytu pacjenta w DDOM wynosi od 30 do 120 dni roboczych. DDOM funkcjonuje przez cały rok, we wszystkie dni robocze, co najmniej 8 godzin dziennie, w godzinach dostosowanych do potrzeb pacjentów i ich 7 rodzin. Czas trwania pobytu w DDOM jest ustalany indywidualnie przez zespół terapeutyczny i nie może być krótszy niż 30 dni roboczych i dłuższy niż 120 dni roboczych.</w:t>
      </w:r>
    </w:p>
    <w:p w14:paraId="330868B4" w14:textId="77777777" w:rsidR="001946C8" w:rsidRDefault="001946C8" w:rsidP="001946C8">
      <w:pPr>
        <w:spacing w:after="120"/>
        <w:jc w:val="both"/>
      </w:pPr>
      <w:r>
        <w:t>Realizacja projektów w ramach PO WER była podstawą do przeprowadzenia ewaluacji, w wyniku której nieznacznie zmieniono standard DDOM i przekazano go do wdrożenia w ramach Regionalnych Programów Operacyjnych.</w:t>
      </w:r>
    </w:p>
    <w:p w14:paraId="64A59442" w14:textId="77777777" w:rsidR="001946C8" w:rsidRDefault="001946C8" w:rsidP="001946C8">
      <w:pPr>
        <w:pStyle w:val="Nagwek7"/>
      </w:pPr>
      <w:r>
        <w:lastRenderedPageBreak/>
        <w:t>Grupa docelowa</w:t>
      </w:r>
    </w:p>
    <w:p w14:paraId="3F35A422" w14:textId="2CD9A4C8" w:rsidR="001946C8" w:rsidRDefault="001946C8" w:rsidP="001946C8">
      <w:pPr>
        <w:spacing w:after="120"/>
        <w:jc w:val="both"/>
      </w:pPr>
      <w:r>
        <w:t>W DDOM wsparcie kierowane jest do osób wymagających wsparcia w codziennym funkcjonowaniu, w</w:t>
      </w:r>
      <w:r w:rsidR="00CB3D35">
        <w:t> </w:t>
      </w:r>
      <w:r>
        <w:t>szczególności do osób powyżej 65. roku życia (min. 50% łącznej liczby pacjentów DDOM), których stan zdrowia nie pozwala na pozostawanie wyłącznie pod opieką podstawowej opieki zdrowotnej (POZ) i ambulatoryjnej opieki specjalistycznej (AOS), a jednocześnie nie wymagających całodobowego nadzoru lekarskiego i pielęgniarskiego realizowanego w trybie stacjonarnym.</w:t>
      </w:r>
    </w:p>
    <w:p w14:paraId="07E6855F" w14:textId="77777777" w:rsidR="001946C8" w:rsidRDefault="001946C8" w:rsidP="001946C8">
      <w:pPr>
        <w:spacing w:after="120"/>
        <w:jc w:val="both"/>
      </w:pPr>
      <w:r>
        <w:t>Świadczeniami opieki zdrowotnej realizowanymi w ramach DDOM mogą być objęte osoby mające prawo do świadczeń opieki zdrowotnej finansowanych ze środków publicznych</w:t>
      </w:r>
      <w:r w:rsidRPr="006974D8">
        <w:rPr>
          <w:color w:val="0070C0"/>
          <w:vertAlign w:val="superscript"/>
        </w:rPr>
        <w:footnoteReference w:id="47"/>
      </w:r>
      <w:r>
        <w:t>.</w:t>
      </w:r>
    </w:p>
    <w:p w14:paraId="319738E5" w14:textId="77777777" w:rsidR="001946C8" w:rsidRDefault="001946C8" w:rsidP="001946C8">
      <w:pPr>
        <w:spacing w:after="60"/>
        <w:jc w:val="both"/>
      </w:pPr>
      <w:r>
        <w:t>Do DDOM mogą być przyjęci:</w:t>
      </w:r>
    </w:p>
    <w:p w14:paraId="116E898D" w14:textId="1614E4B5" w:rsidR="001946C8" w:rsidRDefault="001946C8" w:rsidP="001946C8">
      <w:pPr>
        <w:numPr>
          <w:ilvl w:val="0"/>
          <w:numId w:val="11"/>
        </w:numPr>
        <w:spacing w:after="60" w:line="240" w:lineRule="auto"/>
        <w:ind w:left="567" w:hanging="283"/>
        <w:jc w:val="both"/>
      </w:pPr>
      <w:r>
        <w:t>pacjenci bezpośrednio po przebytej hospitalizacji, których stan zdrowia wymaga wzmożonej opieki pielęgniarskiej, nadzoru nad terapią farmakologiczną, kompleksowych działań usprawniających i przeciwdziałających narastającej potrzebie wsparcia w codziennym funkcjonowaniu oraz edukacji zdrowotnej, a także doradztwa w zakresie organizacji opieki i</w:t>
      </w:r>
      <w:r w:rsidR="00CB3D35">
        <w:t> </w:t>
      </w:r>
      <w:r>
        <w:t>leczenia osoby wymagającej wsparcia w codziennym funkcjonowaniu;</w:t>
      </w:r>
    </w:p>
    <w:p w14:paraId="589FB053" w14:textId="77777777" w:rsidR="001946C8" w:rsidRDefault="001946C8" w:rsidP="001946C8">
      <w:pPr>
        <w:numPr>
          <w:ilvl w:val="0"/>
          <w:numId w:val="11"/>
        </w:numPr>
        <w:spacing w:after="120" w:line="240" w:lineRule="auto"/>
        <w:ind w:left="568" w:hanging="284"/>
        <w:jc w:val="both"/>
      </w:pPr>
      <w:r>
        <w:t>pacjenci, u których występuje ryzyko hospitalizowania w najbliższym czasie lub którym w okresie ostatnich 12 miesięcy udzielone zostały świadczenia zdrowotne z zakresu leczenia szpitalnego.</w:t>
      </w:r>
    </w:p>
    <w:p w14:paraId="013C52A6" w14:textId="77777777" w:rsidR="001946C8" w:rsidRDefault="001946C8" w:rsidP="001946C8">
      <w:pPr>
        <w:spacing w:after="120"/>
        <w:jc w:val="both"/>
      </w:pPr>
      <w:r>
        <w:t>Świadczenia w DDOM udzielane są pacjentom wymagającym, ze względu na stan zdrowia, świadczeń pielęgnacyjnych, opiekuńczych i rehabilitacyjnych oraz kontynuacji leczenia, a niewymagającym hospitalizacji w oddziale szpitalnym, którzy w ocenie skalą poziomu samodzielności (skala Barthel) otrzymali 40–65 punktów.</w:t>
      </w:r>
    </w:p>
    <w:p w14:paraId="023B4C67" w14:textId="42F5F8F2" w:rsidR="001946C8" w:rsidRDefault="001946C8" w:rsidP="001946C8">
      <w:pPr>
        <w:spacing w:after="120"/>
        <w:jc w:val="both"/>
      </w:pPr>
      <w:r>
        <w:t>Podstawowe cele kwalifikowania pacjentów do domu opieki medycznej to: poprawa stanu zdrowia i</w:t>
      </w:r>
      <w:r w:rsidR="00CB3D35">
        <w:t> </w:t>
      </w:r>
      <w:r>
        <w:t>samodzielności życiowej, zapobieganie wczesnym powikłaniom poszpitalnym, przygotowanie pacjenta i rodziny do życia z niepełnosprawnością i samoopieki – możliwe do uzyskania poprzez rehabilitację lub modyfikację leczenia farmakologicznego – co będzie oceniane w momencie kwalifikacji do objęcia opieką.</w:t>
      </w:r>
    </w:p>
    <w:p w14:paraId="37EEB155" w14:textId="7BFF6255" w:rsidR="001946C8" w:rsidRDefault="001946C8" w:rsidP="001946C8">
      <w:pPr>
        <w:spacing w:after="120"/>
        <w:jc w:val="both"/>
      </w:pPr>
      <w:r>
        <w:t>Ze względu na charakter opieki świadczonej w dziennym domu opieki medycznej, ze wsparcia wyłączone są osoby korzystające ze świadczeń opieki zdrowotnej z zakresu 6 świadczeń pielęgnacyjnych i opiekuńczych w ramach opieki długoterminowej, opieki paliatywnej i hospicyjnej oraz rehabilitacji leczniczej, w warunkach ośrodka lub oddziału dziennego oraz w warunkach stacjonarnych, a także osoby, w przypadku których podstawowym wskazaniem do objęcia ich opieką jest zaawansowana choroba psychiczna lub uzależnienie (korzystające ze świadczeń zdrowotnych z</w:t>
      </w:r>
      <w:r w:rsidR="00CB3D35">
        <w:t> </w:t>
      </w:r>
      <w:r>
        <w:t>zakresu opieki psychiatrycznej i leczenia uzależnień).</w:t>
      </w:r>
    </w:p>
    <w:p w14:paraId="5B15EBC5" w14:textId="77777777" w:rsidR="001946C8" w:rsidRDefault="001946C8" w:rsidP="001946C8">
      <w:pPr>
        <w:pStyle w:val="Nagwek7"/>
      </w:pPr>
      <w:r>
        <w:t>Finansowanie</w:t>
      </w:r>
    </w:p>
    <w:p w14:paraId="7302C6A5" w14:textId="77777777" w:rsidR="001946C8" w:rsidRDefault="001946C8" w:rsidP="001946C8">
      <w:pPr>
        <w:spacing w:after="120"/>
        <w:jc w:val="both"/>
      </w:pPr>
      <w:r>
        <w:t xml:space="preserve">W ramach konkursu PO WER przyjęto do realizacji 53 projekty o łącznej wartości 53,4 mln zł. Projekty realizowane były w okresie od 2016 r. do I kwartału 2019 r. </w:t>
      </w:r>
    </w:p>
    <w:p w14:paraId="4C8B9F3A" w14:textId="77777777" w:rsidR="001946C8" w:rsidRPr="00FC0400" w:rsidRDefault="001946C8" w:rsidP="001946C8">
      <w:pPr>
        <w:pStyle w:val="Nagwek4"/>
        <w:numPr>
          <w:ilvl w:val="1"/>
          <w:numId w:val="10"/>
        </w:numPr>
        <w:shd w:val="clear" w:color="auto" w:fill="BDD6EE" w:themeFill="accent1" w:themeFillTint="66"/>
        <w:ind w:left="1276" w:hanging="567"/>
        <w:rPr>
          <w:color w:val="0070C0"/>
        </w:rPr>
      </w:pPr>
      <w:r w:rsidRPr="00FC0400">
        <w:rPr>
          <w:color w:val="0070C0"/>
        </w:rPr>
        <w:t>Opieka paliatywna i hospicyjna</w:t>
      </w:r>
    </w:p>
    <w:p w14:paraId="23685481" w14:textId="77777777" w:rsidR="001946C8" w:rsidRDefault="001946C8" w:rsidP="001946C8">
      <w:pPr>
        <w:spacing w:after="120"/>
        <w:jc w:val="both"/>
      </w:pPr>
      <w:bookmarkStart w:id="10" w:name="_Hlk44329552"/>
      <w:r>
        <w:t xml:space="preserve">Opieka paliatywna i hospicyjna to wszechstronna, całościowa opieka i leczenie objawowe pacjentów chorujących na nieuleczalne, niepoddające się leczeniu przyczynowemu, postępujące, ograniczające życie choroby. Opieka ta jest ukierunkowana na poprawę jakości życia, ma na celu zapobieganie bólowi i innym objawom somatycznym oraz ich uśmierzanie, łagodzenie cierpień psychicznych, duchowych i </w:t>
      </w:r>
      <w:r>
        <w:lastRenderedPageBreak/>
        <w:t>socjalnych. Świadczenia gwarantowane przysługują świadczeniobiorcom chorującym na nieuleczalne, postępujące, ograniczające życie choroby nowotworowe i nienowotworowe</w:t>
      </w:r>
      <w:r w:rsidRPr="006974D8">
        <w:rPr>
          <w:color w:val="0070C0"/>
          <w:vertAlign w:val="superscript"/>
        </w:rPr>
        <w:footnoteReference w:id="48"/>
      </w:r>
      <w:r>
        <w:t>.</w:t>
      </w:r>
    </w:p>
    <w:bookmarkEnd w:id="10"/>
    <w:p w14:paraId="747EA9EF" w14:textId="77777777" w:rsidR="001946C8" w:rsidRDefault="001946C8" w:rsidP="001946C8">
      <w:pPr>
        <w:pStyle w:val="Nagwek5"/>
        <w:numPr>
          <w:ilvl w:val="2"/>
          <w:numId w:val="10"/>
        </w:numPr>
        <w:shd w:val="clear" w:color="auto" w:fill="DEEAF6" w:themeFill="accent1" w:themeFillTint="33"/>
        <w:spacing w:before="40" w:after="0" w:line="240" w:lineRule="auto"/>
        <w:ind w:left="1985" w:hanging="709"/>
      </w:pPr>
      <w:r>
        <w:t>Opieka stacjonarna</w:t>
      </w:r>
      <w:bookmarkStart w:id="11" w:name="move32561969"/>
      <w:bookmarkEnd w:id="11"/>
    </w:p>
    <w:p w14:paraId="3A4A2432" w14:textId="77777777" w:rsidR="001946C8" w:rsidRDefault="001946C8" w:rsidP="001946C8">
      <w:pPr>
        <w:pStyle w:val="Nagwek7"/>
      </w:pPr>
      <w:r>
        <w:t>Zakres wsparcia</w:t>
      </w:r>
    </w:p>
    <w:p w14:paraId="495B5B12" w14:textId="77777777" w:rsidR="001946C8" w:rsidRDefault="001946C8" w:rsidP="001946C8">
      <w:pPr>
        <w:spacing w:after="60"/>
        <w:jc w:val="both"/>
      </w:pPr>
      <w:r>
        <w:t>Świadczenia opieki paliatywnej i hospicyjnej w warunkach stacjonarnych są udzielane:</w:t>
      </w:r>
    </w:p>
    <w:p w14:paraId="50C19143" w14:textId="77777777" w:rsidR="001946C8" w:rsidRDefault="001946C8" w:rsidP="001946C8">
      <w:pPr>
        <w:numPr>
          <w:ilvl w:val="0"/>
          <w:numId w:val="8"/>
        </w:numPr>
        <w:spacing w:after="0" w:line="240" w:lineRule="auto"/>
        <w:jc w:val="both"/>
      </w:pPr>
      <w:r>
        <w:t>w hospicjach stacjonarnych,</w:t>
      </w:r>
    </w:p>
    <w:p w14:paraId="2CEE9B5F" w14:textId="77777777" w:rsidR="001946C8" w:rsidRDefault="001946C8" w:rsidP="001946C8">
      <w:pPr>
        <w:numPr>
          <w:ilvl w:val="0"/>
          <w:numId w:val="8"/>
        </w:numPr>
        <w:spacing w:after="120" w:line="240" w:lineRule="auto"/>
        <w:ind w:left="714" w:hanging="357"/>
        <w:jc w:val="both"/>
      </w:pPr>
      <w:r>
        <w:t>na oddziałach medycyny paliatywnej.</w:t>
      </w:r>
    </w:p>
    <w:p w14:paraId="58CB51CB" w14:textId="77777777" w:rsidR="001946C8" w:rsidRDefault="001946C8" w:rsidP="001946C8">
      <w:pPr>
        <w:jc w:val="both"/>
      </w:pPr>
      <w:r>
        <w:t>Świadczenia w warunkach stacjonarnych udzielane są przy zachowaniu całodobowego dostępu do lekarza i pielęgniarki przez 7 dni w tygodniu. W hospicjum stacjonarnym pacjent ma zapewnione również bezpłatnie leczenie farmakologiczne, leczenie bólu oraz leczenie innych objawów somatycznych. Gwarantowana jest opieka psychologiczna nad pacjentem i jego rodziną, rehabilitacja oraz niezbędne badania diagnostyczne (zlecone przez lekarza zatrudnionego w hospicjum lub oddziale medycyny paliatywnej), a także zaopatrzenie w wyroby medyczne (konieczne do wykonania świadczenia gwarantowanego w hospicjum stacjonarnym lub w oddziale medycyny paliatywnej).</w:t>
      </w:r>
    </w:p>
    <w:p w14:paraId="0B0DC120" w14:textId="05A5A119" w:rsidR="001946C8" w:rsidRDefault="001946C8" w:rsidP="001946C8">
      <w:pPr>
        <w:jc w:val="both"/>
      </w:pPr>
      <w:r>
        <w:t>Świadczenia hospicjum stacjonarnego obejmują również opiekę wyręczającą, która polega na przyjęciu do hospicjum lub do oddziału medycyny paliatywnej pacjenta na okres nie dłuższy niż 10 dni. W</w:t>
      </w:r>
      <w:r w:rsidR="00CB3D35">
        <w:t> </w:t>
      </w:r>
      <w:r>
        <w:t>zakresie koniecznym do wykonania świadczeń gwarantowanych świadczeniodawca zapewnia świadczeniobiorcy nieodpłatnie badania diagnostyczne oraz leki i wyroby medyczne.</w:t>
      </w:r>
    </w:p>
    <w:p w14:paraId="3E21FE65" w14:textId="39293904" w:rsidR="00CB3D35" w:rsidRDefault="00CB3D35" w:rsidP="001946C8">
      <w:pPr>
        <w:jc w:val="both"/>
      </w:pPr>
    </w:p>
    <w:p w14:paraId="7D7D1D80" w14:textId="43E1A98A" w:rsidR="00CB3D35" w:rsidRDefault="00CB3D35" w:rsidP="001946C8">
      <w:pPr>
        <w:jc w:val="both"/>
      </w:pPr>
    </w:p>
    <w:p w14:paraId="4331FEA8" w14:textId="70033F9B" w:rsidR="00CB3D35" w:rsidRDefault="00CB3D35" w:rsidP="001946C8">
      <w:pPr>
        <w:jc w:val="both"/>
      </w:pPr>
    </w:p>
    <w:p w14:paraId="47AC0F93" w14:textId="2EDE5465" w:rsidR="00CB3D35" w:rsidRDefault="00CB3D35" w:rsidP="001946C8">
      <w:pPr>
        <w:jc w:val="both"/>
      </w:pPr>
    </w:p>
    <w:p w14:paraId="22585FF0" w14:textId="33654B56" w:rsidR="00CB3D35" w:rsidRDefault="00CB3D35" w:rsidP="001946C8">
      <w:pPr>
        <w:jc w:val="both"/>
      </w:pPr>
    </w:p>
    <w:p w14:paraId="5007F137" w14:textId="5BBDB60D" w:rsidR="00CB3D35" w:rsidRDefault="00CB3D35" w:rsidP="001946C8">
      <w:pPr>
        <w:jc w:val="both"/>
      </w:pPr>
    </w:p>
    <w:p w14:paraId="17FE0038" w14:textId="065B229D" w:rsidR="00CB3D35" w:rsidRDefault="00CB3D35" w:rsidP="001946C8">
      <w:pPr>
        <w:jc w:val="both"/>
      </w:pPr>
    </w:p>
    <w:p w14:paraId="714B9256" w14:textId="7B39DB02" w:rsidR="00CB3D35" w:rsidRDefault="00CB3D35" w:rsidP="001946C8">
      <w:pPr>
        <w:jc w:val="both"/>
      </w:pPr>
    </w:p>
    <w:p w14:paraId="7593DFF9" w14:textId="45044439" w:rsidR="00CB3D35" w:rsidRDefault="00CB3D35" w:rsidP="001946C8">
      <w:pPr>
        <w:jc w:val="both"/>
      </w:pPr>
    </w:p>
    <w:p w14:paraId="4FBA26C8" w14:textId="336EABF6" w:rsidR="00CB3D35" w:rsidRDefault="00CB3D35" w:rsidP="001946C8">
      <w:pPr>
        <w:jc w:val="both"/>
      </w:pPr>
    </w:p>
    <w:p w14:paraId="37C7C606" w14:textId="77777777" w:rsidR="00CB3D35" w:rsidRDefault="00CB3D35" w:rsidP="001946C8">
      <w:pPr>
        <w:jc w:val="both"/>
      </w:pPr>
    </w:p>
    <w:p w14:paraId="29B69D14" w14:textId="77777777" w:rsidR="001946C8" w:rsidRDefault="001946C8" w:rsidP="001946C8">
      <w:pPr>
        <w:jc w:val="center"/>
        <w:rPr>
          <w:i/>
          <w:color w:val="0070C0"/>
        </w:rPr>
      </w:pPr>
      <w:r>
        <w:rPr>
          <w:i/>
          <w:color w:val="0070C0"/>
        </w:rPr>
        <w:t>Wykres 8.</w:t>
      </w:r>
      <w:r w:rsidRPr="007134F3">
        <w:rPr>
          <w:i/>
          <w:color w:val="0070C0"/>
        </w:rPr>
        <w:t xml:space="preserve"> Liczba miejsc w hospicjach stacjonarnych </w:t>
      </w:r>
      <w:r w:rsidRPr="007134F3">
        <w:rPr>
          <w:i/>
          <w:color w:val="0070C0"/>
        </w:rPr>
        <w:br/>
        <w:t>i na oddziałach medycyny paliatywnej w latach 2015–2018</w:t>
      </w:r>
    </w:p>
    <w:p w14:paraId="5DB4C16F" w14:textId="77777777" w:rsidR="001946C8" w:rsidRPr="007134F3" w:rsidRDefault="001946C8" w:rsidP="001946C8">
      <w:pPr>
        <w:jc w:val="center"/>
        <w:rPr>
          <w:color w:val="0070C0"/>
        </w:rPr>
      </w:pPr>
      <w:r w:rsidRPr="00EB6F6A">
        <w:rPr>
          <w:noProof/>
          <w:color w:val="0070C0"/>
          <w:lang w:eastAsia="pl-PL"/>
        </w:rPr>
        <w:lastRenderedPageBreak/>
        <mc:AlternateContent>
          <mc:Choice Requires="wps">
            <w:drawing>
              <wp:anchor distT="45720" distB="45720" distL="114300" distR="114300" simplePos="0" relativeHeight="251664384" behindDoc="0" locked="0" layoutInCell="1" allowOverlap="1" wp14:anchorId="2F247B91" wp14:editId="25A53402">
                <wp:simplePos x="0" y="0"/>
                <wp:positionH relativeFrom="margin">
                  <wp:align>center</wp:align>
                </wp:positionH>
                <wp:positionV relativeFrom="paragraph">
                  <wp:posOffset>2746375</wp:posOffset>
                </wp:positionV>
                <wp:extent cx="1028700" cy="240030"/>
                <wp:effectExtent l="0" t="0" r="0" b="0"/>
                <wp:wrapNone/>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40030"/>
                        </a:xfrm>
                        <a:prstGeom prst="rect">
                          <a:avLst/>
                        </a:prstGeom>
                        <a:noFill/>
                        <a:ln w="9525">
                          <a:noFill/>
                          <a:miter lim="800000"/>
                          <a:headEnd/>
                          <a:tailEnd/>
                        </a:ln>
                      </wps:spPr>
                      <wps:txbx>
                        <w:txbxContent>
                          <w:p w14:paraId="225B5591" w14:textId="77777777" w:rsidR="004C3D8E" w:rsidRPr="00F751E2" w:rsidRDefault="004C3D8E" w:rsidP="001946C8">
                            <w:pPr>
                              <w:spacing w:after="0" w:line="240" w:lineRule="auto"/>
                              <w:jc w:val="center"/>
                              <w:rPr>
                                <w:sz w:val="18"/>
                                <w:szCs w:val="18"/>
                              </w:rPr>
                            </w:pPr>
                            <w:r>
                              <w:rPr>
                                <w:sz w:val="18"/>
                                <w:szCs w:val="18"/>
                              </w:rPr>
                              <w:t>Rodzaj podmiotu: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247B91" id="_x0000_t202" coordsize="21600,21600" o:spt="202" path="m,l,21600r21600,l21600,xe">
                <v:stroke joinstyle="miter"/>
                <v:path gradientshapeok="t" o:connecttype="rect"/>
              </v:shapetype>
              <v:shape id="Pole tekstowe 2" o:spid="_x0000_s1026" type="#_x0000_t202" style="position:absolute;left:0;text-align:left;margin-left:0;margin-top:216.25pt;width:81pt;height:18.9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" filled="f" stroked="f">
                <v:textbox style="mso-fit-shape-to-text:t">
                  <w:txbxContent>
                    <w:p w14:paraId="225B5591" w14:textId="77777777" w:rsidR="004C3D8E" w:rsidRPr="00F751E2" w:rsidRDefault="004C3D8E" w:rsidP="001946C8">
                      <w:pPr>
                        <w:spacing w:after="0" w:line="240" w:lineRule="auto"/>
                        <w:jc w:val="center"/>
                        <w:rPr>
                          <w:sz w:val="18"/>
                          <w:szCs w:val="18"/>
                        </w:rPr>
                      </w:pPr>
                      <w:r>
                        <w:rPr>
                          <w:sz w:val="18"/>
                          <w:szCs w:val="18"/>
                        </w:rPr>
                        <w:t>Rodzaj podmiotu:</w:t>
                      </w:r>
                    </w:p>
                  </w:txbxContent>
                </v:textbox>
                <w10:wrap anchorx="margin"/>
              </v:shape>
            </w:pict>
          </mc:Fallback>
        </mc:AlternateContent>
      </w:r>
      <w:r w:rsidRPr="00EB6F6A">
        <w:rPr>
          <w:noProof/>
          <w:color w:val="0070C0"/>
          <w:lang w:eastAsia="pl-PL"/>
        </w:rPr>
        <mc:AlternateContent>
          <mc:Choice Requires="wps">
            <w:drawing>
              <wp:anchor distT="45720" distB="45720" distL="114300" distR="114300" simplePos="0" relativeHeight="251663360" behindDoc="0" locked="0" layoutInCell="1" allowOverlap="1" wp14:anchorId="4DC8EB65" wp14:editId="2FFB6426">
                <wp:simplePos x="0" y="0"/>
                <wp:positionH relativeFrom="column">
                  <wp:posOffset>4396740</wp:posOffset>
                </wp:positionH>
                <wp:positionV relativeFrom="paragraph">
                  <wp:posOffset>170180</wp:posOffset>
                </wp:positionV>
                <wp:extent cx="594360" cy="1404620"/>
                <wp:effectExtent l="0" t="0" r="0" b="0"/>
                <wp:wrapNone/>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404620"/>
                        </a:xfrm>
                        <a:prstGeom prst="rect">
                          <a:avLst/>
                        </a:prstGeom>
                        <a:noFill/>
                        <a:ln w="9525">
                          <a:noFill/>
                          <a:miter lim="800000"/>
                          <a:headEnd/>
                          <a:tailEnd/>
                        </a:ln>
                      </wps:spPr>
                      <wps:txbx>
                        <w:txbxContent>
                          <w:p w14:paraId="24EE7345" w14:textId="77777777" w:rsidR="004C3D8E" w:rsidRPr="00F751E2" w:rsidRDefault="004C3D8E" w:rsidP="001946C8">
                            <w:pPr>
                              <w:spacing w:after="0" w:line="240" w:lineRule="auto"/>
                              <w:jc w:val="center"/>
                              <w:rPr>
                                <w:sz w:val="18"/>
                                <w:szCs w:val="18"/>
                              </w:rPr>
                            </w:pPr>
                            <w:r w:rsidRPr="00F751E2">
                              <w:rPr>
                                <w:sz w:val="18"/>
                                <w:szCs w:val="18"/>
                              </w:rPr>
                              <w:t xml:space="preserve">Razem: 2 </w:t>
                            </w:r>
                            <w:r>
                              <w:rPr>
                                <w:sz w:val="18"/>
                                <w:szCs w:val="18"/>
                              </w:rPr>
                              <w:t>801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C8EB65" id="_x0000_s1027" type="#_x0000_t202" style="position:absolute;left:0;text-align:left;margin-left:346.2pt;margin-top:13.4pt;width:46.8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" filled="f" stroked="f">
                <v:textbox style="mso-fit-shape-to-text:t">
                  <w:txbxContent>
                    <w:p w14:paraId="24EE7345" w14:textId="77777777" w:rsidR="004C3D8E" w:rsidRPr="00F751E2" w:rsidRDefault="004C3D8E" w:rsidP="001946C8">
                      <w:pPr>
                        <w:spacing w:after="0" w:line="240" w:lineRule="auto"/>
                        <w:jc w:val="center"/>
                        <w:rPr>
                          <w:sz w:val="18"/>
                          <w:szCs w:val="18"/>
                        </w:rPr>
                      </w:pPr>
                      <w:r w:rsidRPr="00F751E2">
                        <w:rPr>
                          <w:sz w:val="18"/>
                          <w:szCs w:val="18"/>
                        </w:rPr>
                        <w:t xml:space="preserve">Razem: 2 </w:t>
                      </w:r>
                      <w:r>
                        <w:rPr>
                          <w:sz w:val="18"/>
                          <w:szCs w:val="18"/>
                        </w:rPr>
                        <w:t>801</w:t>
                      </w:r>
                    </w:p>
                  </w:txbxContent>
                </v:textbox>
              </v:shape>
            </w:pict>
          </mc:Fallback>
        </mc:AlternateContent>
      </w:r>
      <w:r w:rsidRPr="00EB6F6A">
        <w:rPr>
          <w:noProof/>
          <w:color w:val="0070C0"/>
          <w:lang w:eastAsia="pl-PL"/>
        </w:rPr>
        <mc:AlternateContent>
          <mc:Choice Requires="wps">
            <w:drawing>
              <wp:anchor distT="45720" distB="45720" distL="114300" distR="114300" simplePos="0" relativeHeight="251662336" behindDoc="0" locked="0" layoutInCell="1" allowOverlap="1" wp14:anchorId="5A3DD334" wp14:editId="10DC6416">
                <wp:simplePos x="0" y="0"/>
                <wp:positionH relativeFrom="column">
                  <wp:posOffset>3413760</wp:posOffset>
                </wp:positionH>
                <wp:positionV relativeFrom="paragraph">
                  <wp:posOffset>81280</wp:posOffset>
                </wp:positionV>
                <wp:extent cx="594360" cy="1404620"/>
                <wp:effectExtent l="0" t="0" r="0" b="0"/>
                <wp:wrapNone/>
                <wp:docPr id="1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404620"/>
                        </a:xfrm>
                        <a:prstGeom prst="rect">
                          <a:avLst/>
                        </a:prstGeom>
                        <a:noFill/>
                        <a:ln w="9525">
                          <a:noFill/>
                          <a:miter lim="800000"/>
                          <a:headEnd/>
                          <a:tailEnd/>
                        </a:ln>
                      </wps:spPr>
                      <wps:txbx>
                        <w:txbxContent>
                          <w:p w14:paraId="6AC8DE81" w14:textId="77777777" w:rsidR="004C3D8E" w:rsidRPr="00F751E2" w:rsidRDefault="004C3D8E" w:rsidP="001946C8">
                            <w:pPr>
                              <w:spacing w:after="0" w:line="240" w:lineRule="auto"/>
                              <w:jc w:val="center"/>
                              <w:rPr>
                                <w:sz w:val="18"/>
                                <w:szCs w:val="18"/>
                              </w:rPr>
                            </w:pPr>
                            <w:r w:rsidRPr="00F751E2">
                              <w:rPr>
                                <w:sz w:val="18"/>
                                <w:szCs w:val="18"/>
                              </w:rPr>
                              <w:t xml:space="preserve">Razem: 2 </w:t>
                            </w:r>
                            <w:r>
                              <w:rPr>
                                <w:sz w:val="18"/>
                                <w:szCs w:val="18"/>
                              </w:rPr>
                              <w:t>957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3DD334" id="_x0000_s1028" type="#_x0000_t202" style="position:absolute;left:0;text-align:left;margin-left:268.8pt;margin-top:6.4pt;width:46.8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" filled="f" stroked="f">
                <v:textbox style="mso-fit-shape-to-text:t">
                  <w:txbxContent>
                    <w:p w14:paraId="6AC8DE81" w14:textId="77777777" w:rsidR="004C3D8E" w:rsidRPr="00F751E2" w:rsidRDefault="004C3D8E" w:rsidP="001946C8">
                      <w:pPr>
                        <w:spacing w:after="0" w:line="240" w:lineRule="auto"/>
                        <w:jc w:val="center"/>
                        <w:rPr>
                          <w:sz w:val="18"/>
                          <w:szCs w:val="18"/>
                        </w:rPr>
                      </w:pPr>
                      <w:r w:rsidRPr="00F751E2">
                        <w:rPr>
                          <w:sz w:val="18"/>
                          <w:szCs w:val="18"/>
                        </w:rPr>
                        <w:t xml:space="preserve">Razem: 2 </w:t>
                      </w:r>
                      <w:r>
                        <w:rPr>
                          <w:sz w:val="18"/>
                          <w:szCs w:val="18"/>
                        </w:rPr>
                        <w:t>957</w:t>
                      </w:r>
                    </w:p>
                  </w:txbxContent>
                </v:textbox>
              </v:shape>
            </w:pict>
          </mc:Fallback>
        </mc:AlternateContent>
      </w:r>
      <w:r w:rsidRPr="00EB6F6A">
        <w:rPr>
          <w:noProof/>
          <w:color w:val="0070C0"/>
          <w:lang w:eastAsia="pl-PL"/>
        </w:rPr>
        <mc:AlternateContent>
          <mc:Choice Requires="wps">
            <w:drawing>
              <wp:anchor distT="45720" distB="45720" distL="114300" distR="114300" simplePos="0" relativeHeight="251661312" behindDoc="0" locked="0" layoutInCell="1" allowOverlap="1" wp14:anchorId="71F84C92" wp14:editId="5D9E8029">
                <wp:simplePos x="0" y="0"/>
                <wp:positionH relativeFrom="column">
                  <wp:posOffset>2400300</wp:posOffset>
                </wp:positionH>
                <wp:positionV relativeFrom="paragraph">
                  <wp:posOffset>86360</wp:posOffset>
                </wp:positionV>
                <wp:extent cx="594360" cy="1404620"/>
                <wp:effectExtent l="0" t="0" r="0" b="0"/>
                <wp:wrapNone/>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404620"/>
                        </a:xfrm>
                        <a:prstGeom prst="rect">
                          <a:avLst/>
                        </a:prstGeom>
                        <a:noFill/>
                        <a:ln w="9525">
                          <a:noFill/>
                          <a:miter lim="800000"/>
                          <a:headEnd/>
                          <a:tailEnd/>
                        </a:ln>
                      </wps:spPr>
                      <wps:txbx>
                        <w:txbxContent>
                          <w:p w14:paraId="370CDCCC" w14:textId="77777777" w:rsidR="004C3D8E" w:rsidRPr="00F751E2" w:rsidRDefault="004C3D8E" w:rsidP="001946C8">
                            <w:pPr>
                              <w:spacing w:after="0" w:line="240" w:lineRule="auto"/>
                              <w:jc w:val="center"/>
                              <w:rPr>
                                <w:sz w:val="18"/>
                                <w:szCs w:val="18"/>
                              </w:rPr>
                            </w:pPr>
                            <w:r w:rsidRPr="00F751E2">
                              <w:rPr>
                                <w:sz w:val="18"/>
                                <w:szCs w:val="18"/>
                              </w:rPr>
                              <w:t xml:space="preserve">Razem: 2 </w:t>
                            </w:r>
                            <w:r>
                              <w:rPr>
                                <w:sz w:val="18"/>
                                <w:szCs w:val="18"/>
                              </w:rPr>
                              <w:t>942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F84C92" id="_x0000_s1029" type="#_x0000_t202" style="position:absolute;left:0;text-align:left;margin-left:189pt;margin-top:6.8pt;width:46.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" filled="f" stroked="f">
                <v:textbox style="mso-fit-shape-to-text:t">
                  <w:txbxContent>
                    <w:p w14:paraId="370CDCCC" w14:textId="77777777" w:rsidR="004C3D8E" w:rsidRPr="00F751E2" w:rsidRDefault="004C3D8E" w:rsidP="001946C8">
                      <w:pPr>
                        <w:spacing w:after="0" w:line="240" w:lineRule="auto"/>
                        <w:jc w:val="center"/>
                        <w:rPr>
                          <w:sz w:val="18"/>
                          <w:szCs w:val="18"/>
                        </w:rPr>
                      </w:pPr>
                      <w:r w:rsidRPr="00F751E2">
                        <w:rPr>
                          <w:sz w:val="18"/>
                          <w:szCs w:val="18"/>
                        </w:rPr>
                        <w:t xml:space="preserve">Razem: 2 </w:t>
                      </w:r>
                      <w:r>
                        <w:rPr>
                          <w:sz w:val="18"/>
                          <w:szCs w:val="18"/>
                        </w:rPr>
                        <w:t>942</w:t>
                      </w:r>
                    </w:p>
                  </w:txbxContent>
                </v:textbox>
              </v:shape>
            </w:pict>
          </mc:Fallback>
        </mc:AlternateContent>
      </w:r>
      <w:r w:rsidRPr="00EB6F6A">
        <w:rPr>
          <w:noProof/>
          <w:color w:val="0070C0"/>
          <w:lang w:eastAsia="pl-PL"/>
        </w:rPr>
        <mc:AlternateContent>
          <mc:Choice Requires="wps">
            <w:drawing>
              <wp:anchor distT="45720" distB="45720" distL="114300" distR="114300" simplePos="0" relativeHeight="251660288" behindDoc="0" locked="0" layoutInCell="1" allowOverlap="1" wp14:anchorId="24A7A04E" wp14:editId="4DBD8A08">
                <wp:simplePos x="0" y="0"/>
                <wp:positionH relativeFrom="column">
                  <wp:posOffset>1401445</wp:posOffset>
                </wp:positionH>
                <wp:positionV relativeFrom="paragraph">
                  <wp:posOffset>214630</wp:posOffset>
                </wp:positionV>
                <wp:extent cx="594360" cy="140462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404620"/>
                        </a:xfrm>
                        <a:prstGeom prst="rect">
                          <a:avLst/>
                        </a:prstGeom>
                        <a:noFill/>
                        <a:ln w="9525">
                          <a:noFill/>
                          <a:miter lim="800000"/>
                          <a:headEnd/>
                          <a:tailEnd/>
                        </a:ln>
                      </wps:spPr>
                      <wps:txbx>
                        <w:txbxContent>
                          <w:p w14:paraId="037F412D" w14:textId="77777777" w:rsidR="004C3D8E" w:rsidRPr="00F751E2" w:rsidRDefault="004C3D8E" w:rsidP="001946C8">
                            <w:pPr>
                              <w:spacing w:after="0" w:line="240" w:lineRule="auto"/>
                              <w:jc w:val="center"/>
                              <w:rPr>
                                <w:sz w:val="18"/>
                                <w:szCs w:val="18"/>
                              </w:rPr>
                            </w:pPr>
                            <w:r w:rsidRPr="00F751E2">
                              <w:rPr>
                                <w:sz w:val="18"/>
                                <w:szCs w:val="18"/>
                              </w:rPr>
                              <w:t>Razem: 2 754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A7A04E" id="_x0000_s1030" type="#_x0000_t202" style="position:absolute;left:0;text-align:left;margin-left:110.35pt;margin-top:16.9pt;width:46.8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" filled="f" stroked="f">
                <v:textbox style="mso-fit-shape-to-text:t">
                  <w:txbxContent>
                    <w:p w14:paraId="037F412D" w14:textId="77777777" w:rsidR="004C3D8E" w:rsidRPr="00F751E2" w:rsidRDefault="004C3D8E" w:rsidP="001946C8">
                      <w:pPr>
                        <w:spacing w:after="0" w:line="240" w:lineRule="auto"/>
                        <w:jc w:val="center"/>
                        <w:rPr>
                          <w:sz w:val="18"/>
                          <w:szCs w:val="18"/>
                        </w:rPr>
                      </w:pPr>
                      <w:r w:rsidRPr="00F751E2">
                        <w:rPr>
                          <w:sz w:val="18"/>
                          <w:szCs w:val="18"/>
                        </w:rPr>
                        <w:t>Razem: 2 754</w:t>
                      </w:r>
                    </w:p>
                  </w:txbxContent>
                </v:textbox>
              </v:shape>
            </w:pict>
          </mc:Fallback>
        </mc:AlternateContent>
      </w:r>
      <w:r>
        <w:rPr>
          <w:noProof/>
          <w:sz w:val="16"/>
          <w:szCs w:val="16"/>
          <w:lang w:eastAsia="pl-PL"/>
        </w:rPr>
        <w:drawing>
          <wp:inline distT="0" distB="0" distL="0" distR="0" wp14:anchorId="7B65297F" wp14:editId="72F5F01C">
            <wp:extent cx="5486400" cy="3200400"/>
            <wp:effectExtent l="0" t="0" r="0" b="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A6DAFDD" w14:textId="77777777" w:rsidR="001946C8" w:rsidRDefault="001946C8" w:rsidP="001946C8">
      <w:pPr>
        <w:jc w:val="center"/>
      </w:pPr>
      <w:r>
        <w:rPr>
          <w:sz w:val="16"/>
        </w:rPr>
        <w:t>Stan na dzień 31 grudnia każdego roku; HS – hospicjum stacjonarne, OMP – oddział medycyny paliatywnej</w:t>
      </w:r>
    </w:p>
    <w:p w14:paraId="5D00AABE" w14:textId="77777777" w:rsidR="001946C8" w:rsidRDefault="001946C8" w:rsidP="001946C8">
      <w:pPr>
        <w:jc w:val="center"/>
      </w:pPr>
      <w:r>
        <w:rPr>
          <w:sz w:val="16"/>
        </w:rPr>
        <w:t xml:space="preserve">Źródło: </w:t>
      </w:r>
      <w:r w:rsidRPr="00EA0E23">
        <w:rPr>
          <w:i/>
          <w:sz w:val="16"/>
        </w:rPr>
        <w:t xml:space="preserve">Biuletyny statystyczne </w:t>
      </w:r>
      <w:r>
        <w:rPr>
          <w:i/>
          <w:sz w:val="16"/>
        </w:rPr>
        <w:t>Ministerstwa Zdrowia</w:t>
      </w:r>
      <w:r>
        <w:rPr>
          <w:sz w:val="16"/>
        </w:rPr>
        <w:t xml:space="preserve"> wydane przez CSIOZ, Warszawa 2016–2019.</w:t>
      </w:r>
    </w:p>
    <w:p w14:paraId="7DA325CB" w14:textId="77777777" w:rsidR="001946C8" w:rsidRDefault="001946C8" w:rsidP="001946C8">
      <w:pPr>
        <w:pStyle w:val="Nagwek7"/>
      </w:pPr>
      <w:r>
        <w:t>Grupa docelowa</w:t>
      </w:r>
    </w:p>
    <w:p w14:paraId="76EDD6BA" w14:textId="77777777" w:rsidR="001946C8" w:rsidRDefault="001946C8" w:rsidP="001946C8">
      <w:pPr>
        <w:spacing w:after="120"/>
        <w:jc w:val="both"/>
      </w:pPr>
      <w:r>
        <w:t xml:space="preserve">Świadczenia te przysługują pacjentom chorującym na nieuleczalne, postępujące, ograniczające życie choroby nowotworowe i nienowotworowe wskazane w rozporządzeniu Ministra Zdrowia </w:t>
      </w:r>
      <w:r w:rsidRPr="00F751E2">
        <w:rPr>
          <w:i/>
          <w:iCs/>
        </w:rPr>
        <w:t>w sprawie świadczeń gwarantowanych z zakresu opieki paliatywnej i hospicyjne</w:t>
      </w:r>
      <w:r>
        <w:rPr>
          <w:i/>
          <w:iCs/>
        </w:rPr>
        <w:t>j</w:t>
      </w:r>
      <w:r w:rsidRPr="00F751E2">
        <w:rPr>
          <w:i/>
          <w:iCs/>
        </w:rPr>
        <w:t>.</w:t>
      </w:r>
    </w:p>
    <w:p w14:paraId="1D5392B0" w14:textId="77777777" w:rsidR="001946C8" w:rsidRDefault="001946C8" w:rsidP="001946C8">
      <w:pPr>
        <w:spacing w:after="120"/>
        <w:jc w:val="both"/>
      </w:pPr>
      <w:r>
        <w:t>Opieka hospicjum stacjonarnego sprawowana jest w szczególności w chorobach, które nie rokują nadziei na wyleczenie. Do hospicjum kierowani są pacjenci na podstawie wskazań medycznych (szczególnie z chorobami nowotworowymi), w schyłkowym okresie życia.</w:t>
      </w:r>
    </w:p>
    <w:p w14:paraId="2A2F19D1" w14:textId="77777777" w:rsidR="001946C8" w:rsidRDefault="001946C8" w:rsidP="001946C8">
      <w:pPr>
        <w:spacing w:after="120"/>
        <w:jc w:val="both"/>
      </w:pPr>
      <w:bookmarkStart w:id="12" w:name="_Hlk44328317"/>
      <w:r>
        <w:t xml:space="preserve">Zgodnie z danymi CSIOZ </w:t>
      </w:r>
      <w:r w:rsidRPr="00CB3D35">
        <w:rPr>
          <w:b/>
          <w:bCs/>
        </w:rPr>
        <w:t>w 2018 r. liczba pacjentów, którym udzielono świadczeń opieki paliatywnej i hospicyjnej w trybie stacjonarnym wyniosła ponad 20 tys. osób</w:t>
      </w:r>
      <w:r>
        <w:t>. Liczbę pacjentów objętych opieką paliatywna i hospicyjną w trybie stacjonarnym w latach 2015–2018 przedstawia wykres 9.</w:t>
      </w:r>
    </w:p>
    <w:p w14:paraId="7A02851A" w14:textId="77777777" w:rsidR="00CB3D35" w:rsidRDefault="00CB3D35" w:rsidP="001946C8">
      <w:pPr>
        <w:jc w:val="center"/>
        <w:rPr>
          <w:i/>
          <w:color w:val="0070C0"/>
        </w:rPr>
      </w:pPr>
    </w:p>
    <w:p w14:paraId="5313CB43" w14:textId="77777777" w:rsidR="00CB3D35" w:rsidRDefault="00CB3D35" w:rsidP="001946C8">
      <w:pPr>
        <w:jc w:val="center"/>
        <w:rPr>
          <w:i/>
          <w:color w:val="0070C0"/>
        </w:rPr>
      </w:pPr>
    </w:p>
    <w:p w14:paraId="2868E20F" w14:textId="77777777" w:rsidR="00CB3D35" w:rsidRDefault="00CB3D35" w:rsidP="001946C8">
      <w:pPr>
        <w:jc w:val="center"/>
        <w:rPr>
          <w:i/>
          <w:color w:val="0070C0"/>
        </w:rPr>
      </w:pPr>
    </w:p>
    <w:p w14:paraId="74804F6C" w14:textId="77777777" w:rsidR="00CB3D35" w:rsidRDefault="00CB3D35" w:rsidP="001946C8">
      <w:pPr>
        <w:jc w:val="center"/>
        <w:rPr>
          <w:i/>
          <w:color w:val="0070C0"/>
        </w:rPr>
      </w:pPr>
    </w:p>
    <w:p w14:paraId="6D135C65" w14:textId="77777777" w:rsidR="00CB3D35" w:rsidRDefault="00CB3D35" w:rsidP="001946C8">
      <w:pPr>
        <w:jc w:val="center"/>
        <w:rPr>
          <w:i/>
          <w:color w:val="0070C0"/>
        </w:rPr>
      </w:pPr>
    </w:p>
    <w:p w14:paraId="3408BF26" w14:textId="77777777" w:rsidR="00CB3D35" w:rsidRDefault="00CB3D35" w:rsidP="001946C8">
      <w:pPr>
        <w:jc w:val="center"/>
        <w:rPr>
          <w:i/>
          <w:color w:val="0070C0"/>
        </w:rPr>
      </w:pPr>
    </w:p>
    <w:p w14:paraId="7E854E3A" w14:textId="77777777" w:rsidR="00CB3D35" w:rsidRDefault="00CB3D35" w:rsidP="001946C8">
      <w:pPr>
        <w:jc w:val="center"/>
        <w:rPr>
          <w:i/>
          <w:color w:val="0070C0"/>
        </w:rPr>
      </w:pPr>
    </w:p>
    <w:p w14:paraId="1DC6B6DF" w14:textId="77777777" w:rsidR="00CB3D35" w:rsidRDefault="00CB3D35" w:rsidP="001946C8">
      <w:pPr>
        <w:jc w:val="center"/>
        <w:rPr>
          <w:i/>
          <w:color w:val="0070C0"/>
        </w:rPr>
      </w:pPr>
    </w:p>
    <w:p w14:paraId="3474E50A" w14:textId="77777777" w:rsidR="00CB3D35" w:rsidRDefault="00CB3D35" w:rsidP="001946C8">
      <w:pPr>
        <w:jc w:val="center"/>
        <w:rPr>
          <w:i/>
          <w:color w:val="0070C0"/>
        </w:rPr>
      </w:pPr>
    </w:p>
    <w:p w14:paraId="6BFE4363" w14:textId="6B624819" w:rsidR="001946C8" w:rsidRDefault="001946C8" w:rsidP="001946C8">
      <w:pPr>
        <w:jc w:val="center"/>
        <w:rPr>
          <w:i/>
          <w:color w:val="0070C0"/>
        </w:rPr>
      </w:pPr>
      <w:r>
        <w:rPr>
          <w:i/>
          <w:color w:val="0070C0"/>
        </w:rPr>
        <w:t>Wykres 9.</w:t>
      </w:r>
      <w:r w:rsidRPr="007134F3">
        <w:rPr>
          <w:i/>
          <w:color w:val="0070C0"/>
        </w:rPr>
        <w:t xml:space="preserve"> Liczba pacjentów opieki paliatywnej i hospicyjnej </w:t>
      </w:r>
      <w:r w:rsidRPr="007134F3">
        <w:rPr>
          <w:i/>
          <w:color w:val="0070C0"/>
        </w:rPr>
        <w:br/>
        <w:t>w trybie stacjonarnym w latach 2015–2018</w:t>
      </w:r>
    </w:p>
    <w:p w14:paraId="146C0C5A" w14:textId="77777777" w:rsidR="001946C8" w:rsidRPr="005F1938" w:rsidRDefault="001946C8" w:rsidP="001946C8">
      <w:pPr>
        <w:jc w:val="center"/>
        <w:rPr>
          <w:iCs/>
          <w:color w:val="0070C0"/>
        </w:rPr>
      </w:pPr>
      <w:r w:rsidRPr="00EB6F6A">
        <w:rPr>
          <w:noProof/>
          <w:color w:val="0070C0"/>
          <w:lang w:eastAsia="pl-PL"/>
        </w:rPr>
        <w:lastRenderedPageBreak/>
        <mc:AlternateContent>
          <mc:Choice Requires="wps">
            <w:drawing>
              <wp:anchor distT="45720" distB="45720" distL="114300" distR="114300" simplePos="0" relativeHeight="251669504" behindDoc="0" locked="0" layoutInCell="1" allowOverlap="1" wp14:anchorId="60094F7E" wp14:editId="603B6F36">
                <wp:simplePos x="0" y="0"/>
                <wp:positionH relativeFrom="margin">
                  <wp:posOffset>1744980</wp:posOffset>
                </wp:positionH>
                <wp:positionV relativeFrom="paragraph">
                  <wp:posOffset>2776220</wp:posOffset>
                </wp:positionV>
                <wp:extent cx="1028700" cy="240030"/>
                <wp:effectExtent l="0" t="0" r="0" b="0"/>
                <wp:wrapNone/>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40030"/>
                        </a:xfrm>
                        <a:prstGeom prst="rect">
                          <a:avLst/>
                        </a:prstGeom>
                        <a:noFill/>
                        <a:ln w="9525">
                          <a:noFill/>
                          <a:miter lim="800000"/>
                          <a:headEnd/>
                          <a:tailEnd/>
                        </a:ln>
                      </wps:spPr>
                      <wps:txbx>
                        <w:txbxContent>
                          <w:p w14:paraId="43F3FE44" w14:textId="77777777" w:rsidR="004C3D8E" w:rsidRPr="00F751E2" w:rsidRDefault="004C3D8E" w:rsidP="001946C8">
                            <w:pPr>
                              <w:spacing w:after="0" w:line="240" w:lineRule="auto"/>
                              <w:rPr>
                                <w:sz w:val="18"/>
                                <w:szCs w:val="18"/>
                              </w:rPr>
                            </w:pPr>
                            <w:r>
                              <w:rPr>
                                <w:sz w:val="18"/>
                                <w:szCs w:val="18"/>
                              </w:rPr>
                              <w:t>Rodzaj podmiotu: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094F7E" id="_x0000_s1031" type="#_x0000_t202" style="position:absolute;left:0;text-align:left;margin-left:137.4pt;margin-top:218.6pt;width:81pt;height:18.9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" filled="f" stroked="f">
                <v:textbox style="mso-fit-shape-to-text:t">
                  <w:txbxContent>
                    <w:p w14:paraId="43F3FE44" w14:textId="77777777" w:rsidR="004C3D8E" w:rsidRPr="00F751E2" w:rsidRDefault="004C3D8E" w:rsidP="001946C8">
                      <w:pPr>
                        <w:spacing w:after="0" w:line="240" w:lineRule="auto"/>
                        <w:rPr>
                          <w:sz w:val="18"/>
                          <w:szCs w:val="18"/>
                        </w:rPr>
                      </w:pPr>
                      <w:r>
                        <w:rPr>
                          <w:sz w:val="18"/>
                          <w:szCs w:val="18"/>
                        </w:rPr>
                        <w:t>Rodzaj podmiotu:</w:t>
                      </w:r>
                    </w:p>
                  </w:txbxContent>
                </v:textbox>
                <w10:wrap anchorx="margin"/>
              </v:shape>
            </w:pict>
          </mc:Fallback>
        </mc:AlternateContent>
      </w:r>
      <w:r w:rsidRPr="00EB6F6A">
        <w:rPr>
          <w:noProof/>
          <w:color w:val="0070C0"/>
          <w:lang w:eastAsia="pl-PL"/>
        </w:rPr>
        <mc:AlternateContent>
          <mc:Choice Requires="wps">
            <w:drawing>
              <wp:anchor distT="45720" distB="45720" distL="114300" distR="114300" simplePos="0" relativeHeight="251666432" behindDoc="0" locked="0" layoutInCell="1" allowOverlap="1" wp14:anchorId="63264DAC" wp14:editId="4F7E9E45">
                <wp:simplePos x="0" y="0"/>
                <wp:positionH relativeFrom="column">
                  <wp:posOffset>3421380</wp:posOffset>
                </wp:positionH>
                <wp:positionV relativeFrom="paragraph">
                  <wp:posOffset>177800</wp:posOffset>
                </wp:positionV>
                <wp:extent cx="594360" cy="1404620"/>
                <wp:effectExtent l="0" t="0" r="0" b="0"/>
                <wp:wrapNone/>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404620"/>
                        </a:xfrm>
                        <a:prstGeom prst="rect">
                          <a:avLst/>
                        </a:prstGeom>
                        <a:noFill/>
                        <a:ln w="9525">
                          <a:noFill/>
                          <a:miter lim="800000"/>
                          <a:headEnd/>
                          <a:tailEnd/>
                        </a:ln>
                      </wps:spPr>
                      <wps:txbx>
                        <w:txbxContent>
                          <w:p w14:paraId="026E42E9" w14:textId="77777777" w:rsidR="004C3D8E" w:rsidRPr="00F751E2" w:rsidRDefault="004C3D8E" w:rsidP="001946C8">
                            <w:pPr>
                              <w:spacing w:after="0" w:line="240" w:lineRule="auto"/>
                              <w:jc w:val="center"/>
                              <w:rPr>
                                <w:sz w:val="18"/>
                                <w:szCs w:val="18"/>
                              </w:rPr>
                            </w:pPr>
                            <w:r w:rsidRPr="00F751E2">
                              <w:rPr>
                                <w:sz w:val="18"/>
                                <w:szCs w:val="18"/>
                              </w:rPr>
                              <w:t xml:space="preserve">Razem: </w:t>
                            </w:r>
                            <w:r>
                              <w:rPr>
                                <w:sz w:val="18"/>
                                <w:szCs w:val="18"/>
                              </w:rPr>
                              <w:t>34 641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264DAC" id="_x0000_s1032" type="#_x0000_t202" style="position:absolute;left:0;text-align:left;margin-left:269.4pt;margin-top:14pt;width:46.8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" filled="f" stroked="f">
                <v:textbox style="mso-fit-shape-to-text:t">
                  <w:txbxContent>
                    <w:p w14:paraId="026E42E9" w14:textId="77777777" w:rsidR="004C3D8E" w:rsidRPr="00F751E2" w:rsidRDefault="004C3D8E" w:rsidP="001946C8">
                      <w:pPr>
                        <w:spacing w:after="0" w:line="240" w:lineRule="auto"/>
                        <w:jc w:val="center"/>
                        <w:rPr>
                          <w:sz w:val="18"/>
                          <w:szCs w:val="18"/>
                        </w:rPr>
                      </w:pPr>
                      <w:r w:rsidRPr="00F751E2">
                        <w:rPr>
                          <w:sz w:val="18"/>
                          <w:szCs w:val="18"/>
                        </w:rPr>
                        <w:t xml:space="preserve">Razem: </w:t>
                      </w:r>
                      <w:r>
                        <w:rPr>
                          <w:sz w:val="18"/>
                          <w:szCs w:val="18"/>
                        </w:rPr>
                        <w:t>34 641</w:t>
                      </w:r>
                    </w:p>
                  </w:txbxContent>
                </v:textbox>
              </v:shape>
            </w:pict>
          </mc:Fallback>
        </mc:AlternateContent>
      </w:r>
      <w:r w:rsidRPr="00EB6F6A">
        <w:rPr>
          <w:noProof/>
          <w:color w:val="0070C0"/>
          <w:lang w:eastAsia="pl-PL"/>
        </w:rPr>
        <mc:AlternateContent>
          <mc:Choice Requires="wps">
            <w:drawing>
              <wp:anchor distT="45720" distB="45720" distL="114300" distR="114300" simplePos="0" relativeHeight="251665408" behindDoc="0" locked="0" layoutInCell="1" allowOverlap="1" wp14:anchorId="478A8E4A" wp14:editId="298182D4">
                <wp:simplePos x="0" y="0"/>
                <wp:positionH relativeFrom="column">
                  <wp:posOffset>1432560</wp:posOffset>
                </wp:positionH>
                <wp:positionV relativeFrom="paragraph">
                  <wp:posOffset>48260</wp:posOffset>
                </wp:positionV>
                <wp:extent cx="594360" cy="1404620"/>
                <wp:effectExtent l="0" t="0" r="0"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404620"/>
                        </a:xfrm>
                        <a:prstGeom prst="rect">
                          <a:avLst/>
                        </a:prstGeom>
                        <a:noFill/>
                        <a:ln w="9525">
                          <a:noFill/>
                          <a:miter lim="800000"/>
                          <a:headEnd/>
                          <a:tailEnd/>
                        </a:ln>
                      </wps:spPr>
                      <wps:txbx>
                        <w:txbxContent>
                          <w:p w14:paraId="5B098DB4" w14:textId="77777777" w:rsidR="004C3D8E" w:rsidRPr="00F751E2" w:rsidRDefault="004C3D8E" w:rsidP="001946C8">
                            <w:pPr>
                              <w:spacing w:after="0" w:line="240" w:lineRule="auto"/>
                              <w:jc w:val="center"/>
                              <w:rPr>
                                <w:sz w:val="18"/>
                                <w:szCs w:val="18"/>
                              </w:rPr>
                            </w:pPr>
                            <w:r w:rsidRPr="00F751E2">
                              <w:rPr>
                                <w:sz w:val="18"/>
                                <w:szCs w:val="18"/>
                              </w:rPr>
                              <w:t xml:space="preserve">Razem: </w:t>
                            </w:r>
                            <w:r>
                              <w:rPr>
                                <w:sz w:val="18"/>
                                <w:szCs w:val="18"/>
                              </w:rPr>
                              <w:t>36 799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8A8E4A" id="_x0000_s1033" type="#_x0000_t202" style="position:absolute;left:0;text-align:left;margin-left:112.8pt;margin-top:3.8pt;width:46.8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" filled="f" stroked="f">
                <v:textbox style="mso-fit-shape-to-text:t">
                  <w:txbxContent>
                    <w:p w14:paraId="5B098DB4" w14:textId="77777777" w:rsidR="004C3D8E" w:rsidRPr="00F751E2" w:rsidRDefault="004C3D8E" w:rsidP="001946C8">
                      <w:pPr>
                        <w:spacing w:after="0" w:line="240" w:lineRule="auto"/>
                        <w:jc w:val="center"/>
                        <w:rPr>
                          <w:sz w:val="18"/>
                          <w:szCs w:val="18"/>
                        </w:rPr>
                      </w:pPr>
                      <w:r w:rsidRPr="00F751E2">
                        <w:rPr>
                          <w:sz w:val="18"/>
                          <w:szCs w:val="18"/>
                        </w:rPr>
                        <w:t xml:space="preserve">Razem: </w:t>
                      </w:r>
                      <w:r>
                        <w:rPr>
                          <w:sz w:val="18"/>
                          <w:szCs w:val="18"/>
                        </w:rPr>
                        <w:t>36 799</w:t>
                      </w:r>
                    </w:p>
                  </w:txbxContent>
                </v:textbox>
              </v:shape>
            </w:pict>
          </mc:Fallback>
        </mc:AlternateContent>
      </w:r>
      <w:r w:rsidRPr="00EB6F6A">
        <w:rPr>
          <w:noProof/>
          <w:color w:val="0070C0"/>
          <w:lang w:eastAsia="pl-PL"/>
        </w:rPr>
        <mc:AlternateContent>
          <mc:Choice Requires="wps">
            <w:drawing>
              <wp:anchor distT="45720" distB="45720" distL="114300" distR="114300" simplePos="0" relativeHeight="251667456" behindDoc="0" locked="0" layoutInCell="1" allowOverlap="1" wp14:anchorId="6884BF9A" wp14:editId="47B766D0">
                <wp:simplePos x="0" y="0"/>
                <wp:positionH relativeFrom="column">
                  <wp:posOffset>2422525</wp:posOffset>
                </wp:positionH>
                <wp:positionV relativeFrom="paragraph">
                  <wp:posOffset>36195</wp:posOffset>
                </wp:positionV>
                <wp:extent cx="594360" cy="1404620"/>
                <wp:effectExtent l="0" t="0" r="0" b="0"/>
                <wp:wrapNone/>
                <wp:docPr id="1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404620"/>
                        </a:xfrm>
                        <a:prstGeom prst="rect">
                          <a:avLst/>
                        </a:prstGeom>
                        <a:noFill/>
                        <a:ln w="9525">
                          <a:noFill/>
                          <a:miter lim="800000"/>
                          <a:headEnd/>
                          <a:tailEnd/>
                        </a:ln>
                      </wps:spPr>
                      <wps:txbx>
                        <w:txbxContent>
                          <w:p w14:paraId="188E20EA" w14:textId="77777777" w:rsidR="004C3D8E" w:rsidRPr="00F751E2" w:rsidRDefault="004C3D8E" w:rsidP="001946C8">
                            <w:pPr>
                              <w:spacing w:after="0" w:line="240" w:lineRule="auto"/>
                              <w:jc w:val="center"/>
                              <w:rPr>
                                <w:sz w:val="18"/>
                                <w:szCs w:val="18"/>
                              </w:rPr>
                            </w:pPr>
                            <w:r w:rsidRPr="00F751E2">
                              <w:rPr>
                                <w:sz w:val="18"/>
                                <w:szCs w:val="18"/>
                              </w:rPr>
                              <w:t xml:space="preserve">Razem: </w:t>
                            </w:r>
                            <w:r>
                              <w:rPr>
                                <w:sz w:val="18"/>
                                <w:szCs w:val="18"/>
                              </w:rPr>
                              <w:t>37 408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84BF9A" id="_x0000_s1034" type="#_x0000_t202" style="position:absolute;left:0;text-align:left;margin-left:190.75pt;margin-top:2.85pt;width:46.8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" filled="f" stroked="f">
                <v:textbox style="mso-fit-shape-to-text:t">
                  <w:txbxContent>
                    <w:p w14:paraId="188E20EA" w14:textId="77777777" w:rsidR="004C3D8E" w:rsidRPr="00F751E2" w:rsidRDefault="004C3D8E" w:rsidP="001946C8">
                      <w:pPr>
                        <w:spacing w:after="0" w:line="240" w:lineRule="auto"/>
                        <w:jc w:val="center"/>
                        <w:rPr>
                          <w:sz w:val="18"/>
                          <w:szCs w:val="18"/>
                        </w:rPr>
                      </w:pPr>
                      <w:r w:rsidRPr="00F751E2">
                        <w:rPr>
                          <w:sz w:val="18"/>
                          <w:szCs w:val="18"/>
                        </w:rPr>
                        <w:t xml:space="preserve">Razem: </w:t>
                      </w:r>
                      <w:r>
                        <w:rPr>
                          <w:sz w:val="18"/>
                          <w:szCs w:val="18"/>
                        </w:rPr>
                        <w:t>37 408</w:t>
                      </w:r>
                    </w:p>
                  </w:txbxContent>
                </v:textbox>
              </v:shape>
            </w:pict>
          </mc:Fallback>
        </mc:AlternateContent>
      </w:r>
      <w:r w:rsidRPr="00EB6F6A">
        <w:rPr>
          <w:noProof/>
          <w:color w:val="0070C0"/>
          <w:lang w:eastAsia="pl-PL"/>
        </w:rPr>
        <mc:AlternateContent>
          <mc:Choice Requires="wps">
            <w:drawing>
              <wp:anchor distT="45720" distB="45720" distL="114300" distR="114300" simplePos="0" relativeHeight="251668480" behindDoc="0" locked="0" layoutInCell="1" allowOverlap="1" wp14:anchorId="61F01AAB" wp14:editId="533BFB8B">
                <wp:simplePos x="0" y="0"/>
                <wp:positionH relativeFrom="column">
                  <wp:posOffset>4396740</wp:posOffset>
                </wp:positionH>
                <wp:positionV relativeFrom="paragraph">
                  <wp:posOffset>337820</wp:posOffset>
                </wp:positionV>
                <wp:extent cx="594360" cy="1404620"/>
                <wp:effectExtent l="0" t="0" r="0" b="0"/>
                <wp:wrapNone/>
                <wp:docPr id="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404620"/>
                        </a:xfrm>
                        <a:prstGeom prst="rect">
                          <a:avLst/>
                        </a:prstGeom>
                        <a:noFill/>
                        <a:ln w="9525">
                          <a:noFill/>
                          <a:miter lim="800000"/>
                          <a:headEnd/>
                          <a:tailEnd/>
                        </a:ln>
                      </wps:spPr>
                      <wps:txbx>
                        <w:txbxContent>
                          <w:p w14:paraId="1F91786B" w14:textId="77777777" w:rsidR="004C3D8E" w:rsidRPr="00F751E2" w:rsidRDefault="004C3D8E" w:rsidP="001946C8">
                            <w:pPr>
                              <w:spacing w:after="0" w:line="240" w:lineRule="auto"/>
                              <w:jc w:val="center"/>
                              <w:rPr>
                                <w:sz w:val="18"/>
                                <w:szCs w:val="18"/>
                              </w:rPr>
                            </w:pPr>
                            <w:r w:rsidRPr="00F751E2">
                              <w:rPr>
                                <w:sz w:val="18"/>
                                <w:szCs w:val="18"/>
                              </w:rPr>
                              <w:t xml:space="preserve">Razem: </w:t>
                            </w:r>
                            <w:r>
                              <w:rPr>
                                <w:sz w:val="18"/>
                                <w:szCs w:val="18"/>
                              </w:rPr>
                              <w:t>31 077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F01AAB" id="_x0000_s1035" type="#_x0000_t202" style="position:absolute;left:0;text-align:left;margin-left:346.2pt;margin-top:26.6pt;width:46.8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" filled="f" stroked="f">
                <v:textbox style="mso-fit-shape-to-text:t">
                  <w:txbxContent>
                    <w:p w14:paraId="1F91786B" w14:textId="77777777" w:rsidR="004C3D8E" w:rsidRPr="00F751E2" w:rsidRDefault="004C3D8E" w:rsidP="001946C8">
                      <w:pPr>
                        <w:spacing w:after="0" w:line="240" w:lineRule="auto"/>
                        <w:jc w:val="center"/>
                        <w:rPr>
                          <w:sz w:val="18"/>
                          <w:szCs w:val="18"/>
                        </w:rPr>
                      </w:pPr>
                      <w:r w:rsidRPr="00F751E2">
                        <w:rPr>
                          <w:sz w:val="18"/>
                          <w:szCs w:val="18"/>
                        </w:rPr>
                        <w:t xml:space="preserve">Razem: </w:t>
                      </w:r>
                      <w:r>
                        <w:rPr>
                          <w:sz w:val="18"/>
                          <w:szCs w:val="18"/>
                        </w:rPr>
                        <w:t>31 077</w:t>
                      </w:r>
                    </w:p>
                  </w:txbxContent>
                </v:textbox>
              </v:shape>
            </w:pict>
          </mc:Fallback>
        </mc:AlternateContent>
      </w:r>
      <w:r>
        <w:rPr>
          <w:noProof/>
          <w:sz w:val="16"/>
          <w:szCs w:val="16"/>
          <w:lang w:eastAsia="pl-PL"/>
        </w:rPr>
        <w:drawing>
          <wp:inline distT="0" distB="0" distL="0" distR="0" wp14:anchorId="3F2DF324" wp14:editId="60D57847">
            <wp:extent cx="5486400" cy="3200400"/>
            <wp:effectExtent l="0" t="0" r="0" b="0"/>
            <wp:docPr id="13"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0229504" w14:textId="77777777" w:rsidR="001946C8" w:rsidRDefault="001946C8" w:rsidP="001946C8">
      <w:pPr>
        <w:jc w:val="center"/>
      </w:pPr>
      <w:r>
        <w:rPr>
          <w:sz w:val="16"/>
        </w:rPr>
        <w:t>Stan na dzień 31 grudnia każdego roku; HS – hospicjum stacjonarne, OMP – oddział medycyny paliatywnej</w:t>
      </w:r>
    </w:p>
    <w:p w14:paraId="19BB7666" w14:textId="77777777" w:rsidR="001946C8" w:rsidRDefault="001946C8" w:rsidP="001946C8">
      <w:pPr>
        <w:jc w:val="center"/>
      </w:pPr>
      <w:r>
        <w:rPr>
          <w:sz w:val="16"/>
        </w:rPr>
        <w:t>Źródło: Biuletyny statystyczne CSIOZ z lat 2016–2019.</w:t>
      </w:r>
    </w:p>
    <w:bookmarkEnd w:id="12"/>
    <w:p w14:paraId="47B9E685" w14:textId="77777777" w:rsidR="001946C8" w:rsidRDefault="001946C8" w:rsidP="001946C8">
      <w:pPr>
        <w:pStyle w:val="Nagwek7"/>
      </w:pPr>
      <w:r>
        <w:t>Finansowanie</w:t>
      </w:r>
    </w:p>
    <w:p w14:paraId="41CD5063" w14:textId="77777777" w:rsidR="001946C8" w:rsidRDefault="001946C8" w:rsidP="001946C8">
      <w:pPr>
        <w:spacing w:after="120"/>
        <w:jc w:val="both"/>
      </w:pPr>
      <w:r>
        <w:t>Świadczenia opieki zdrowotnej udzielane w hospicjum stacjonarnym są finansowane ze środków NFZ, są więc bezpłatne dla pacjentów wymagających takiej opieki.</w:t>
      </w:r>
    </w:p>
    <w:p w14:paraId="7C91B828" w14:textId="77777777" w:rsidR="001946C8" w:rsidRDefault="001946C8" w:rsidP="001946C8">
      <w:pPr>
        <w:spacing w:after="120"/>
        <w:jc w:val="both"/>
      </w:pPr>
      <w:r>
        <w:t>Koszt wszystkich świadczeń opieki paliatywnej i hospicyjnej (wartość kontraktów zawartych z NFZ na udzielanie tego zakresu świadczeń) poniesiony przez NFZ w 2018 r. wyniósł ponad 733 mln zł (w stosunku do niemal 668 mln zł w 2017 r.). Na 2019 r. zaplanowano na realizację tych świadczeń w skali kraju środki w wysokości niemal 809 mln zł.</w:t>
      </w:r>
    </w:p>
    <w:p w14:paraId="7D52E0B2" w14:textId="77777777" w:rsidR="001946C8" w:rsidRDefault="001946C8" w:rsidP="001946C8">
      <w:pPr>
        <w:pStyle w:val="Nagwek5"/>
        <w:numPr>
          <w:ilvl w:val="2"/>
          <w:numId w:val="10"/>
        </w:numPr>
        <w:shd w:val="clear" w:color="auto" w:fill="DEEAF6" w:themeFill="accent1" w:themeFillTint="33"/>
        <w:spacing w:before="40" w:after="0" w:line="240" w:lineRule="auto"/>
        <w:ind w:left="1985" w:hanging="709"/>
      </w:pPr>
      <w:r>
        <w:t>Opieka ambulatoryjna</w:t>
      </w:r>
    </w:p>
    <w:p w14:paraId="6F830AC4" w14:textId="77777777" w:rsidR="001946C8" w:rsidRDefault="001946C8" w:rsidP="001946C8">
      <w:pPr>
        <w:pStyle w:val="Nagwek7"/>
      </w:pPr>
      <w:r>
        <w:t>Zakres wsparcia</w:t>
      </w:r>
    </w:p>
    <w:p w14:paraId="1140F605" w14:textId="45CF09BB" w:rsidR="001946C8" w:rsidRDefault="001946C8" w:rsidP="001946C8">
      <w:pPr>
        <w:spacing w:after="120"/>
        <w:jc w:val="both"/>
      </w:pPr>
      <w:r>
        <w:t>Świadczenia w opiece paliatywnej i hospicyjnej realizowane w warunkach ambulatoryjnych obejmują porady i konsultacje lekarskie, świadczenia pielęgniarskie oraz porady psychologiczne – udzielane w</w:t>
      </w:r>
      <w:r w:rsidR="00A75910">
        <w:t> </w:t>
      </w:r>
      <w:r>
        <w:t>poradni lub w domu chorego, a także wsparcie rodziny chorego.</w:t>
      </w:r>
    </w:p>
    <w:p w14:paraId="042AD831" w14:textId="77777777" w:rsidR="001946C8" w:rsidRDefault="001946C8" w:rsidP="001946C8">
      <w:pPr>
        <w:spacing w:after="120"/>
        <w:jc w:val="both"/>
      </w:pPr>
      <w:r>
        <w:t>Porady udzielane w poradni lub w domu pacjenta obejmują: badanie pacjenta, ordynację leków (w tym leków przeciwbólowych), zapewnienie niezbędnych badań diagnostycznych, zlecanie i wykonywanie zabiegów leczniczych, zlecanie zabiegów pielęgnacyjnych, kierowanie na konsultacje, kierowanie do szpitala, wydawanie orzeczeń i opinii o stanie zdrowia pacjenta, niezbędnych w procesie leczenia. W zakresie koniecznym do wykonania świadczeń gwarantowanych świadczeniodawca zapewnia świadczeniobiorcy nieodpłatnie badania diagnostyczne.</w:t>
      </w:r>
    </w:p>
    <w:p w14:paraId="7AB47004" w14:textId="6CE5B3DB" w:rsidR="001946C8" w:rsidRDefault="001946C8" w:rsidP="001946C8">
      <w:pPr>
        <w:spacing w:after="120"/>
        <w:jc w:val="both"/>
      </w:pPr>
      <w:r>
        <w:t>W ramach poradni są udzielane porady oraz realizowane wizyty domowe nie częściej niż dwa razy w</w:t>
      </w:r>
      <w:r w:rsidR="00A75910">
        <w:t> </w:t>
      </w:r>
      <w:r>
        <w:t>tygodniu.</w:t>
      </w:r>
    </w:p>
    <w:p w14:paraId="773A4DB3" w14:textId="77777777" w:rsidR="001946C8" w:rsidRDefault="001946C8" w:rsidP="001946C8">
      <w:pPr>
        <w:pStyle w:val="Nagwek7"/>
      </w:pPr>
      <w:r>
        <w:t>Grupa docelowa</w:t>
      </w:r>
    </w:p>
    <w:p w14:paraId="12C3BCCC" w14:textId="77777777" w:rsidR="001946C8" w:rsidRDefault="001946C8" w:rsidP="001946C8">
      <w:pPr>
        <w:spacing w:after="120"/>
        <w:jc w:val="both"/>
      </w:pPr>
      <w:bookmarkStart w:id="13" w:name="_Hlk44328515"/>
      <w:r>
        <w:t xml:space="preserve">Świadczenia te przysługują pacjentom chorującym na nieuleczalne, postępujące, ograniczające życie choroby nowotworowe i nienowotworowe wskazane w rozporządzeniu Ministra Zdrowia </w:t>
      </w:r>
      <w:r>
        <w:rPr>
          <w:i/>
          <w:iCs/>
        </w:rPr>
        <w:t>w sprawie świadczeń gwarantowanych z zakresu opieki paliatywnej i hospicyjnej</w:t>
      </w:r>
      <w:r>
        <w:t>.</w:t>
      </w:r>
    </w:p>
    <w:bookmarkEnd w:id="13"/>
    <w:p w14:paraId="7A2E9FD1" w14:textId="77777777" w:rsidR="001946C8" w:rsidRDefault="001946C8" w:rsidP="001946C8">
      <w:pPr>
        <w:spacing w:after="120"/>
        <w:jc w:val="both"/>
      </w:pPr>
      <w:r>
        <w:lastRenderedPageBreak/>
        <w:t>Świadczenia opieki zdrowotnej udzielane w poradni medycyny paliatywnej są przeznaczone dla pacjentów chorujących na choroby nowotworowe, u których zakończono leczenie przyczynowe i którzy potrzebują leczenia przeciwbólowego oraz wsparcia. Pod opieką poradni medycyny paliatywnej znajdują się osoby, które są stabilne, mają możliwość udania się do poradni sami lub – ze względu na ograniczoną możliwość poruszania się – wymagają porad lub wizyt w domu.</w:t>
      </w:r>
    </w:p>
    <w:p w14:paraId="69B62097" w14:textId="77777777" w:rsidR="001946C8" w:rsidRDefault="001946C8" w:rsidP="001946C8">
      <w:pPr>
        <w:pStyle w:val="Nagwek7"/>
      </w:pPr>
      <w:r>
        <w:t>Finansowanie</w:t>
      </w:r>
    </w:p>
    <w:p w14:paraId="0B0D30E0" w14:textId="77777777" w:rsidR="001946C8" w:rsidRDefault="001946C8" w:rsidP="001946C8">
      <w:pPr>
        <w:spacing w:after="120"/>
        <w:jc w:val="both"/>
      </w:pPr>
      <w:r>
        <w:t>Świadczenia opieki zdrowotnej udzielane w hospicjum stacjonarnym są finansowane ze środków NFZ, są więc bezpłatne dla pacjentów wymagających takiej opieki.</w:t>
      </w:r>
    </w:p>
    <w:p w14:paraId="1418CA0F" w14:textId="6633B22D" w:rsidR="001946C8" w:rsidRDefault="001946C8" w:rsidP="001946C8">
      <w:pPr>
        <w:spacing w:after="120"/>
        <w:jc w:val="both"/>
      </w:pPr>
      <w:r>
        <w:t>Koszt wszystkich świadczeń opieki paliatywnej i hospicyjnej (wartość kontraktów zawartych z NFZ na udzielanie tego zakresu świadczeń) poniesiony przez NFZ w 2018 r. wyniósł ponad 733 mln zł (w stosunku do niemal 668 mln zł w 2017 r.). Na 2019 r. zaplanowano na realizację tych świadczeń w</w:t>
      </w:r>
      <w:r w:rsidR="00A75910">
        <w:t> </w:t>
      </w:r>
      <w:r>
        <w:t>skali kraju środki w wysokości niemal 809 mln zł.</w:t>
      </w:r>
    </w:p>
    <w:p w14:paraId="160C5C45" w14:textId="77777777" w:rsidR="001946C8" w:rsidRDefault="001946C8" w:rsidP="001946C8">
      <w:pPr>
        <w:pStyle w:val="Nagwek5"/>
        <w:numPr>
          <w:ilvl w:val="2"/>
          <w:numId w:val="10"/>
        </w:numPr>
        <w:shd w:val="clear" w:color="auto" w:fill="DEEAF6" w:themeFill="accent1" w:themeFillTint="33"/>
        <w:spacing w:before="40" w:after="0" w:line="240" w:lineRule="auto"/>
        <w:ind w:left="1985" w:hanging="709"/>
      </w:pPr>
      <w:r>
        <w:t>Opieka domowa</w:t>
      </w:r>
    </w:p>
    <w:p w14:paraId="733C8D18" w14:textId="77777777" w:rsidR="001946C8" w:rsidRDefault="001946C8" w:rsidP="001946C8">
      <w:pPr>
        <w:pStyle w:val="Nagwek7"/>
      </w:pPr>
      <w:r>
        <w:t>Zakres wsparcia</w:t>
      </w:r>
    </w:p>
    <w:p w14:paraId="74FDBD3D" w14:textId="14CAEEAF" w:rsidR="001946C8" w:rsidRDefault="001946C8" w:rsidP="001946C8">
      <w:pPr>
        <w:spacing w:after="120"/>
        <w:jc w:val="both"/>
      </w:pPr>
      <w:r>
        <w:t>Hospicjum domowe zajmuje się opieką nad chorymi w terminalnej fazie choroby, przebywającymi w</w:t>
      </w:r>
      <w:r w:rsidR="00A75910">
        <w:t> </w:t>
      </w:r>
      <w:r>
        <w:t>środowisku, które jest im znane i gdzie czują się najlepiej, czyli np. we własnych domach. Personel hospicjum otacza opieką rodzinę chorego w trudnym okresie choroby. Najważniejszym założeniem hospicjum domowego jest ścisła współpraca personelu z rodziną.</w:t>
      </w:r>
    </w:p>
    <w:p w14:paraId="4551C02D" w14:textId="4CBDBEAB" w:rsidR="001946C8" w:rsidRDefault="001946C8" w:rsidP="001946C8">
      <w:pPr>
        <w:spacing w:after="120"/>
        <w:jc w:val="both"/>
      </w:pPr>
      <w:r>
        <w:t>Świadczenia w hospicjum domowym (wizyty domowe) realizowane są we współpracy z lekarzem i</w:t>
      </w:r>
      <w:r w:rsidR="00A75910">
        <w:t> </w:t>
      </w:r>
      <w:r>
        <w:t>pielęgniarką podstawowej opieki zdrowotnej. Świadczenia te obejmują bezpłatne: porady i</w:t>
      </w:r>
      <w:r w:rsidR="00A75910">
        <w:t> </w:t>
      </w:r>
      <w:r>
        <w:t>konsultacje lekarskie, świadczenia pielęgniarskie, leczenie farmakologiczne, leczenie objawów somatycznych i leczenie bólu, opiekę psychologiczną nad pacjentem i jego rodziną, rehabilitację, zapobieganie powikłaniom, badania zlecone przez lekarza zatrudnionego w hospicjum domowym, ordynację leków oraz wypożyczanie przez hospicja domowe sprzętu medycznego i pomocniczego. W</w:t>
      </w:r>
      <w:r w:rsidR="00A75910">
        <w:t> </w:t>
      </w:r>
      <w:r>
        <w:t>zakresie koniecznym do wykonania świadczeń gwarantowanych świadczeniodawca zapewnia świadczeniobiorcy nieodpłatnie badania diagnostyczne.</w:t>
      </w:r>
    </w:p>
    <w:p w14:paraId="6C46514A" w14:textId="77777777" w:rsidR="001946C8" w:rsidRDefault="001946C8" w:rsidP="001946C8">
      <w:pPr>
        <w:spacing w:after="120"/>
        <w:jc w:val="both"/>
      </w:pPr>
      <w:r>
        <w:t>W ramach opieki paliatywnej i hospicyjnej udzielanej w warunkach domowych, pacjent ma całodobowy dostęp do świadczeń udzielanych przez lekarza i pielęgniarkę przez 7 dni w tygodniu. Porady lekarskie odbywają się nie rzadziej niż 2 razy w miesiącu, wizyty pielęgniarskie – nie rzadziej niż 2 razy w tygodniu.</w:t>
      </w:r>
    </w:p>
    <w:p w14:paraId="60A98701" w14:textId="77777777" w:rsidR="001946C8" w:rsidRDefault="001946C8" w:rsidP="001946C8">
      <w:pPr>
        <w:pStyle w:val="Nagwek7"/>
      </w:pPr>
      <w:r>
        <w:t>Grupa d</w:t>
      </w:r>
      <w:r w:rsidRPr="007134F3">
        <w:rPr>
          <w:rStyle w:val="Odwoaniedokomentarza"/>
          <w:sz w:val="22"/>
          <w:szCs w:val="22"/>
        </w:rPr>
        <w:t>o</w:t>
      </w:r>
      <w:r>
        <w:t>celowa</w:t>
      </w:r>
    </w:p>
    <w:p w14:paraId="62AD2CC5" w14:textId="77777777" w:rsidR="001946C8" w:rsidRDefault="001946C8" w:rsidP="001946C8">
      <w:pPr>
        <w:spacing w:after="120"/>
        <w:jc w:val="both"/>
      </w:pPr>
      <w:r>
        <w:t>Świadczenia opieki paliatywnej i hospicyjnej to wszechstronna, całościowa opieka i leczenie objawowe świadczeniobiorców chorujących na nieuleczalne, niepoddające się leczeniu przyczynowemu, postępujące, ograniczające życie choroby. Opieka ta jest ukierunkowana na poprawę jakości życia, ma na celu zapobieganie bólowi i innym objawom somatycznym oraz ich uśmierzanie, łagodzenie cierpień psychicznych, duchowych i socjalnych.</w:t>
      </w:r>
    </w:p>
    <w:p w14:paraId="289B61A0" w14:textId="77777777" w:rsidR="001946C8" w:rsidRDefault="001946C8" w:rsidP="001946C8">
      <w:pPr>
        <w:spacing w:after="120"/>
        <w:jc w:val="both"/>
      </w:pPr>
      <w:r>
        <w:t>Jednocześnie pacjenci hospicjum domowego powinni mieć zapewnione odpowiednie warunki domowe oraz przeszkolonych opiekunów w zakresie opieki i pielęgnacji oraz ewentualnej obsługi aparatury medycznej i udzielania pierwszej pomocy, tak aby podczas udzielania opieki mogło być zapewnione bezpieczeństwo świadczeniobiorcy.</w:t>
      </w:r>
    </w:p>
    <w:p w14:paraId="6BFD0BB7" w14:textId="77777777" w:rsidR="001946C8" w:rsidRDefault="001946C8" w:rsidP="001946C8">
      <w:pPr>
        <w:pStyle w:val="Nagwek7"/>
      </w:pPr>
      <w:r>
        <w:t>Fin</w:t>
      </w:r>
      <w:r w:rsidRPr="007134F3">
        <w:rPr>
          <w:rStyle w:val="Odwoaniedokomentarza"/>
          <w:sz w:val="22"/>
          <w:szCs w:val="22"/>
        </w:rPr>
        <w:t>a</w:t>
      </w:r>
      <w:r>
        <w:t>nsowanie</w:t>
      </w:r>
    </w:p>
    <w:p w14:paraId="65B76E74" w14:textId="77777777" w:rsidR="001946C8" w:rsidRDefault="001946C8" w:rsidP="001946C8">
      <w:pPr>
        <w:spacing w:after="120"/>
        <w:jc w:val="both"/>
      </w:pPr>
      <w:r>
        <w:t>Świadczenia opieki zdrowotnej udzielane w hospicjum domowym są finansowane ze środków NFZ, są więc bezpłatne dla pacjentów wymagających takiej opieki.</w:t>
      </w:r>
    </w:p>
    <w:p w14:paraId="49154576" w14:textId="4753472D" w:rsidR="001946C8" w:rsidRDefault="001946C8" w:rsidP="001946C8">
      <w:pPr>
        <w:spacing w:after="120"/>
        <w:jc w:val="both"/>
      </w:pPr>
      <w:r>
        <w:lastRenderedPageBreak/>
        <w:t>Koszt wszystkich świadczeń opieki paliatywnej i hospicyjnej (wartość kontraktów zawartych z NFZ na udzielanie tego zakresu świadczeń) poniesiony przez NFZ w 2018 r. wyniósł ponad 733 mln zł (w</w:t>
      </w:r>
      <w:r w:rsidR="00A75910">
        <w:t> </w:t>
      </w:r>
      <w:r>
        <w:t>stosunku do niemal 668 mln zł w 2017 r.). Na 2019 r. zaplanowano na realizację tych świadczeń w skali kraju środki w wysokości niemal 809 mln zł.</w:t>
      </w:r>
    </w:p>
    <w:p w14:paraId="50169A3B" w14:textId="77777777" w:rsidR="001946C8" w:rsidRPr="00DD2123" w:rsidRDefault="001946C8" w:rsidP="001946C8">
      <w:pPr>
        <w:pStyle w:val="Nagwek2"/>
        <w:numPr>
          <w:ilvl w:val="0"/>
          <w:numId w:val="13"/>
        </w:numPr>
        <w:shd w:val="clear" w:color="auto" w:fill="FFBDDE"/>
        <w:ind w:left="851" w:hanging="491"/>
        <w:rPr>
          <w:color w:val="FF0066"/>
        </w:rPr>
      </w:pPr>
      <w:r w:rsidRPr="00DD2123">
        <w:rPr>
          <w:color w:val="FF0066"/>
        </w:rPr>
        <w:t>Opieka nieformalna</w:t>
      </w:r>
    </w:p>
    <w:p w14:paraId="0E27A586" w14:textId="12BF7D67" w:rsidR="001946C8" w:rsidRDefault="001946C8" w:rsidP="001946C8">
      <w:pPr>
        <w:spacing w:after="120"/>
        <w:jc w:val="both"/>
      </w:pPr>
      <w:r>
        <w:t xml:space="preserve">W Polsce w dużej mierze to sieć rodzinna osoby starszej stawia czoła ryzyku niesprawności i potrzebie wsparcia w codziennym funkcjonowaniu </w:t>
      </w:r>
      <w:r w:rsidR="00A75910">
        <w:t xml:space="preserve">i </w:t>
      </w:r>
      <w:r>
        <w:t>wynikającym z tego potrzebom opiekuńczym tychże osób. Zadania rodziny i role jej członków są w Polsce nadal postrzeganie w tradycyjny sposób, a system opieki nad osobami starszymi wymagających wsparcia w codziennym funkcjonowaniu w Polsce opiera się w</w:t>
      </w:r>
      <w:r w:rsidR="00A75910">
        <w:t> </w:t>
      </w:r>
      <w:r>
        <w:t xml:space="preserve">głównej mierze właśnie na opiece nieformalnej sprawowanej przez bliskich chorego. Rola opiekuńcza rodziny jako swoista norma kulturowa ma zatem istotny wpływ </w:t>
      </w:r>
      <w:r w:rsidR="00A75910">
        <w:t>na</w:t>
      </w:r>
      <w:r>
        <w:t xml:space="preserve"> kształtowani</w:t>
      </w:r>
      <w:r w:rsidR="00A75910">
        <w:t>e</w:t>
      </w:r>
      <w:r>
        <w:t xml:space="preserve"> modelu opieki nad osobami wymagającymi takiego wsparcia.</w:t>
      </w:r>
    </w:p>
    <w:p w14:paraId="2205C239" w14:textId="34A50587" w:rsidR="001946C8" w:rsidRDefault="001946C8" w:rsidP="001946C8">
      <w:pPr>
        <w:spacing w:after="120"/>
        <w:jc w:val="both"/>
      </w:pPr>
      <w:r>
        <w:t>Podjęcie decyzji o zaopiekowaniu się osobą wymagającą wsparcia w codziennym funkcjonowaniu jest zdeterminowane społecznymi tradycjami, normami i oczekiwaniami odnoszącymi się do pozycji, ról rodzinnych, a także do roli rodziny w systemie nieformalnego oparcia społecznego. Przemiany cywilizacyjne oraz modernizacja społeczeństwa, w szczególności zmiany dotyczące życia rodzinnego, wpływają na sposób organizacji i świadczenia usług opiekuńczych przez nieformalne sieci wsparcia. Pomimo tak intensywnych przemian zachodzących w obrębie rodziny w ostatnich latach, Polacy nadal bardzo tradycyjnie postrzegają rolę rodziny w sprawowaniu opieki nad przedstawicielami starszej generacji, jednocześnie traktując instytucjonalną formę opieki jako awaryjną i przymusową dla rodziny</w:t>
      </w:r>
      <w:r w:rsidR="00A75910">
        <w:t xml:space="preserve"> (…)</w:t>
      </w:r>
      <w:r>
        <w:t>. Intensywnym przemianom demograficznym towarzyszą również zmiany w</w:t>
      </w:r>
      <w:r w:rsidR="00A75910">
        <w:t> </w:t>
      </w:r>
      <w:r>
        <w:t>układach rodzinnych oraz obowiązujących w społeczeństwie stosunkach panujących pomiędzy starszą i młodszą generacją</w:t>
      </w:r>
      <w:r w:rsidRPr="00D46259">
        <w:rPr>
          <w:color w:val="0070C0"/>
          <w:vertAlign w:val="superscript"/>
        </w:rPr>
        <w:footnoteReference w:id="49"/>
      </w:r>
      <w:r>
        <w:t>.</w:t>
      </w:r>
    </w:p>
    <w:p w14:paraId="51F8D58E" w14:textId="77777777" w:rsidR="001946C8" w:rsidRDefault="001946C8" w:rsidP="001946C8">
      <w:pPr>
        <w:spacing w:after="120"/>
        <w:jc w:val="both"/>
      </w:pPr>
      <w:r>
        <w:t>Zgodnie z jedną z najpowszechniej używanych definicji opiekunem nieformalnym jest osoba, która dostarcza regularnego, trwałego, fizycznego i (lub) emocjonalnego wsparcia oraz asysty przy czynnościach dnia codziennego komuś, kto jest fizycznie lub intelektualnie niepełnosprawny, psychicznie chory i jest osobą starszą, której psychofizyczną kondycję można określić jako słabą. Pojęcie opiekuna nieformalnego jest szersze niż pojęcie opiekuna rodzinnego, ponieważ poza rodziną osoby starszej obejmuje ono również bliskich spoza rodziny (np. sąsiadów czy przyjaciół), którzy także mogą sprawować opiekę nad osobami starszymi</w:t>
      </w:r>
      <w:r w:rsidRPr="00D46259">
        <w:rPr>
          <w:color w:val="0070C0"/>
          <w:vertAlign w:val="superscript"/>
        </w:rPr>
        <w:footnoteReference w:id="50"/>
      </w:r>
      <w:r>
        <w:t>.</w:t>
      </w:r>
    </w:p>
    <w:p w14:paraId="5225820D" w14:textId="77777777" w:rsidR="001946C8" w:rsidRDefault="001946C8" w:rsidP="001946C8">
      <w:pPr>
        <w:spacing w:after="120"/>
        <w:jc w:val="both"/>
      </w:pPr>
      <w:r>
        <w:t xml:space="preserve">Na poziomie ustaw i rozporządzeń nie funkcjonuje pojęcie opieki formalnej i nieformalnej. Termin ten pojawia się w </w:t>
      </w:r>
      <w:r>
        <w:rPr>
          <w:i/>
        </w:rPr>
        <w:t>Założeniach Długofalowej Polityki Senioralnej w Polsce na lata 2014–2020</w:t>
      </w:r>
      <w:r>
        <w:t xml:space="preserve"> w kontekście opiekunów sprawujących opiekę nad osobami starszymi o ograniczonej samodzielności. Opiekuna nieformalnego definiuje się tam jako osobę niebędącą opiekunem medycznym, opiekującą się osobą o ograniczonej samodzielności, np. członek rodziny</w:t>
      </w:r>
      <w:r w:rsidRPr="00D46259">
        <w:rPr>
          <w:color w:val="0070C0"/>
          <w:vertAlign w:val="superscript"/>
        </w:rPr>
        <w:footnoteReference w:id="51"/>
      </w:r>
      <w:r>
        <w:t>.</w:t>
      </w:r>
    </w:p>
    <w:p w14:paraId="03FB01EC" w14:textId="77777777" w:rsidR="001946C8" w:rsidRDefault="001946C8" w:rsidP="001946C8">
      <w:pPr>
        <w:spacing w:after="120"/>
        <w:jc w:val="both"/>
      </w:pPr>
      <w:r>
        <w:t xml:space="preserve">Z kolei w Wytycznych Ministerstwa Rozwoju opiekun nieformalny nazywany jest także opiekunem faktycznym i jest nim osoba pełnoletnia opiekująca się osobą wymagającą wsparcia w codziennym </w:t>
      </w:r>
      <w:r>
        <w:lastRenderedPageBreak/>
        <w:t>funkcjonowaniu, niebędąca opiekunem zawodowym i niepobierająca wynagrodzenia z tytułu udzielanej opieki, najczęściej członek rodziny</w:t>
      </w:r>
      <w:r w:rsidRPr="00D46259">
        <w:rPr>
          <w:color w:val="0070C0"/>
          <w:vertAlign w:val="superscript"/>
        </w:rPr>
        <w:footnoteReference w:id="52"/>
      </w:r>
      <w:r>
        <w:t>.</w:t>
      </w:r>
    </w:p>
    <w:p w14:paraId="4F855C00" w14:textId="454756F2" w:rsidR="001946C8" w:rsidRDefault="001946C8" w:rsidP="001946C8">
      <w:pPr>
        <w:spacing w:after="120"/>
        <w:jc w:val="both"/>
      </w:pPr>
      <w:r>
        <w:t>Sprawowanie opieki nad osobami starszymi w Polsce przede wszystkim przez rodzinę wynika zarówno z uwarunkowań społecznych, kulturowych, jak i istniejących uregulowań prawnych, które zobowiązują małżonków, rodziców i dzieci do wzajemnej pomocy i wsparcia</w:t>
      </w:r>
      <w:r w:rsidRPr="00D46259">
        <w:rPr>
          <w:color w:val="0070C0"/>
          <w:vertAlign w:val="superscript"/>
        </w:rPr>
        <w:footnoteReference w:id="53"/>
      </w:r>
      <w:r>
        <w:t xml:space="preserve"> oraz wywołują konsekwencje prawne w przypadku nieudzielenia pomocy i odmawiania wsparcia najbliższej rodzinie np. w trakcie choroby</w:t>
      </w:r>
      <w:r w:rsidRPr="00D46259">
        <w:rPr>
          <w:color w:val="0070C0"/>
          <w:vertAlign w:val="superscript"/>
        </w:rPr>
        <w:footnoteReference w:id="54"/>
      </w:r>
      <w:r>
        <w:t>. Przepisy prawa nie określają jednak, w jaki sposób rodzina powinna sprawować opiekę nad członkiem rodziny, tym bardziej nad starszymi osobami wymagającymi wsparcia w codziennym funkcjonowaniu . Zakres, sposób organizacji i czas sprawowania opieki nad członkiem rodziny wymagającym wsparcia pozostaje więc suwerenną decyzją rodziny (obejmującą różne aspekty życia przy wykorzystaniu własnych zasobów oraz usług publicznych), niejednokrotnie uzależnioną od stanu zdrowia lub stopnia sprawności członka rodziny, składu rodziny oraz sytuacji materialnej i zawodowe</w:t>
      </w:r>
      <w:bookmarkStart w:id="14" w:name="_Toc22650844"/>
      <w:bookmarkEnd w:id="14"/>
      <w:r>
        <w:t>j rodziny. W Polsce nie prowadzi się rejestru opiekunów nieformalnych, nie można więc ustalić szczegółowych danych na temat łącznej liczby opiekunów nieformalnych i osób objętych taką opieką. Niemniej jednak szacuje się, że większość osób starszych otrzymuje w Polsce opiekę nieformalną – odsetek ten stanowi w</w:t>
      </w:r>
      <w:r w:rsidR="00A75910">
        <w:t> </w:t>
      </w:r>
      <w:r>
        <w:t>zależności od badania od 80% do 93%</w:t>
      </w:r>
      <w:r w:rsidRPr="00D46259">
        <w:rPr>
          <w:color w:val="0070C0"/>
          <w:vertAlign w:val="superscript"/>
        </w:rPr>
        <w:footnoteReference w:id="55"/>
      </w:r>
      <w:r>
        <w:t>. Posiłkując się natomiast wynikami badania Eurofamcare, prowadzonego w wybranych krajach europejskich, w tym także w Polsce w latach 2003–2004, szacowano liczbę opiekunów nieformalnych w Polsce na ok. 2 mln osób</w:t>
      </w:r>
      <w:r w:rsidRPr="00D46259">
        <w:rPr>
          <w:color w:val="0070C0"/>
          <w:vertAlign w:val="superscript"/>
        </w:rPr>
        <w:footnoteReference w:id="56"/>
      </w:r>
      <w:r>
        <w:t>.</w:t>
      </w:r>
    </w:p>
    <w:p w14:paraId="4A275EB7" w14:textId="77777777" w:rsidR="001946C8" w:rsidRDefault="001946C8" w:rsidP="001946C8">
      <w:pPr>
        <w:spacing w:after="120"/>
        <w:jc w:val="both"/>
      </w:pPr>
      <w:r>
        <w:t>Dostępne statystyki nie odzwierciedlają jednak zjawiska nieformalnego zatrudniania opiekunów przez bogatsze gospodarstwa domowe, co może dodatkowo komplikować analizę modelu opieki w Polsce. Niemniej jednak nawet biorąc ten fakt pod uwagę, odsetek osób niekorzystających z formalnych świadczeń opiekuńczych w Polsce jest wciąż najwyższy ze wszystkich krajów UE</w:t>
      </w:r>
      <w:r w:rsidRPr="00846257">
        <w:rPr>
          <w:color w:val="0070C0"/>
          <w:vertAlign w:val="superscript"/>
        </w:rPr>
        <w:footnoteReference w:id="57"/>
      </w:r>
      <w:r>
        <w:t>.</w:t>
      </w:r>
    </w:p>
    <w:p w14:paraId="63696FD7" w14:textId="77777777" w:rsidR="001946C8" w:rsidRDefault="001946C8" w:rsidP="001946C8">
      <w:pPr>
        <w:spacing w:after="120"/>
        <w:jc w:val="both"/>
      </w:pPr>
      <w:r>
        <w:t>W Polsce, podobnie jak w innych krajach, najczęstszymi opiekunami nieformalnymi są współmałżonkowie, dzieci oraz osoby dalej spokrewnione, z tym, że dzieci podejmują się obowiązku opieki nieco częściej niż w innych krajach Unii Europejskiej, takich jak Grecja, Niemcy, Szwecja, Wielka Brytania czy Włochy</w:t>
      </w:r>
      <w:r w:rsidRPr="00846257">
        <w:rPr>
          <w:color w:val="0070C0"/>
          <w:vertAlign w:val="superscript"/>
        </w:rPr>
        <w:footnoteReference w:id="58"/>
      </w:r>
      <w:r>
        <w:t>.</w:t>
      </w:r>
    </w:p>
    <w:p w14:paraId="5EF47162" w14:textId="77777777" w:rsidR="001946C8" w:rsidRDefault="001946C8" w:rsidP="001946C8">
      <w:pPr>
        <w:spacing w:after="120"/>
        <w:jc w:val="both"/>
      </w:pPr>
      <w:r>
        <w:t>Badanie Eurofamcare wykazało, że średni wiek opiekunów rodzinnych rośnie wraz z wiekiem podopiecznych i spadkiem ich sprawności funkcjonalnej, a większość opiekunów rodzinnych to kobiety w wieku 50–60 lat, głównie córki opiekujące się rodzicami lub teściami (pokolenie dojrzałych dzieci opiekujące się pokoleniem osób sędziwych)</w:t>
      </w:r>
      <w:r w:rsidRPr="00846257">
        <w:rPr>
          <w:color w:val="0070C0"/>
          <w:vertAlign w:val="superscript"/>
        </w:rPr>
        <w:footnoteReference w:id="59"/>
      </w:r>
      <w:r>
        <w:t xml:space="preserve">. Rodzinni opiekunowie zajmują się nie tylko osobami </w:t>
      </w:r>
      <w:r>
        <w:lastRenderedPageBreak/>
        <w:t>starszymi, z którymi dzielą mieszkanie, lecz otaczają troską także tych członków rodziny, którzy mieszkają samotnie</w:t>
      </w:r>
      <w:r w:rsidRPr="00846257">
        <w:rPr>
          <w:color w:val="0070C0"/>
          <w:vertAlign w:val="superscript"/>
        </w:rPr>
        <w:footnoteReference w:id="60"/>
      </w:r>
      <w:r>
        <w:t>.</w:t>
      </w:r>
    </w:p>
    <w:p w14:paraId="62AE941E" w14:textId="77777777" w:rsidR="001946C8" w:rsidRDefault="001946C8" w:rsidP="001946C8">
      <w:pPr>
        <w:spacing w:after="120"/>
        <w:jc w:val="both"/>
      </w:pPr>
      <w:r>
        <w:t xml:space="preserve">Inne wyniki badań również potwierdzają, że opiekę nad osobami starszymi w ramach rodziny sprawują najczęściej osoby w dojrzałym wieku (45–64 lat), określane jako tzw. kanapkowe pokolenie (ang. </w:t>
      </w:r>
      <w:r>
        <w:rPr>
          <w:i/>
          <w:iCs/>
        </w:rPr>
        <w:t>sandwich generation</w:t>
      </w:r>
      <w:r w:rsidRPr="00F751E2">
        <w:t>)</w:t>
      </w:r>
      <w:r w:rsidRPr="005A4DC3">
        <w:t xml:space="preserve"> </w:t>
      </w:r>
      <w:r>
        <w:t>odnoszące się do pokolenia osób dojrzałych, które z różnych względów muszą obejmować opieką zarówno swoich starzejących się rodziców, jak wspierać dorosłe dzieci, a częstokroć także wnuki, jednocześnie trudniąc się nadal pracą zawodową</w:t>
      </w:r>
      <w:r w:rsidRPr="00846257">
        <w:rPr>
          <w:color w:val="0070C0"/>
          <w:vertAlign w:val="superscript"/>
        </w:rPr>
        <w:footnoteReference w:id="61"/>
      </w:r>
      <w:r>
        <w:t>. Niejednokrotnie zdarza się również, że starsza grupa osób z tego pokolenia wspiera równocześnie swoich współmałżonków/partnerów wymagających już pewnej formy codziennej opieki lub asysty ze względu na chorobę lub niesprawność. Sytuacja taka generuje potrójne obciążenie, co – przy braku wsparcia z zewnątrz – często może negatywnie oddziaływać m.in. na stan zdrowia i ogólną jakość życia tychże osób.</w:t>
      </w:r>
    </w:p>
    <w:p w14:paraId="5E7522BB" w14:textId="7ECD186C" w:rsidR="001946C8" w:rsidRDefault="001946C8" w:rsidP="001946C8">
      <w:pPr>
        <w:spacing w:after="120"/>
        <w:jc w:val="both"/>
      </w:pPr>
      <w:r>
        <w:t>Zjawisko silnej feminizacji roli opiekuna nieformalnego zauważalne jest również w innych badaniach i</w:t>
      </w:r>
      <w:r w:rsidR="00A75910">
        <w:t> </w:t>
      </w:r>
      <w:r>
        <w:t>analizach prowadzonych w obszarze organizowania i świadczenia opieki osobom wymagającym wsparcia w codziennym funkcjonowaniu , jednak ich odsetek różni się w zależności od badania</w:t>
      </w:r>
      <w:r w:rsidRPr="00846257">
        <w:rPr>
          <w:color w:val="0070C0"/>
          <w:vertAlign w:val="superscript"/>
        </w:rPr>
        <w:footnoteReference w:id="62"/>
      </w:r>
      <w:r>
        <w:t xml:space="preserve"> (od ponad 65%</w:t>
      </w:r>
      <w:r w:rsidRPr="00846257">
        <w:rPr>
          <w:color w:val="0070C0"/>
          <w:vertAlign w:val="superscript"/>
        </w:rPr>
        <w:footnoteReference w:id="63"/>
      </w:r>
      <w:r>
        <w:t xml:space="preserve"> do niemal 80%</w:t>
      </w:r>
      <w:r w:rsidRPr="00846257">
        <w:rPr>
          <w:color w:val="0070C0"/>
          <w:vertAlign w:val="superscript"/>
        </w:rPr>
        <w:footnoteReference w:id="64"/>
      </w:r>
      <w:r>
        <w:t>). Równocześnie kobiety stanowią większość osób wymagających takiej opieki</w:t>
      </w:r>
      <w:r w:rsidRPr="00846257">
        <w:rPr>
          <w:color w:val="0070C0"/>
          <w:vertAlign w:val="superscript"/>
        </w:rPr>
        <w:footnoteReference w:id="65"/>
      </w:r>
      <w:r>
        <w:t>. Fakt ten związany jest z tym, że kobiety żyją przeciętnie dłużej niż mężczyźni, a także częściej i wcześniej szukają pomocy (np. medycznej) i wsparcia społecznego</w:t>
      </w:r>
      <w:r w:rsidRPr="00386A4A">
        <w:rPr>
          <w:color w:val="0070C0"/>
          <w:vertAlign w:val="superscript"/>
        </w:rPr>
        <w:footnoteReference w:id="66"/>
      </w:r>
      <w:r>
        <w:t>.</w:t>
      </w:r>
    </w:p>
    <w:p w14:paraId="4EC245FC" w14:textId="77777777" w:rsidR="001946C8" w:rsidRDefault="001946C8" w:rsidP="001946C8">
      <w:pPr>
        <w:spacing w:after="120"/>
        <w:jc w:val="both"/>
      </w:pPr>
      <w:r>
        <w:t>Kobiety statystycznie częściej podejmują decyzję o zmniejszeniu wymiaru zatrudnienia lub całkowitej rezygnacji z pracy zawodowej w przypadku zapotrzebowania bliskich na opiekę. Kobiety bierne zawodowo w wieku 25–54 lata, częściej niż mężczyźni jako przyczynę dezaktywizacji zawodowej wskazują pełnienie opieki nad osobami małoletnimi (dziećmi, wnukami) oraz osobami starszymi</w:t>
      </w:r>
      <w:r>
        <w:footnoteReference w:id="67"/>
      </w:r>
      <w:r>
        <w:t>. Powoduje to ich niemożność radzenia sobie z innymi obowiązkami, a w konsekwencji wcześniejsze odchodzenie z rynku pracy, bądź w przypadku młodych kobiet – odkładanie macierzyństwa lub mniejszą liczbę dzieci</w:t>
      </w:r>
      <w:r w:rsidRPr="00FC0400">
        <w:rPr>
          <w:color w:val="0070C0"/>
          <w:vertAlign w:val="superscript"/>
        </w:rPr>
        <w:footnoteReference w:id="68"/>
      </w:r>
      <w:r>
        <w:t>.</w:t>
      </w:r>
    </w:p>
    <w:p w14:paraId="0E03BD86" w14:textId="77777777" w:rsidR="001946C8" w:rsidRDefault="001946C8" w:rsidP="001946C8">
      <w:pPr>
        <w:spacing w:after="120"/>
        <w:jc w:val="both"/>
      </w:pPr>
      <w:r>
        <w:t>Osobiste zaangażowanie się członka rodziny w opiekę nad osobą w starszym wieku wymagającą wsparcia w codziennym funkcjonowaniu wymusza czasem konieczność czasowej lub całkowitej rezygnacji z aktywności zawodowej, co może stanowić zarówno problem indywidualny, jak i społeczno-ekonomiczny. W celu zapewnienia wsparcia w przypadkach sprawowania czasowej opieki nad chorym lub niepełnosprawnym członkiem rodziny osobie objętej opieką oraz opiekunowi przysługują określone świadczenia z systemu pomocy społecznej.</w:t>
      </w:r>
    </w:p>
    <w:p w14:paraId="408A8383" w14:textId="52342F66" w:rsidR="001946C8" w:rsidRDefault="001946C8" w:rsidP="001946C8">
      <w:pPr>
        <w:spacing w:after="120"/>
        <w:jc w:val="both"/>
      </w:pPr>
      <w:bookmarkStart w:id="15" w:name="_Toc25070495"/>
      <w:bookmarkStart w:id="16" w:name="_Toc22650860"/>
      <w:bookmarkStart w:id="17" w:name="_Toc31363440"/>
      <w:r>
        <w:lastRenderedPageBreak/>
        <w:t>Funkcja opiekuńcza pełniona w ramach rodziny nadal pozostaje nie do zastąpienia pomimo, że ostatnio coraz częściej następuje przesunięcie jej zadań na wyspecjalizowane instytucje, zarówno publiczne, jak i prywatne. Opieka prywatna (komercyjna) świadczona w miejscu zamieszkania osób wymagających wsparcia w codziennym funkcjonowaniu pozostaje poza kontrolą organów państwa, ponieważ jej zakresu oraz warunków wykonywania nie regulują żadne przepisy prawa (podobnie sytuacja ma się w</w:t>
      </w:r>
      <w:r w:rsidR="00A75910">
        <w:t> </w:t>
      </w:r>
      <w:r>
        <w:t>przypadku prywatnych instytucji opiekuńczych, które funkcjonują w oparciu o przepisy ogólne o</w:t>
      </w:r>
      <w:r w:rsidR="00A75910">
        <w:t> </w:t>
      </w:r>
      <w:r>
        <w:t>prowadzeniu działalności gospodarczej). W związku z tym brakuje rzetelnych informacji o</w:t>
      </w:r>
      <w:r w:rsidR="00A75910">
        <w:t> </w:t>
      </w:r>
      <w:r>
        <w:t>rzeczywistej liczbie podmiotów i osób świadczących usługi opiekuńcze komercyjnie oraz liczbie osób wymagających wsparcia w codziennym funkcjonowaniu, objętych tymi usługami.</w:t>
      </w:r>
    </w:p>
    <w:p w14:paraId="1CE41D85" w14:textId="77777777" w:rsidR="001946C8" w:rsidRDefault="001946C8" w:rsidP="001946C8">
      <w:pPr>
        <w:spacing w:after="120"/>
        <w:jc w:val="both"/>
      </w:pPr>
      <w:r>
        <w:t>Mimo coraz większej dostępności do usług profesjonalnych, rodzina jest najważniejszą i zazwyczaj jedyną grupą wsparcia dla osób starszych, które doświadczają ograniczenia samodzielności. Wsparcie ze strony rodziny nie daje jednak pełnej gwarancji zaspokajanie potrzeb opiekuńczych w Polsce, ponieważ rodzina nie jest już w pełni wydolna opiekuńczo i potrzebuje wsparcia zewnętrznego na coraz większą skalę niż jest to dostępne obecnie</w:t>
      </w:r>
      <w:r w:rsidRPr="00FC0400">
        <w:rPr>
          <w:color w:val="0070C0"/>
          <w:vertAlign w:val="superscript"/>
        </w:rPr>
        <w:footnoteReference w:id="69"/>
      </w:r>
      <w:r>
        <w:t>.</w:t>
      </w:r>
      <w:bookmarkEnd w:id="15"/>
      <w:bookmarkEnd w:id="16"/>
      <w:bookmarkEnd w:id="17"/>
    </w:p>
    <w:p w14:paraId="6B12BA19" w14:textId="77777777" w:rsidR="005631A4" w:rsidRDefault="005631A4">
      <w:r>
        <w:br w:type="page"/>
      </w:r>
    </w:p>
    <w:p w14:paraId="1AB732A8" w14:textId="77777777" w:rsidR="005631A4" w:rsidRPr="00B76A9E" w:rsidRDefault="005631A4" w:rsidP="003F0EEA">
      <w:pPr>
        <w:pStyle w:val="Nagwek1"/>
        <w:numPr>
          <w:ilvl w:val="0"/>
          <w:numId w:val="0"/>
        </w:numPr>
        <w:shd w:val="clear" w:color="auto" w:fill="FFDDEE"/>
        <w:spacing w:after="360"/>
        <w:jc w:val="center"/>
        <w:rPr>
          <w:color w:val="FF0066"/>
        </w:rPr>
      </w:pPr>
      <w:r w:rsidRPr="00B76A9E">
        <w:rPr>
          <w:color w:val="FF0066"/>
        </w:rPr>
        <w:lastRenderedPageBreak/>
        <w:t>KIERUNKI ROZWOJU WSPARCIA ZDROWOTNEGO</w:t>
      </w:r>
      <w:r w:rsidRPr="00B76A9E">
        <w:rPr>
          <w:color w:val="FF0066"/>
        </w:rPr>
        <w:br/>
        <w:t>W RAMACH PROCESU DEINSTYTUCJONALIZACJI</w:t>
      </w:r>
    </w:p>
    <w:p w14:paraId="70FEB883" w14:textId="152EE144" w:rsidR="005A4531" w:rsidRDefault="005A4531" w:rsidP="005631A4">
      <w:pPr>
        <w:suppressAutoHyphens/>
        <w:spacing w:after="120"/>
        <w:jc w:val="both"/>
        <w:textAlignment w:val="baseline"/>
        <w:rPr>
          <w:lang w:eastAsia="pl-PL"/>
        </w:rPr>
      </w:pPr>
      <w:r w:rsidRPr="005A4531">
        <w:rPr>
          <w:lang w:eastAsia="pl-PL"/>
        </w:rPr>
        <w:t>Osoby starsze stanowią jedną z cztere</w:t>
      </w:r>
      <w:r w:rsidR="00786615">
        <w:rPr>
          <w:lang w:eastAsia="pl-PL"/>
        </w:rPr>
        <w:t>ch</w:t>
      </w:r>
      <w:r w:rsidRPr="005A4531">
        <w:rPr>
          <w:lang w:eastAsia="pl-PL"/>
        </w:rPr>
        <w:t xml:space="preserve"> grup społecznych uwzględnionych w</w:t>
      </w:r>
      <w:r>
        <w:rPr>
          <w:i/>
          <w:lang w:eastAsia="pl-PL"/>
        </w:rPr>
        <w:t xml:space="preserve"> </w:t>
      </w:r>
      <w:r w:rsidR="005631A4" w:rsidRPr="005631A4">
        <w:rPr>
          <w:i/>
          <w:lang w:eastAsia="pl-PL"/>
        </w:rPr>
        <w:t>Ogólnoeuropejskich wytycznych dotyczących przejścia od opieki instytucjonalnej do opieki świadczonej na poziomie lokalnych społeczności</w:t>
      </w:r>
      <w:r w:rsidR="005631A4" w:rsidRPr="005631A4">
        <w:rPr>
          <w:lang w:eastAsia="pl-PL"/>
        </w:rPr>
        <w:t xml:space="preserve"> (obok, osób z niepełnosprawnościami osób mających problemy ze zdrowiem psychicznym</w:t>
      </w:r>
      <w:r w:rsidRPr="005A4531">
        <w:rPr>
          <w:lang w:eastAsia="pl-PL"/>
        </w:rPr>
        <w:t xml:space="preserve"> </w:t>
      </w:r>
      <w:r w:rsidRPr="005631A4">
        <w:rPr>
          <w:lang w:eastAsia="pl-PL"/>
        </w:rPr>
        <w:t>oraz dzieci</w:t>
      </w:r>
      <w:r w:rsidR="005631A4" w:rsidRPr="005631A4">
        <w:rPr>
          <w:lang w:eastAsia="pl-PL"/>
        </w:rPr>
        <w:t>).</w:t>
      </w:r>
    </w:p>
    <w:p w14:paraId="75271611" w14:textId="5DE69695" w:rsidR="005631A4" w:rsidRPr="005631A4" w:rsidRDefault="005A4531" w:rsidP="005631A4">
      <w:pPr>
        <w:suppressAutoHyphens/>
        <w:spacing w:after="120"/>
        <w:jc w:val="both"/>
        <w:textAlignment w:val="baseline"/>
        <w:rPr>
          <w:lang w:eastAsia="pl-PL"/>
        </w:rPr>
      </w:pPr>
      <w:r>
        <w:rPr>
          <w:lang w:eastAsia="pl-PL"/>
        </w:rPr>
        <w:t xml:space="preserve">Zgodnie z ww. dokumentem proces deinstytucjonalizacji usług skierowanych do tych osób ma przyczynić się </w:t>
      </w:r>
      <w:r>
        <w:t xml:space="preserve">do </w:t>
      </w:r>
      <w:r w:rsidRPr="00797F84">
        <w:t xml:space="preserve">rozwoju </w:t>
      </w:r>
      <w:r>
        <w:t xml:space="preserve">zindywidualizowanych usług w społeczności lokalnej </w:t>
      </w:r>
      <w:r w:rsidRPr="00797F84">
        <w:t>mają</w:t>
      </w:r>
      <w:r>
        <w:t>cych</w:t>
      </w:r>
      <w:r w:rsidRPr="00797F84">
        <w:t xml:space="preserve"> ograniczyć konieczność opieki instytucjonalnej</w:t>
      </w:r>
      <w:r>
        <w:t xml:space="preserve"> oraz przeniesienie istniejących zasobów z instytucji udzielających opieki długoterminowej do usług świadczonych w środowisku lokalnym</w:t>
      </w:r>
      <w:r w:rsidR="001A16F0">
        <w:t>.</w:t>
      </w:r>
    </w:p>
    <w:p w14:paraId="77868D42" w14:textId="77777777" w:rsidR="005631A4" w:rsidRPr="005631A4" w:rsidRDefault="005631A4" w:rsidP="005631A4">
      <w:pPr>
        <w:suppressAutoHyphens/>
        <w:spacing w:after="120"/>
        <w:jc w:val="both"/>
        <w:textAlignment w:val="baseline"/>
        <w:rPr>
          <w:lang w:eastAsia="pl-PL"/>
        </w:rPr>
      </w:pPr>
      <w:r w:rsidRPr="005631A4">
        <w:rPr>
          <w:lang w:eastAsia="pl-PL"/>
        </w:rPr>
        <w:t>Należy zwrócić uwagę, iż grupy te nie stanowią grup rozłącznych, np. osoba starsza jednocześnie może być osobą z niepełnosprawnościami lub mieć problemy ze zdrowiem psychicznym. Wówczas zakres form wsparcia uzależniony jest od stopnia poszczególnego rodzaju problemów i potrzeb zdrowotnych w tym zakresie.</w:t>
      </w:r>
    </w:p>
    <w:p w14:paraId="7FE627F7" w14:textId="77777777" w:rsidR="005631A4" w:rsidRPr="005631A4" w:rsidRDefault="005631A4" w:rsidP="005631A4">
      <w:pPr>
        <w:suppressAutoHyphens/>
        <w:spacing w:after="120"/>
        <w:jc w:val="both"/>
        <w:textAlignment w:val="baseline"/>
        <w:rPr>
          <w:lang w:eastAsia="pl-PL"/>
        </w:rPr>
      </w:pPr>
      <w:r w:rsidRPr="005631A4">
        <w:rPr>
          <w:lang w:eastAsia="pl-PL"/>
        </w:rPr>
        <w:t>Osobom starszym dedykowane są w szczególności świadczenia opieki długoterminowej oraz opieki paliatywnej i hospicyjnej, ponieważ osoby te stanowią najliczniejszą grupę odbiorców tychże świadczeń. Niemniej jednak bycie osobą starszą nie przesądza o potrzebie skorzystania z tego typu świadczeń, ponieważ podstawową kwalifikacją do ich uzyskania są ściśle określone problemy zdrowotne.</w:t>
      </w:r>
    </w:p>
    <w:p w14:paraId="3B982CD6" w14:textId="41A13AD6" w:rsidR="005631A4" w:rsidRPr="005631A4" w:rsidRDefault="005631A4" w:rsidP="005631A4">
      <w:pPr>
        <w:suppressAutoHyphens/>
        <w:spacing w:after="120"/>
        <w:jc w:val="both"/>
        <w:textAlignment w:val="baseline"/>
        <w:rPr>
          <w:lang w:eastAsia="pl-PL"/>
        </w:rPr>
      </w:pPr>
      <w:r w:rsidRPr="005631A4">
        <w:rPr>
          <w:lang w:eastAsia="pl-PL"/>
        </w:rPr>
        <w:t xml:space="preserve">Zapewnienie odpowiedniej opieki zdrowotnej ma szczególne znaczenie dla osób starszych </w:t>
      </w:r>
      <w:r w:rsidR="00386A4A">
        <w:t xml:space="preserve">wymagających wsparcia w codziennym funkcjonowaniu </w:t>
      </w:r>
      <w:r w:rsidRPr="005631A4">
        <w:rPr>
          <w:lang w:eastAsia="pl-PL"/>
        </w:rPr>
        <w:t>nie tylko z powodu ograniczonej mobilności i</w:t>
      </w:r>
      <w:r w:rsidR="007A2B4D">
        <w:rPr>
          <w:lang w:eastAsia="pl-PL"/>
        </w:rPr>
        <w:t> </w:t>
      </w:r>
      <w:r w:rsidRPr="005631A4">
        <w:rPr>
          <w:lang w:eastAsia="pl-PL"/>
        </w:rPr>
        <w:t>dysfunkcji zmysłowych, ale również z powodów problemów poznawczych i emocjonalnych na skutek postępujących zaburzeń otępiennych oraz przewlekłych i nieuleczalnych chorób onkologicznych i</w:t>
      </w:r>
      <w:r w:rsidR="007A2B4D">
        <w:rPr>
          <w:lang w:eastAsia="pl-PL"/>
        </w:rPr>
        <w:t> </w:t>
      </w:r>
      <w:r w:rsidRPr="005631A4">
        <w:rPr>
          <w:lang w:eastAsia="pl-PL"/>
        </w:rPr>
        <w:t>nieonkologicznych.</w:t>
      </w:r>
    </w:p>
    <w:p w14:paraId="57FCDC31" w14:textId="77777777" w:rsidR="005631A4" w:rsidRPr="005631A4" w:rsidRDefault="005631A4" w:rsidP="005631A4">
      <w:pPr>
        <w:suppressAutoHyphens/>
        <w:spacing w:after="120"/>
        <w:jc w:val="both"/>
        <w:textAlignment w:val="baseline"/>
        <w:rPr>
          <w:lang w:eastAsia="pl-PL"/>
        </w:rPr>
      </w:pPr>
      <w:r w:rsidRPr="005631A4">
        <w:rPr>
          <w:lang w:eastAsia="pl-PL"/>
        </w:rPr>
        <w:t>Ze względu na czytelność prezentacji kierunków rozwoju wsparcia z zakresu opieki długoterminowej, paliatywno-hospicyjnej i geriatrycznej w środowisku – grupę docelową zawężono do najliczniejszej podgrupy odbiorców tychże świadczeń – osób starszych i ich opiekunów.</w:t>
      </w:r>
    </w:p>
    <w:p w14:paraId="1A982476" w14:textId="77777777" w:rsidR="005631A4" w:rsidRPr="005631A4" w:rsidRDefault="005631A4" w:rsidP="005631A4">
      <w:pPr>
        <w:suppressAutoHyphens/>
        <w:spacing w:after="120"/>
        <w:jc w:val="both"/>
        <w:textAlignment w:val="baseline"/>
        <w:rPr>
          <w:lang w:eastAsia="pl-PL"/>
        </w:rPr>
      </w:pPr>
      <w:r w:rsidRPr="005631A4">
        <w:rPr>
          <w:lang w:eastAsia="pl-PL"/>
        </w:rPr>
        <w:t xml:space="preserve">Nadrzędnym celem </w:t>
      </w:r>
      <w:r w:rsidRPr="005631A4">
        <w:rPr>
          <w:rFonts w:eastAsia="Calibri"/>
          <w:color w:val="000000"/>
          <w:lang w:eastAsia="pl-PL"/>
        </w:rPr>
        <w:t>procesu deinstytucjonalizacji usłu</w:t>
      </w:r>
      <w:r w:rsidRPr="005631A4">
        <w:rPr>
          <w:lang w:eastAsia="pl-PL"/>
        </w:rPr>
        <w:t>g zdrowotnych dedykowanych osobom starszym jest:</w:t>
      </w:r>
    </w:p>
    <w:p w14:paraId="59BB827B" w14:textId="3A50CD55" w:rsidR="005631A4" w:rsidRPr="005631A4" w:rsidRDefault="005631A4" w:rsidP="005631A4">
      <w:pPr>
        <w:keepNext/>
        <w:keepLines/>
        <w:shd w:val="clear" w:color="auto" w:fill="9CC2E5" w:themeFill="accent1" w:themeFillTint="99"/>
        <w:tabs>
          <w:tab w:val="left" w:pos="435"/>
          <w:tab w:val="center" w:pos="4536"/>
        </w:tabs>
        <w:spacing w:before="120" w:after="240"/>
        <w:jc w:val="center"/>
        <w:outlineLvl w:val="0"/>
        <w:rPr>
          <w:rFonts w:eastAsiaTheme="majorEastAsia" w:cstheme="minorHAnsi"/>
          <w:b/>
          <w:color w:val="0070C0"/>
          <w:sz w:val="28"/>
          <w:szCs w:val="36"/>
          <w:lang w:eastAsia="pl-PL"/>
        </w:rPr>
      </w:pPr>
      <w:r w:rsidRPr="005631A4">
        <w:rPr>
          <w:rFonts w:eastAsiaTheme="majorEastAsia" w:cstheme="minorHAnsi"/>
          <w:b/>
          <w:color w:val="0070C0"/>
          <w:sz w:val="28"/>
          <w:szCs w:val="36"/>
          <w:lang w:eastAsia="pl-PL"/>
        </w:rPr>
        <w:t>CEL GŁÓWNY:</w:t>
      </w:r>
      <w:r w:rsidRPr="005631A4">
        <w:rPr>
          <w:rFonts w:eastAsiaTheme="majorEastAsia" w:cstheme="minorHAnsi"/>
          <w:b/>
          <w:color w:val="0070C0"/>
          <w:sz w:val="28"/>
          <w:szCs w:val="36"/>
          <w:lang w:eastAsia="pl-PL"/>
        </w:rPr>
        <w:br/>
        <w:t xml:space="preserve"> Poprawa jakości życia związanej ze zdrowiem </w:t>
      </w:r>
      <w:r w:rsidRPr="005631A4">
        <w:rPr>
          <w:rFonts w:eastAsiaTheme="majorEastAsia" w:cstheme="minorHAnsi"/>
          <w:b/>
          <w:color w:val="0070C0"/>
          <w:sz w:val="28"/>
          <w:szCs w:val="36"/>
          <w:lang w:eastAsia="pl-PL"/>
        </w:rPr>
        <w:br/>
        <w:t>u osób starszych i ich opiekunów w środowisku lokalnym</w:t>
      </w:r>
    </w:p>
    <w:p w14:paraId="09898AB2" w14:textId="77777777" w:rsidR="005631A4" w:rsidRPr="005631A4" w:rsidRDefault="005631A4" w:rsidP="005631A4">
      <w:pPr>
        <w:suppressAutoHyphens/>
        <w:spacing w:after="120"/>
        <w:jc w:val="both"/>
        <w:textAlignment w:val="baseline"/>
      </w:pPr>
      <w:r w:rsidRPr="005631A4">
        <w:rPr>
          <w:lang w:eastAsia="pl-PL"/>
        </w:rPr>
        <w:t>Uwzględniając spe</w:t>
      </w:r>
      <w:r w:rsidRPr="005631A4">
        <w:rPr>
          <w:color w:val="000000"/>
          <w:lang w:eastAsia="pl-PL"/>
        </w:rPr>
        <w:t xml:space="preserve">cyfikę i problematykę systemu ochrony zdrowia w Polsce za </w:t>
      </w:r>
      <w:r w:rsidRPr="005631A4">
        <w:rPr>
          <w:lang w:eastAsia="pl-PL"/>
        </w:rPr>
        <w:t xml:space="preserve">kluczowe dla realizacji powyższego celu przyjęto następujące </w:t>
      </w:r>
      <w:r w:rsidRPr="005631A4">
        <w:rPr>
          <w:b/>
          <w:bCs/>
          <w:lang w:eastAsia="pl-PL"/>
        </w:rPr>
        <w:t>obszary strategiczne</w:t>
      </w:r>
      <w:r w:rsidRPr="005631A4">
        <w:rPr>
          <w:lang w:eastAsia="pl-PL"/>
        </w:rPr>
        <w:t>:</w:t>
      </w:r>
    </w:p>
    <w:p w14:paraId="7C9A7240" w14:textId="77777777" w:rsidR="005631A4" w:rsidRPr="005631A4" w:rsidRDefault="005631A4" w:rsidP="005631A4">
      <w:pPr>
        <w:numPr>
          <w:ilvl w:val="0"/>
          <w:numId w:val="26"/>
        </w:numPr>
        <w:suppressAutoHyphens/>
        <w:spacing w:before="69" w:after="0"/>
        <w:jc w:val="both"/>
        <w:textAlignment w:val="baseline"/>
        <w:rPr>
          <w:b/>
          <w:bCs/>
          <w:color w:val="FF0066"/>
        </w:rPr>
      </w:pPr>
      <w:r w:rsidRPr="005631A4">
        <w:rPr>
          <w:b/>
          <w:bCs/>
          <w:color w:val="FF0066"/>
          <w:lang w:eastAsia="pl-PL"/>
        </w:rPr>
        <w:t>Rozwój zasobów kadrowych;</w:t>
      </w:r>
    </w:p>
    <w:p w14:paraId="4C1E0C2B" w14:textId="77777777" w:rsidR="005631A4" w:rsidRPr="005631A4" w:rsidRDefault="005631A4" w:rsidP="005631A4">
      <w:pPr>
        <w:numPr>
          <w:ilvl w:val="0"/>
          <w:numId w:val="26"/>
        </w:numPr>
        <w:suppressAutoHyphens/>
        <w:spacing w:before="69" w:after="0"/>
        <w:jc w:val="both"/>
        <w:textAlignment w:val="baseline"/>
        <w:rPr>
          <w:b/>
          <w:bCs/>
          <w:color w:val="FF0066"/>
        </w:rPr>
      </w:pPr>
      <w:r w:rsidRPr="005631A4">
        <w:rPr>
          <w:b/>
          <w:bCs/>
          <w:color w:val="FF0066"/>
          <w:lang w:eastAsia="pl-PL"/>
        </w:rPr>
        <w:t>Rozwój form opieki dziennej;</w:t>
      </w:r>
    </w:p>
    <w:p w14:paraId="37C59E78" w14:textId="77777777" w:rsidR="005631A4" w:rsidRPr="005631A4" w:rsidRDefault="005631A4" w:rsidP="005631A4">
      <w:pPr>
        <w:numPr>
          <w:ilvl w:val="0"/>
          <w:numId w:val="26"/>
        </w:numPr>
        <w:suppressAutoHyphens/>
        <w:spacing w:before="69" w:after="0"/>
        <w:jc w:val="both"/>
        <w:textAlignment w:val="baseline"/>
        <w:rPr>
          <w:b/>
          <w:bCs/>
          <w:color w:val="FF0066"/>
        </w:rPr>
      </w:pPr>
      <w:r w:rsidRPr="005631A4">
        <w:rPr>
          <w:b/>
          <w:bCs/>
          <w:color w:val="FF0066"/>
          <w:lang w:eastAsia="pl-PL"/>
        </w:rPr>
        <w:t>Rozwój form opieki domowej;</w:t>
      </w:r>
    </w:p>
    <w:p w14:paraId="335D3B0F" w14:textId="77777777" w:rsidR="005631A4" w:rsidRPr="005631A4" w:rsidRDefault="005631A4" w:rsidP="005631A4">
      <w:pPr>
        <w:numPr>
          <w:ilvl w:val="0"/>
          <w:numId w:val="26"/>
        </w:numPr>
        <w:suppressAutoHyphens/>
        <w:spacing w:before="69" w:after="0"/>
        <w:jc w:val="both"/>
        <w:textAlignment w:val="baseline"/>
        <w:rPr>
          <w:b/>
          <w:bCs/>
          <w:color w:val="FF0066"/>
        </w:rPr>
      </w:pPr>
      <w:r w:rsidRPr="005631A4">
        <w:rPr>
          <w:b/>
          <w:bCs/>
          <w:color w:val="FF0066"/>
          <w:lang w:eastAsia="pl-PL"/>
        </w:rPr>
        <w:t>Rozwój innowacyjnych form opieki;</w:t>
      </w:r>
    </w:p>
    <w:p w14:paraId="1AAF83A5" w14:textId="6C9ED93C" w:rsidR="005631A4" w:rsidRPr="005631A4" w:rsidRDefault="005631A4" w:rsidP="005631A4">
      <w:pPr>
        <w:numPr>
          <w:ilvl w:val="0"/>
          <w:numId w:val="26"/>
        </w:numPr>
        <w:suppressAutoHyphens/>
        <w:spacing w:before="69" w:after="0"/>
        <w:jc w:val="both"/>
        <w:textAlignment w:val="baseline"/>
        <w:rPr>
          <w:b/>
          <w:bCs/>
          <w:color w:val="FF0066"/>
        </w:rPr>
      </w:pPr>
      <w:r w:rsidRPr="005631A4">
        <w:rPr>
          <w:b/>
          <w:bCs/>
          <w:color w:val="FF0066"/>
          <w:lang w:eastAsia="pl-PL"/>
        </w:rPr>
        <w:t>Wsparcie opiekunów nieformalnych;</w:t>
      </w:r>
    </w:p>
    <w:p w14:paraId="5A5A1892" w14:textId="77777777" w:rsidR="005631A4" w:rsidRPr="005631A4" w:rsidRDefault="005631A4" w:rsidP="005631A4">
      <w:pPr>
        <w:numPr>
          <w:ilvl w:val="0"/>
          <w:numId w:val="26"/>
        </w:numPr>
        <w:suppressAutoHyphens/>
        <w:spacing w:before="69" w:after="0"/>
        <w:jc w:val="both"/>
        <w:textAlignment w:val="baseline"/>
        <w:rPr>
          <w:b/>
          <w:bCs/>
          <w:color w:val="FF0066"/>
        </w:rPr>
      </w:pPr>
      <w:r w:rsidRPr="005631A4">
        <w:rPr>
          <w:b/>
          <w:bCs/>
          <w:color w:val="FF0066"/>
          <w:lang w:eastAsia="pl-PL"/>
        </w:rPr>
        <w:t>Koordynacja opieki środowiskowej.</w:t>
      </w:r>
    </w:p>
    <w:p w14:paraId="4D6D8BC1" w14:textId="77777777" w:rsidR="005631A4" w:rsidRPr="005631A4" w:rsidRDefault="005631A4" w:rsidP="005631A4">
      <w:pPr>
        <w:spacing w:after="0" w:line="240" w:lineRule="auto"/>
        <w:jc w:val="both"/>
        <w:rPr>
          <w:sz w:val="2"/>
          <w:szCs w:val="2"/>
          <w:lang w:eastAsia="pl-PL"/>
        </w:rPr>
      </w:pPr>
    </w:p>
    <w:p w14:paraId="0CC4303D" w14:textId="77777777" w:rsidR="005631A4" w:rsidRPr="005631A4" w:rsidRDefault="005631A4" w:rsidP="00DB4123">
      <w:pPr>
        <w:keepNext/>
        <w:keepLines/>
        <w:spacing w:after="0"/>
        <w:jc w:val="center"/>
        <w:outlineLvl w:val="1"/>
        <w:rPr>
          <w:rFonts w:asciiTheme="majorHAnsi" w:eastAsiaTheme="majorEastAsia" w:hAnsiTheme="majorHAnsi" w:cstheme="majorBidi"/>
          <w:b/>
          <w:color w:val="0070C0"/>
          <w:sz w:val="26"/>
          <w:szCs w:val="32"/>
        </w:rPr>
      </w:pPr>
      <w:r w:rsidRPr="005631A4">
        <w:rPr>
          <w:rFonts w:asciiTheme="majorHAnsi" w:eastAsiaTheme="majorEastAsia" w:hAnsiTheme="majorHAnsi" w:cstheme="majorBidi"/>
          <w:b/>
          <w:color w:val="0070C0"/>
          <w:sz w:val="26"/>
          <w:szCs w:val="32"/>
        </w:rPr>
        <w:t>OBSZARY STRATEGICZNE:</w:t>
      </w:r>
    </w:p>
    <w:p w14:paraId="5D7B4563" w14:textId="77777777" w:rsidR="005631A4" w:rsidRPr="005631A4" w:rsidRDefault="005631A4" w:rsidP="005631A4">
      <w:pPr>
        <w:spacing w:after="0" w:line="240" w:lineRule="auto"/>
        <w:jc w:val="both"/>
        <w:rPr>
          <w:sz w:val="2"/>
          <w:szCs w:val="2"/>
        </w:rPr>
      </w:pPr>
    </w:p>
    <w:p w14:paraId="5D21CDC4" w14:textId="5B318775" w:rsidR="005631A4" w:rsidRPr="00B76A9E" w:rsidRDefault="005631A4" w:rsidP="00B76A9E">
      <w:pPr>
        <w:pStyle w:val="Nagwek2"/>
        <w:numPr>
          <w:ilvl w:val="1"/>
          <w:numId w:val="26"/>
        </w:numPr>
        <w:shd w:val="clear" w:color="auto" w:fill="FFDDEE"/>
        <w:tabs>
          <w:tab w:val="clear" w:pos="1080"/>
          <w:tab w:val="num" w:pos="426"/>
        </w:tabs>
        <w:ind w:hanging="1080"/>
        <w:rPr>
          <w:color w:val="FF0066"/>
        </w:rPr>
      </w:pPr>
      <w:r w:rsidRPr="00B76A9E">
        <w:rPr>
          <w:color w:val="FF0066"/>
        </w:rPr>
        <w:t>ROZWÓJ ZASOBÓW KADROWYCH</w:t>
      </w:r>
    </w:p>
    <w:p w14:paraId="74DFBA22" w14:textId="2500B6D4" w:rsidR="005631A4" w:rsidRPr="005631A4" w:rsidRDefault="005631A4" w:rsidP="005631A4">
      <w:pPr>
        <w:keepNext/>
        <w:keepLines/>
        <w:shd w:val="clear" w:color="auto" w:fill="BDD6EE" w:themeFill="accent1" w:themeFillTint="66"/>
        <w:spacing w:before="240" w:after="120"/>
        <w:ind w:left="426"/>
        <w:jc w:val="both"/>
        <w:outlineLvl w:val="3"/>
        <w:rPr>
          <w:rFonts w:asciiTheme="majorHAnsi" w:eastAsiaTheme="majorEastAsia" w:hAnsiTheme="majorHAnsi" w:cstheme="majorBidi"/>
          <w:b/>
          <w:iCs/>
          <w:color w:val="0070C0"/>
          <w:sz w:val="24"/>
        </w:rPr>
      </w:pPr>
      <w:r w:rsidRPr="005631A4">
        <w:rPr>
          <w:rFonts w:asciiTheme="majorHAnsi" w:eastAsiaTheme="majorEastAsia" w:hAnsiTheme="majorHAnsi" w:cstheme="majorBidi"/>
          <w:b/>
          <w:iCs/>
          <w:color w:val="0070C0"/>
          <w:sz w:val="24"/>
        </w:rPr>
        <w:t xml:space="preserve">CEL SZCZEGÓŁOWY: Podniesienie kompetencji personelu realizującego opiekę zdrowotną dla osób starszych </w:t>
      </w:r>
      <w:r w:rsidR="00386A4A" w:rsidRPr="00386A4A">
        <w:rPr>
          <w:rFonts w:asciiTheme="majorHAnsi" w:eastAsiaTheme="majorEastAsia" w:hAnsiTheme="majorHAnsi" w:cstheme="majorBidi"/>
          <w:b/>
          <w:iCs/>
          <w:color w:val="0070C0"/>
          <w:sz w:val="24"/>
        </w:rPr>
        <w:t xml:space="preserve">wymagających wsparcia w codziennym funkcjonowaniu </w:t>
      </w:r>
      <w:r w:rsidRPr="005631A4">
        <w:rPr>
          <w:rFonts w:asciiTheme="majorHAnsi" w:eastAsiaTheme="majorEastAsia" w:hAnsiTheme="majorHAnsi" w:cstheme="majorBidi"/>
          <w:b/>
          <w:iCs/>
          <w:color w:val="0070C0"/>
          <w:sz w:val="24"/>
        </w:rPr>
        <w:t>w środowisku lokalnym</w:t>
      </w:r>
    </w:p>
    <w:p w14:paraId="45F493B3" w14:textId="77777777" w:rsidR="005631A4" w:rsidRPr="005631A4" w:rsidRDefault="005631A4" w:rsidP="005631A4">
      <w:pPr>
        <w:keepNext/>
        <w:keepLines/>
        <w:spacing w:before="240" w:after="120"/>
        <w:jc w:val="both"/>
        <w:outlineLvl w:val="4"/>
        <w:rPr>
          <w:rFonts w:asciiTheme="majorHAnsi" w:eastAsiaTheme="majorEastAsia" w:hAnsiTheme="majorHAnsi" w:cstheme="majorBidi"/>
          <w:i/>
          <w:color w:val="2E74B5" w:themeColor="accent1" w:themeShade="BF"/>
          <w:sz w:val="23"/>
        </w:rPr>
      </w:pPr>
      <w:r w:rsidRPr="005631A4">
        <w:rPr>
          <w:rFonts w:asciiTheme="majorHAnsi" w:eastAsiaTheme="majorEastAsia" w:hAnsiTheme="majorHAnsi" w:cstheme="majorBidi"/>
          <w:i/>
          <w:color w:val="2E74B5" w:themeColor="accent1" w:themeShade="BF"/>
          <w:sz w:val="23"/>
        </w:rPr>
        <w:t>Diagnoza</w:t>
      </w:r>
    </w:p>
    <w:p w14:paraId="52D322DA" w14:textId="3CEA7DB5" w:rsidR="005631A4" w:rsidRPr="005631A4" w:rsidRDefault="005631A4" w:rsidP="005631A4">
      <w:pPr>
        <w:spacing w:after="120"/>
        <w:jc w:val="both"/>
        <w:rPr>
          <w:color w:val="000000"/>
        </w:rPr>
      </w:pPr>
      <w:r w:rsidRPr="005631A4">
        <w:rPr>
          <w:color w:val="000000" w:themeColor="text1"/>
        </w:rPr>
        <w:t>Kadry są podstawą każdego systemu zdrowotnego i stanowią główne zasoby warunkujące poziom dostępności i jakości usług medycznych. Zapewnienie odpowiedniej liczby personelu medycznego w</w:t>
      </w:r>
      <w:r w:rsidR="007A2B4D">
        <w:rPr>
          <w:color w:val="000000" w:themeColor="text1"/>
        </w:rPr>
        <w:t> </w:t>
      </w:r>
      <w:r w:rsidRPr="005631A4">
        <w:rPr>
          <w:color w:val="000000" w:themeColor="text1"/>
        </w:rPr>
        <w:t xml:space="preserve">bezpośredni sposób wpływa na stan zdrowia populacji. Ma to ogromne znaczenie w przypadku opieki medycznej sprawowanej nad osobami starszymi </w:t>
      </w:r>
      <w:r w:rsidR="00386A4A" w:rsidRPr="00386A4A">
        <w:rPr>
          <w:color w:val="000000" w:themeColor="text1"/>
        </w:rPr>
        <w:t>wymagający</w:t>
      </w:r>
      <w:r w:rsidR="00386A4A">
        <w:rPr>
          <w:color w:val="000000" w:themeColor="text1"/>
        </w:rPr>
        <w:t>mi</w:t>
      </w:r>
      <w:r w:rsidR="00386A4A" w:rsidRPr="00386A4A">
        <w:rPr>
          <w:color w:val="000000" w:themeColor="text1"/>
        </w:rPr>
        <w:t xml:space="preserve"> wsparcia w codziennym funkcjonowaniu</w:t>
      </w:r>
      <w:r w:rsidRPr="005631A4">
        <w:rPr>
          <w:color w:val="000000" w:themeColor="text1"/>
        </w:rPr>
        <w:t>, w szczególności chorymi na przewlekłe, nieuleczalne choroby, wymagającymi ze względu na stan zdrowia długotrwałego wsparcia medycznego umożliwiającego utrzymanie odpowiedniej jakości życia związanej ze zdrowiem. Odpowiednio przygotowana kadra medyczna stanowi zatem kluczowy warunek dla sprostania potrzebom zdrowotnym tych osób, szczególnie w</w:t>
      </w:r>
      <w:r w:rsidR="007A2B4D">
        <w:rPr>
          <w:color w:val="000000" w:themeColor="text1"/>
        </w:rPr>
        <w:t> </w:t>
      </w:r>
      <w:r w:rsidRPr="005631A4">
        <w:rPr>
          <w:color w:val="000000" w:themeColor="text1"/>
        </w:rPr>
        <w:t>perspektywie postępującego starzenia się społeczeństwa i wzrostu rozpowszechnienia nieuleczalnych chorób, dając możliwość zapewnienia wysokiej jakości świadczeń opieki zdrowotnej oraz koncentracji działań wokół chorego i jego potrzeb.</w:t>
      </w:r>
    </w:p>
    <w:p w14:paraId="08ECE375" w14:textId="038A15F9" w:rsidR="005631A4" w:rsidRPr="005631A4" w:rsidRDefault="005631A4" w:rsidP="005631A4">
      <w:pPr>
        <w:spacing w:after="120"/>
        <w:jc w:val="both"/>
      </w:pPr>
      <w:r w:rsidRPr="005631A4">
        <w:t xml:space="preserve">W sprawowanie opieki długoterminowej w zakładach opiekuńczo-leczniczych (ZOL) lub zakładach pielęgnacyjno-opiekuńczych (ZPO) zaangażowani są przede wszystkim </w:t>
      </w:r>
      <w:r w:rsidR="00D7378B">
        <w:t xml:space="preserve">personel </w:t>
      </w:r>
      <w:r w:rsidRPr="005631A4">
        <w:t>pielęgniar</w:t>
      </w:r>
      <w:r w:rsidR="00D7378B">
        <w:t>s</w:t>
      </w:r>
      <w:r w:rsidRPr="005631A4">
        <w:t>ki, lekar</w:t>
      </w:r>
      <w:r w:rsidR="00D7378B">
        <w:t>ski</w:t>
      </w:r>
      <w:r w:rsidRPr="005631A4">
        <w:t xml:space="preserve"> i fizjoterapeu</w:t>
      </w:r>
      <w:r w:rsidR="00D7378B">
        <w:t>tyczny</w:t>
      </w:r>
      <w:r w:rsidRPr="005631A4">
        <w:t xml:space="preserve">, natomiast świadczeń pielęgnacyjno-opiekuńczych w warunkach domowych udziela w szczególności personel pielęgniarski. Opieka paliatywna i hospicyjna realizowana jest natomiast głownie przez </w:t>
      </w:r>
      <w:r w:rsidR="00D7378B">
        <w:t xml:space="preserve">personel </w:t>
      </w:r>
      <w:r w:rsidRPr="005631A4">
        <w:t>pielęgniar</w:t>
      </w:r>
      <w:r w:rsidR="00D7378B">
        <w:t>s</w:t>
      </w:r>
      <w:r w:rsidRPr="005631A4">
        <w:t>ki, lekar</w:t>
      </w:r>
      <w:r w:rsidR="00D7378B">
        <w:t>ski</w:t>
      </w:r>
      <w:r w:rsidRPr="005631A4">
        <w:t>, fizjoterapeut</w:t>
      </w:r>
      <w:r w:rsidR="00D7378B">
        <w:t>yczny</w:t>
      </w:r>
      <w:r w:rsidRPr="005631A4">
        <w:t xml:space="preserve"> i psycholog</w:t>
      </w:r>
      <w:r w:rsidR="00D7378B">
        <w:t>iczny</w:t>
      </w:r>
      <w:r w:rsidRPr="005631A4">
        <w:t>.</w:t>
      </w:r>
    </w:p>
    <w:p w14:paraId="02DEC651" w14:textId="49D677BC" w:rsidR="005631A4" w:rsidRPr="005631A4" w:rsidRDefault="005631A4" w:rsidP="005631A4">
      <w:pPr>
        <w:spacing w:after="60"/>
        <w:jc w:val="both"/>
        <w:rPr>
          <w:rFonts w:cstheme="minorHAnsi"/>
          <w:color w:val="333333"/>
          <w:shd w:val="clear" w:color="auto" w:fill="FFFFFF"/>
        </w:rPr>
      </w:pPr>
      <w:r w:rsidRPr="005631A4">
        <w:t>Świadczeń pielęgnacyjno-opiekuńczych w ramach opieki długoterminowej mo</w:t>
      </w:r>
      <w:r w:rsidR="00D7378B">
        <w:t>że</w:t>
      </w:r>
      <w:r w:rsidRPr="005631A4">
        <w:t xml:space="preserve"> udzielać </w:t>
      </w:r>
      <w:r w:rsidR="00D7378B">
        <w:t xml:space="preserve">personel </w:t>
      </w:r>
      <w:r w:rsidRPr="005631A4">
        <w:t>pielęgniar</w:t>
      </w:r>
      <w:r w:rsidR="00D7378B">
        <w:t>s</w:t>
      </w:r>
      <w:r w:rsidRPr="005631A4">
        <w:t xml:space="preserve">ki </w:t>
      </w:r>
      <w:r w:rsidRPr="005631A4">
        <w:rPr>
          <w:rFonts w:cstheme="minorHAnsi"/>
          <w:color w:val="333333"/>
          <w:shd w:val="clear" w:color="auto" w:fill="FFFFFF"/>
        </w:rPr>
        <w:t>z ukończoną specjalizacją, kursem kwalifikacyjnym lub w trakcie odbywania tych specjalizacji lub kursów:</w:t>
      </w:r>
    </w:p>
    <w:p w14:paraId="376AB77D" w14:textId="77777777" w:rsidR="005631A4" w:rsidRPr="005631A4" w:rsidRDefault="005631A4" w:rsidP="005631A4">
      <w:pPr>
        <w:numPr>
          <w:ilvl w:val="0"/>
          <w:numId w:val="66"/>
        </w:numPr>
        <w:spacing w:after="120"/>
        <w:contextualSpacing/>
        <w:jc w:val="both"/>
        <w:rPr>
          <w:rFonts w:cstheme="minorHAnsi"/>
          <w:color w:val="333333"/>
          <w:shd w:val="clear" w:color="auto" w:fill="FFFFFF"/>
        </w:rPr>
      </w:pPr>
      <w:r w:rsidRPr="005631A4">
        <w:rPr>
          <w:rFonts w:cstheme="minorHAnsi"/>
          <w:color w:val="333333"/>
          <w:shd w:val="clear" w:color="auto" w:fill="FFFFFF"/>
        </w:rPr>
        <w:t>w dziedzinie pielęgniarstwa opieki długoterminowej lub</w:t>
      </w:r>
    </w:p>
    <w:p w14:paraId="140E1ABF" w14:textId="77777777" w:rsidR="005631A4" w:rsidRPr="005631A4" w:rsidRDefault="005631A4" w:rsidP="005631A4">
      <w:pPr>
        <w:numPr>
          <w:ilvl w:val="0"/>
          <w:numId w:val="66"/>
        </w:numPr>
        <w:spacing w:after="120"/>
        <w:contextualSpacing/>
        <w:jc w:val="both"/>
        <w:rPr>
          <w:rFonts w:cstheme="minorHAnsi"/>
          <w:color w:val="333333"/>
          <w:shd w:val="clear" w:color="auto" w:fill="FFFFFF"/>
        </w:rPr>
      </w:pPr>
      <w:r w:rsidRPr="005631A4">
        <w:rPr>
          <w:rFonts w:cstheme="minorHAnsi"/>
          <w:color w:val="333333"/>
          <w:shd w:val="clear" w:color="auto" w:fill="FFFFFF"/>
        </w:rPr>
        <w:t>w dziedzinie pielęgniarstwa przewlekle chorych i niepełnosprawnych, lub</w:t>
      </w:r>
    </w:p>
    <w:p w14:paraId="7C24BDD1" w14:textId="77777777" w:rsidR="005631A4" w:rsidRPr="005631A4" w:rsidRDefault="005631A4" w:rsidP="005631A4">
      <w:pPr>
        <w:numPr>
          <w:ilvl w:val="0"/>
          <w:numId w:val="66"/>
        </w:numPr>
        <w:spacing w:after="120"/>
        <w:contextualSpacing/>
        <w:jc w:val="both"/>
        <w:rPr>
          <w:rFonts w:cstheme="minorHAnsi"/>
          <w:color w:val="333333"/>
          <w:shd w:val="clear" w:color="auto" w:fill="FFFFFF"/>
        </w:rPr>
      </w:pPr>
      <w:r w:rsidRPr="005631A4">
        <w:rPr>
          <w:rFonts w:cstheme="minorHAnsi"/>
          <w:color w:val="333333"/>
          <w:shd w:val="clear" w:color="auto" w:fill="FFFFFF"/>
        </w:rPr>
        <w:t>w dziedzinie pielęgniarstwa zachowawczego, lub</w:t>
      </w:r>
    </w:p>
    <w:p w14:paraId="2892F01E" w14:textId="77777777" w:rsidR="005631A4" w:rsidRPr="005631A4" w:rsidRDefault="005631A4" w:rsidP="005631A4">
      <w:pPr>
        <w:numPr>
          <w:ilvl w:val="0"/>
          <w:numId w:val="66"/>
        </w:numPr>
        <w:spacing w:after="120"/>
        <w:contextualSpacing/>
        <w:jc w:val="both"/>
        <w:rPr>
          <w:rFonts w:cstheme="minorHAnsi"/>
          <w:color w:val="333333"/>
          <w:shd w:val="clear" w:color="auto" w:fill="FFFFFF"/>
        </w:rPr>
      </w:pPr>
      <w:r w:rsidRPr="005631A4">
        <w:rPr>
          <w:rFonts w:cstheme="minorHAnsi"/>
          <w:color w:val="333333"/>
          <w:shd w:val="clear" w:color="auto" w:fill="FFFFFF"/>
        </w:rPr>
        <w:t>w dziedzinie pielęgniarstwa rodzinnego, lub</w:t>
      </w:r>
    </w:p>
    <w:p w14:paraId="281265AC" w14:textId="77777777" w:rsidR="005631A4" w:rsidRPr="005631A4" w:rsidRDefault="005631A4" w:rsidP="005631A4">
      <w:pPr>
        <w:numPr>
          <w:ilvl w:val="0"/>
          <w:numId w:val="66"/>
        </w:numPr>
        <w:spacing w:after="120"/>
        <w:contextualSpacing/>
        <w:jc w:val="both"/>
        <w:rPr>
          <w:rFonts w:cstheme="minorHAnsi"/>
          <w:color w:val="333333"/>
          <w:shd w:val="clear" w:color="auto" w:fill="FFFFFF"/>
        </w:rPr>
      </w:pPr>
      <w:r w:rsidRPr="005631A4">
        <w:rPr>
          <w:rFonts w:cstheme="minorHAnsi"/>
          <w:color w:val="333333"/>
          <w:shd w:val="clear" w:color="auto" w:fill="FFFFFF"/>
        </w:rPr>
        <w:t>w dziedzinie pielęgniarstwa środowiskowego, lub</w:t>
      </w:r>
    </w:p>
    <w:p w14:paraId="64D348DB" w14:textId="77777777" w:rsidR="005631A4" w:rsidRPr="005631A4" w:rsidRDefault="005631A4" w:rsidP="005631A4">
      <w:pPr>
        <w:numPr>
          <w:ilvl w:val="0"/>
          <w:numId w:val="66"/>
        </w:numPr>
        <w:spacing w:after="120"/>
        <w:contextualSpacing/>
        <w:jc w:val="both"/>
        <w:rPr>
          <w:rFonts w:cstheme="minorHAnsi"/>
          <w:color w:val="333333"/>
          <w:shd w:val="clear" w:color="auto" w:fill="FFFFFF"/>
        </w:rPr>
      </w:pPr>
      <w:r w:rsidRPr="005631A4">
        <w:rPr>
          <w:rFonts w:cstheme="minorHAnsi"/>
          <w:color w:val="333333"/>
          <w:shd w:val="clear" w:color="auto" w:fill="FFFFFF"/>
        </w:rPr>
        <w:t>w dziedzinie pielęgniarstwa środowiskowo-rodzinnego, lub</w:t>
      </w:r>
    </w:p>
    <w:p w14:paraId="189EDD71" w14:textId="77777777" w:rsidR="005631A4" w:rsidRPr="005631A4" w:rsidRDefault="005631A4" w:rsidP="005631A4">
      <w:pPr>
        <w:numPr>
          <w:ilvl w:val="0"/>
          <w:numId w:val="66"/>
        </w:numPr>
        <w:spacing w:after="120"/>
        <w:contextualSpacing/>
        <w:jc w:val="both"/>
        <w:rPr>
          <w:rFonts w:cstheme="minorHAnsi"/>
          <w:color w:val="333333"/>
          <w:shd w:val="clear" w:color="auto" w:fill="FFFFFF"/>
        </w:rPr>
      </w:pPr>
      <w:r w:rsidRPr="005631A4">
        <w:rPr>
          <w:rFonts w:cstheme="minorHAnsi"/>
          <w:color w:val="333333"/>
          <w:shd w:val="clear" w:color="auto" w:fill="FFFFFF"/>
        </w:rPr>
        <w:t>w dziedzinie pielęgniarstwa geriatrycznego, lub</w:t>
      </w:r>
    </w:p>
    <w:p w14:paraId="21A1F066" w14:textId="77777777" w:rsidR="005631A4" w:rsidRPr="005631A4" w:rsidRDefault="005631A4" w:rsidP="005631A4">
      <w:pPr>
        <w:numPr>
          <w:ilvl w:val="0"/>
          <w:numId w:val="66"/>
        </w:numPr>
        <w:spacing w:after="120"/>
        <w:contextualSpacing/>
        <w:jc w:val="both"/>
        <w:rPr>
          <w:rFonts w:cstheme="minorHAnsi"/>
          <w:color w:val="333333"/>
          <w:shd w:val="clear" w:color="auto" w:fill="FFFFFF"/>
        </w:rPr>
      </w:pPr>
      <w:r w:rsidRPr="005631A4">
        <w:rPr>
          <w:rFonts w:cstheme="minorHAnsi"/>
          <w:color w:val="333333"/>
          <w:shd w:val="clear" w:color="auto" w:fill="FFFFFF"/>
        </w:rPr>
        <w:t>w dziedzinie pielęgniarstwa opieki paliatywnej, lub</w:t>
      </w:r>
    </w:p>
    <w:p w14:paraId="5C90434F" w14:textId="77777777" w:rsidR="005631A4" w:rsidRPr="005631A4" w:rsidRDefault="005631A4" w:rsidP="005631A4">
      <w:pPr>
        <w:numPr>
          <w:ilvl w:val="0"/>
          <w:numId w:val="66"/>
        </w:numPr>
        <w:spacing w:after="60"/>
        <w:ind w:left="714" w:hanging="357"/>
        <w:jc w:val="both"/>
        <w:rPr>
          <w:rFonts w:cstheme="minorHAnsi"/>
          <w:color w:val="333333"/>
          <w:shd w:val="clear" w:color="auto" w:fill="FFFFFF"/>
        </w:rPr>
      </w:pPr>
      <w:r w:rsidRPr="005631A4">
        <w:rPr>
          <w:rFonts w:cstheme="minorHAnsi"/>
          <w:color w:val="333333"/>
          <w:shd w:val="clear" w:color="auto" w:fill="FFFFFF"/>
        </w:rPr>
        <w:t>specjalistycznych w zakresie opieki paliatywnej, lub w trakcie odbywania tych kursów</w:t>
      </w:r>
    </w:p>
    <w:p w14:paraId="257307C4" w14:textId="77777777" w:rsidR="005631A4" w:rsidRPr="005631A4" w:rsidRDefault="005631A4" w:rsidP="005631A4">
      <w:pPr>
        <w:spacing w:after="120"/>
        <w:jc w:val="both"/>
        <w:rPr>
          <w:rFonts w:ascii="Arial" w:hAnsi="Arial"/>
          <w:sz w:val="21"/>
          <w:shd w:val="clear" w:color="auto" w:fill="FFFFFF"/>
        </w:rPr>
      </w:pPr>
      <w:r w:rsidRPr="005631A4">
        <w:rPr>
          <w:rFonts w:cstheme="minorHAnsi"/>
          <w:color w:val="333333"/>
          <w:shd w:val="clear" w:color="auto" w:fill="FFFFFF"/>
        </w:rPr>
        <w:t>– łącznie 25% czasu pracy ogółu pielęgniarek udzielających świadczeń u danego świadczeniodawcy.</w:t>
      </w:r>
    </w:p>
    <w:p w14:paraId="167E7FC4" w14:textId="1DE7E8FD" w:rsidR="002426DE" w:rsidRDefault="005631A4" w:rsidP="005631A4">
      <w:pPr>
        <w:spacing w:after="120"/>
        <w:jc w:val="both"/>
      </w:pPr>
      <w:r w:rsidRPr="005631A4">
        <w:t xml:space="preserve">Natomiast w ramach realizacji świadczeń pielęgniarskich w stosunku do pacjentów objętych opieką długoterminową domową </w:t>
      </w:r>
      <w:r w:rsidR="00D7378B">
        <w:t>cały personel</w:t>
      </w:r>
      <w:r w:rsidRPr="005631A4">
        <w:t xml:space="preserve"> pielęgniar</w:t>
      </w:r>
      <w:r w:rsidR="00D7378B">
        <w:t>s</w:t>
      </w:r>
      <w:r w:rsidRPr="005631A4">
        <w:t>ki zobligowan</w:t>
      </w:r>
      <w:r w:rsidR="00D7378B">
        <w:t>y</w:t>
      </w:r>
      <w:r w:rsidRPr="005631A4">
        <w:t xml:space="preserve"> </w:t>
      </w:r>
      <w:r w:rsidR="00D7378B">
        <w:t>jest</w:t>
      </w:r>
      <w:r w:rsidRPr="005631A4">
        <w:t xml:space="preserve"> do posiadania dodatkowych kwalifikacji uzyskanych w ramach kształcenia podyplomowego, co jest niezbędne z uwagi na samodzielność pracy </w:t>
      </w:r>
      <w:r w:rsidR="00D7378B">
        <w:t xml:space="preserve">zawodu </w:t>
      </w:r>
      <w:r w:rsidRPr="005631A4">
        <w:t>pielęgniarki</w:t>
      </w:r>
      <w:r w:rsidR="00D7378B">
        <w:t xml:space="preserve"> i pielęgniarza</w:t>
      </w:r>
      <w:r w:rsidRPr="005631A4">
        <w:t xml:space="preserve">. </w:t>
      </w:r>
    </w:p>
    <w:p w14:paraId="48FDAA6B" w14:textId="480F856D" w:rsidR="005631A4" w:rsidRPr="005631A4" w:rsidRDefault="005631A4" w:rsidP="005631A4">
      <w:pPr>
        <w:spacing w:after="120"/>
        <w:jc w:val="both"/>
      </w:pPr>
      <w:r w:rsidRPr="005631A4">
        <w:t>Od 2004 r. liczba personelu pielęgniarskiego zatrudnionego w instytucjach opieki długoterminowej zwiększyła się niemal dwukrotnie.</w:t>
      </w:r>
    </w:p>
    <w:p w14:paraId="467F97E6" w14:textId="77777777" w:rsidR="005631A4" w:rsidRPr="005631A4" w:rsidRDefault="005631A4" w:rsidP="005631A4">
      <w:pPr>
        <w:spacing w:after="60"/>
        <w:jc w:val="both"/>
      </w:pPr>
      <w:r w:rsidRPr="005631A4">
        <w:lastRenderedPageBreak/>
        <w:t>Zgodnie z danymi za 2018 r.</w:t>
      </w:r>
      <w:r w:rsidRPr="005631A4">
        <w:rPr>
          <w:vertAlign w:val="superscript"/>
        </w:rPr>
        <w:footnoteReference w:id="70"/>
      </w:r>
      <w:r w:rsidRPr="005631A4">
        <w:t>:</w:t>
      </w:r>
    </w:p>
    <w:p w14:paraId="27F321E8" w14:textId="77777777" w:rsidR="005631A4" w:rsidRPr="005631A4" w:rsidRDefault="005631A4" w:rsidP="005631A4">
      <w:pPr>
        <w:numPr>
          <w:ilvl w:val="0"/>
          <w:numId w:val="27"/>
        </w:numPr>
        <w:tabs>
          <w:tab w:val="num" w:pos="567"/>
        </w:tabs>
        <w:spacing w:after="60"/>
        <w:ind w:left="567" w:hanging="284"/>
        <w:jc w:val="both"/>
      </w:pPr>
      <w:r w:rsidRPr="005631A4">
        <w:t>liczba kadr pielęgniarskich ze specjalizacją pielęgniarstwa mającą zastosowanie w opiece długoterminowej wynosiła łącznie niemal 15 tys. osób (tabela 1);</w:t>
      </w:r>
    </w:p>
    <w:p w14:paraId="35688278" w14:textId="384BCA8B" w:rsidR="005631A4" w:rsidRPr="005631A4" w:rsidRDefault="005631A4" w:rsidP="005631A4">
      <w:pPr>
        <w:numPr>
          <w:ilvl w:val="0"/>
          <w:numId w:val="27"/>
        </w:numPr>
        <w:tabs>
          <w:tab w:val="num" w:pos="567"/>
        </w:tabs>
        <w:spacing w:after="120"/>
        <w:ind w:left="568" w:hanging="284"/>
        <w:jc w:val="both"/>
      </w:pPr>
      <w:r w:rsidRPr="005631A4">
        <w:t>liczba kadr pielęgniarskich, które ukończyły szkolenie specjalizacyjne lub kursy kwalifikacyjne w</w:t>
      </w:r>
      <w:r w:rsidR="007A2B4D">
        <w:t> </w:t>
      </w:r>
      <w:r w:rsidRPr="005631A4">
        <w:t>dziedzinach pielęgniarstwa mających zastosowanie w opiece długoterminowej wynosiła łącznie niemal 128 tys. osób – odpowiednio ponad 66 tys. osób (tabela 2) i ponad 61 tys. osób (tabela 3).</w:t>
      </w:r>
    </w:p>
    <w:p w14:paraId="0562107C" w14:textId="1A77B040" w:rsidR="005631A4" w:rsidRPr="005631A4" w:rsidRDefault="005631A4" w:rsidP="005631A4">
      <w:pPr>
        <w:spacing w:after="60"/>
        <w:jc w:val="both"/>
      </w:pPr>
      <w:r w:rsidRPr="005631A4">
        <w:t>Analiza wyników badania ankietowego przeprowadzonego w 2016 r. na grupie 296 pielęgniarek i</w:t>
      </w:r>
      <w:r w:rsidR="007A2B4D">
        <w:t> </w:t>
      </w:r>
      <w:r w:rsidRPr="005631A4">
        <w:t>pielęgniarzy zatrudnionych w opiece długoterminowej wykazała, że długoterminową opiekę domową sprawują doświadczone osoby z personelu pielęgniarskiego:</w:t>
      </w:r>
    </w:p>
    <w:p w14:paraId="1E1F2530" w14:textId="77777777" w:rsidR="005631A4" w:rsidRPr="005631A4" w:rsidRDefault="005631A4" w:rsidP="005631A4">
      <w:pPr>
        <w:numPr>
          <w:ilvl w:val="0"/>
          <w:numId w:val="46"/>
        </w:numPr>
        <w:spacing w:after="120"/>
        <w:ind w:left="567" w:hanging="283"/>
        <w:contextualSpacing/>
        <w:jc w:val="both"/>
      </w:pPr>
      <w:r w:rsidRPr="005631A4">
        <w:t>o długim stażu pracy,</w:t>
      </w:r>
    </w:p>
    <w:p w14:paraId="2BE2687F" w14:textId="77777777" w:rsidR="005631A4" w:rsidRPr="005631A4" w:rsidRDefault="005631A4" w:rsidP="005631A4">
      <w:pPr>
        <w:numPr>
          <w:ilvl w:val="0"/>
          <w:numId w:val="46"/>
        </w:numPr>
        <w:spacing w:after="120"/>
        <w:ind w:left="567" w:hanging="283"/>
        <w:contextualSpacing/>
        <w:jc w:val="both"/>
      </w:pPr>
      <w:r w:rsidRPr="005631A4">
        <w:t>posiadające średnie i wyższe wykształcenie oraz niezbędne kwalifikacje,</w:t>
      </w:r>
    </w:p>
    <w:p w14:paraId="27CFA39C" w14:textId="77777777" w:rsidR="005631A4" w:rsidRPr="005631A4" w:rsidRDefault="005631A4" w:rsidP="005631A4">
      <w:pPr>
        <w:numPr>
          <w:ilvl w:val="0"/>
          <w:numId w:val="46"/>
        </w:numPr>
        <w:spacing w:after="120"/>
        <w:ind w:left="567" w:hanging="283"/>
        <w:contextualSpacing/>
        <w:jc w:val="both"/>
      </w:pPr>
      <w:r w:rsidRPr="005631A4">
        <w:t>opiekujące się najczęściej kilkoma osobami,</w:t>
      </w:r>
    </w:p>
    <w:p w14:paraId="63C4587C" w14:textId="77777777" w:rsidR="005631A4" w:rsidRPr="005631A4" w:rsidRDefault="005631A4" w:rsidP="005631A4">
      <w:pPr>
        <w:numPr>
          <w:ilvl w:val="0"/>
          <w:numId w:val="46"/>
        </w:numPr>
        <w:spacing w:after="120"/>
        <w:ind w:left="568" w:hanging="284"/>
        <w:jc w:val="both"/>
      </w:pPr>
      <w:r w:rsidRPr="005631A4">
        <w:t>wykonujące tę pracę jako dodatkowe zatrudnienie.</w:t>
      </w:r>
    </w:p>
    <w:p w14:paraId="7E836B74" w14:textId="64E1FF4F" w:rsidR="005631A4" w:rsidRPr="005631A4" w:rsidRDefault="005631A4" w:rsidP="005631A4">
      <w:pPr>
        <w:spacing w:after="120"/>
        <w:jc w:val="both"/>
      </w:pPr>
      <w:r w:rsidRPr="005631A4">
        <w:t xml:space="preserve">Okres pracy w środowisku domowym pacjenta wynosił średnio 4 lata (1–27 lat). Zdecydowana większość </w:t>
      </w:r>
      <w:r w:rsidR="00D7378B">
        <w:t xml:space="preserve">personelu </w:t>
      </w:r>
      <w:r w:rsidRPr="005631A4">
        <w:t>pielęgniar</w:t>
      </w:r>
      <w:r w:rsidR="00D7378B">
        <w:t>skiego</w:t>
      </w:r>
      <w:r w:rsidRPr="005631A4">
        <w:t xml:space="preserve"> (78,7%) pracowała w tej formie opieki nie więcej niż 6 lat. Dla większości ankietowanych była to dodatkowa praca polegająca na sprawowaniu opieki u średnio 3 pacjentów (w badanej grupie 1 pacjentem opiekowało się 15,5% ankietowanych, 2 pacjentami – 21,3%, a 3 pacjentami – 40,9%)</w:t>
      </w:r>
      <w:r w:rsidRPr="005631A4">
        <w:rPr>
          <w:vertAlign w:val="superscript"/>
        </w:rPr>
        <w:footnoteReference w:id="71"/>
      </w:r>
      <w:r w:rsidRPr="005631A4">
        <w:t>.</w:t>
      </w:r>
    </w:p>
    <w:p w14:paraId="12BE3C40" w14:textId="77777777" w:rsidR="005631A4" w:rsidRPr="005631A4" w:rsidRDefault="005631A4" w:rsidP="005631A4">
      <w:pPr>
        <w:spacing w:after="60"/>
        <w:jc w:val="both"/>
      </w:pPr>
      <w:r w:rsidRPr="005631A4">
        <w:t>W udzielanie opieki paliatywnej i hospicyjnej również w dużej mierze zaangażowany jest personel pielęgniarski. W 2018 r.</w:t>
      </w:r>
      <w:r w:rsidRPr="005631A4">
        <w:rPr>
          <w:vertAlign w:val="superscript"/>
        </w:rPr>
        <w:footnoteReference w:id="72"/>
      </w:r>
      <w:r w:rsidRPr="005631A4">
        <w:t>:</w:t>
      </w:r>
    </w:p>
    <w:p w14:paraId="271A2783" w14:textId="77777777" w:rsidR="005631A4" w:rsidRPr="005631A4" w:rsidRDefault="005631A4" w:rsidP="005631A4">
      <w:pPr>
        <w:numPr>
          <w:ilvl w:val="0"/>
          <w:numId w:val="28"/>
        </w:numPr>
        <w:spacing w:after="60"/>
        <w:jc w:val="both"/>
      </w:pPr>
      <w:r w:rsidRPr="005631A4">
        <w:t>liczba kadr pielęgniarskich ze specjalizacją w dziedzinie pielęgniarstwa opieki paliatywnej wynosiła łącznie ponad 1,5 tys. osób (tabela 1);</w:t>
      </w:r>
    </w:p>
    <w:p w14:paraId="316A9246" w14:textId="77777777" w:rsidR="005631A4" w:rsidRPr="005631A4" w:rsidRDefault="005631A4" w:rsidP="005631A4">
      <w:pPr>
        <w:numPr>
          <w:ilvl w:val="0"/>
          <w:numId w:val="28"/>
        </w:numPr>
        <w:spacing w:after="120"/>
        <w:jc w:val="both"/>
      </w:pPr>
      <w:r w:rsidRPr="005631A4">
        <w:t>liczba kadr pielęgniarskich, które ukończyły kurs kwalifikacyjny w dziedzinie pielęgniarstwa opieki paliatywnej lub kurs specjalistyczny w zakresie podstaw opieki paliatywnej wynosiła łącznie niemal 11,9 tys. osób – odpowiednio ponad 5 tys. osób (tabela 2) i ponad 6,8 tys. osób (tabela 3).</w:t>
      </w:r>
    </w:p>
    <w:p w14:paraId="607A5E6B" w14:textId="4D0C6BE4" w:rsidR="005631A4" w:rsidRPr="005631A4" w:rsidRDefault="005631A4" w:rsidP="005631A4">
      <w:pPr>
        <w:spacing w:after="60"/>
        <w:jc w:val="center"/>
        <w:rPr>
          <w:i/>
          <w:iCs/>
          <w:color w:val="0070C0"/>
          <w:sz w:val="20"/>
          <w:szCs w:val="20"/>
        </w:rPr>
      </w:pPr>
      <w:r w:rsidRPr="005631A4">
        <w:rPr>
          <w:i/>
          <w:iCs/>
          <w:color w:val="0070C0"/>
          <w:sz w:val="20"/>
          <w:szCs w:val="20"/>
        </w:rPr>
        <w:t xml:space="preserve">Tabela 1. Liczba </w:t>
      </w:r>
      <w:r w:rsidR="00D7378B">
        <w:rPr>
          <w:i/>
          <w:iCs/>
          <w:color w:val="0070C0"/>
          <w:sz w:val="20"/>
          <w:szCs w:val="20"/>
        </w:rPr>
        <w:t xml:space="preserve">kadr </w:t>
      </w:r>
      <w:r w:rsidRPr="005631A4">
        <w:rPr>
          <w:i/>
          <w:iCs/>
          <w:color w:val="0070C0"/>
          <w:sz w:val="20"/>
          <w:szCs w:val="20"/>
        </w:rPr>
        <w:t>pielęgniar</w:t>
      </w:r>
      <w:r w:rsidR="00D7378B">
        <w:rPr>
          <w:i/>
          <w:iCs/>
          <w:color w:val="0070C0"/>
          <w:sz w:val="20"/>
          <w:szCs w:val="20"/>
        </w:rPr>
        <w:t>skich</w:t>
      </w:r>
      <w:r w:rsidRPr="005631A4">
        <w:rPr>
          <w:i/>
          <w:iCs/>
          <w:color w:val="0070C0"/>
          <w:sz w:val="20"/>
          <w:szCs w:val="20"/>
        </w:rPr>
        <w:t xml:space="preserve"> poszczególnych specjalizacji pielęgniarstwa </w:t>
      </w:r>
      <w:r w:rsidRPr="005631A4">
        <w:br/>
      </w:r>
      <w:r w:rsidRPr="005631A4">
        <w:rPr>
          <w:i/>
          <w:iCs/>
          <w:color w:val="0070C0"/>
          <w:sz w:val="20"/>
          <w:szCs w:val="20"/>
        </w:rPr>
        <w:t xml:space="preserve">mających zastosowanie w opiece długoterminowej </w:t>
      </w:r>
      <w:r w:rsidR="00D7378B">
        <w:rPr>
          <w:i/>
          <w:iCs/>
          <w:color w:val="0070C0"/>
          <w:sz w:val="20"/>
          <w:szCs w:val="20"/>
        </w:rPr>
        <w:t>w 2019 r.</w:t>
      </w:r>
    </w:p>
    <w:tbl>
      <w:tblPr>
        <w:tblW w:w="8212" w:type="dxa"/>
        <w:jc w:val="center"/>
        <w:tblCellMar>
          <w:left w:w="0" w:type="dxa"/>
          <w:right w:w="0" w:type="dxa"/>
        </w:tblCellMar>
        <w:tblLook w:val="04A0" w:firstRow="1" w:lastRow="0" w:firstColumn="1" w:lastColumn="0" w:noHBand="0" w:noVBand="1"/>
      </w:tblPr>
      <w:tblGrid>
        <w:gridCol w:w="5418"/>
        <w:gridCol w:w="2794"/>
      </w:tblGrid>
      <w:tr w:rsidR="005631A4" w:rsidRPr="005631A4" w14:paraId="68A08328" w14:textId="77777777" w:rsidTr="00D7378B">
        <w:trPr>
          <w:trHeight w:val="596"/>
          <w:jc w:val="center"/>
        </w:trPr>
        <w:tc>
          <w:tcPr>
            <w:tcW w:w="5418" w:type="dxa"/>
            <w:tcBorders>
              <w:top w:val="single" w:sz="8" w:space="0" w:color="FFFFFF"/>
              <w:left w:val="single" w:sz="8" w:space="0" w:color="FFFFFF"/>
              <w:bottom w:val="single" w:sz="24" w:space="0" w:color="FFFFFF"/>
              <w:right w:val="single" w:sz="8" w:space="0" w:color="FFFFFF"/>
            </w:tcBorders>
            <w:shd w:val="clear" w:color="auto" w:fill="9DC3E6"/>
            <w:tcMar>
              <w:top w:w="15" w:type="dxa"/>
              <w:left w:w="108" w:type="dxa"/>
              <w:bottom w:w="0" w:type="dxa"/>
              <w:right w:w="108" w:type="dxa"/>
            </w:tcMar>
            <w:vAlign w:val="center"/>
            <w:hideMark/>
          </w:tcPr>
          <w:p w14:paraId="51852AA7" w14:textId="77777777" w:rsidR="005631A4" w:rsidRPr="005631A4" w:rsidRDefault="005631A4" w:rsidP="005631A4">
            <w:pPr>
              <w:spacing w:after="60"/>
              <w:jc w:val="center"/>
              <w:rPr>
                <w:noProof/>
              </w:rPr>
            </w:pPr>
            <w:r w:rsidRPr="005631A4">
              <w:rPr>
                <w:b/>
                <w:bCs/>
                <w:noProof/>
              </w:rPr>
              <w:t>Dziedzina specjalizacji</w:t>
            </w:r>
          </w:p>
        </w:tc>
        <w:tc>
          <w:tcPr>
            <w:tcW w:w="2794" w:type="dxa"/>
            <w:tcBorders>
              <w:top w:val="single" w:sz="8" w:space="0" w:color="FFFFFF"/>
              <w:left w:val="single" w:sz="8" w:space="0" w:color="FFFFFF"/>
              <w:bottom w:val="single" w:sz="24" w:space="0" w:color="FFFFFF"/>
              <w:right w:val="single" w:sz="8" w:space="0" w:color="FFFFFF"/>
            </w:tcBorders>
            <w:shd w:val="clear" w:color="auto" w:fill="9DC3E6"/>
            <w:tcMar>
              <w:top w:w="15" w:type="dxa"/>
              <w:left w:w="108" w:type="dxa"/>
              <w:bottom w:w="0" w:type="dxa"/>
              <w:right w:w="108" w:type="dxa"/>
            </w:tcMar>
            <w:vAlign w:val="center"/>
            <w:hideMark/>
          </w:tcPr>
          <w:p w14:paraId="7CC22533" w14:textId="7093DCC5" w:rsidR="005631A4" w:rsidRPr="005631A4" w:rsidRDefault="005631A4" w:rsidP="005631A4">
            <w:pPr>
              <w:spacing w:before="60" w:after="0"/>
              <w:jc w:val="center"/>
              <w:rPr>
                <w:noProof/>
              </w:rPr>
            </w:pPr>
            <w:r w:rsidRPr="005631A4">
              <w:rPr>
                <w:b/>
                <w:bCs/>
                <w:noProof/>
              </w:rPr>
              <w:t xml:space="preserve">Liczba </w:t>
            </w:r>
            <w:r w:rsidR="00D7378B">
              <w:rPr>
                <w:b/>
                <w:bCs/>
                <w:noProof/>
              </w:rPr>
              <w:t xml:space="preserve">kadr </w:t>
            </w:r>
            <w:r w:rsidRPr="005631A4">
              <w:rPr>
                <w:b/>
                <w:bCs/>
                <w:noProof/>
              </w:rPr>
              <w:t>pielęgniar</w:t>
            </w:r>
            <w:r w:rsidR="00D7378B">
              <w:rPr>
                <w:b/>
                <w:bCs/>
                <w:noProof/>
              </w:rPr>
              <w:t>skich</w:t>
            </w:r>
          </w:p>
          <w:p w14:paraId="3F1A223E" w14:textId="77777777" w:rsidR="005631A4" w:rsidRPr="005631A4" w:rsidRDefault="005631A4" w:rsidP="005631A4">
            <w:pPr>
              <w:spacing w:after="60"/>
              <w:jc w:val="center"/>
              <w:rPr>
                <w:noProof/>
              </w:rPr>
            </w:pPr>
            <w:r w:rsidRPr="005631A4">
              <w:rPr>
                <w:noProof/>
                <w:sz w:val="20"/>
                <w:szCs w:val="20"/>
              </w:rPr>
              <w:t>(stan na dzień 31.12.2019 r.)</w:t>
            </w:r>
          </w:p>
        </w:tc>
      </w:tr>
      <w:tr w:rsidR="005631A4" w:rsidRPr="005631A4" w14:paraId="19C36879" w14:textId="77777777" w:rsidTr="00D7378B">
        <w:trPr>
          <w:trHeight w:val="397"/>
          <w:jc w:val="center"/>
        </w:trPr>
        <w:tc>
          <w:tcPr>
            <w:tcW w:w="5418" w:type="dxa"/>
            <w:tcBorders>
              <w:top w:val="single" w:sz="24" w:space="0" w:color="FFFFFF"/>
              <w:left w:val="single" w:sz="8" w:space="0" w:color="FFFFFF"/>
              <w:bottom w:val="single" w:sz="8" w:space="0" w:color="FFFFFF"/>
              <w:right w:val="single" w:sz="8" w:space="0" w:color="FFFFFF"/>
            </w:tcBorders>
            <w:shd w:val="clear" w:color="auto" w:fill="DEEAF6" w:themeFill="accent1" w:themeFillTint="33"/>
            <w:tcMar>
              <w:top w:w="15" w:type="dxa"/>
              <w:left w:w="108" w:type="dxa"/>
              <w:bottom w:w="0" w:type="dxa"/>
              <w:right w:w="108" w:type="dxa"/>
            </w:tcMar>
            <w:vAlign w:val="center"/>
            <w:hideMark/>
          </w:tcPr>
          <w:p w14:paraId="70D47F2D" w14:textId="77777777" w:rsidR="005631A4" w:rsidRPr="005631A4" w:rsidRDefault="005631A4" w:rsidP="005631A4">
            <w:pPr>
              <w:spacing w:after="0" w:line="240" w:lineRule="auto"/>
              <w:jc w:val="both"/>
              <w:rPr>
                <w:noProof/>
              </w:rPr>
            </w:pPr>
            <w:r w:rsidRPr="005631A4">
              <w:rPr>
                <w:noProof/>
              </w:rPr>
              <w:t>Pielęgniarstwo zachowawcze</w:t>
            </w:r>
          </w:p>
        </w:tc>
        <w:tc>
          <w:tcPr>
            <w:tcW w:w="2794" w:type="dxa"/>
            <w:tcBorders>
              <w:top w:val="single" w:sz="24" w:space="0" w:color="FFFFFF"/>
              <w:left w:val="single" w:sz="8" w:space="0" w:color="FFFFFF"/>
              <w:bottom w:val="single" w:sz="8" w:space="0" w:color="FFFFFF"/>
              <w:right w:val="single" w:sz="8" w:space="0" w:color="FFFFFF"/>
            </w:tcBorders>
            <w:shd w:val="clear" w:color="auto" w:fill="DEEAF6" w:themeFill="accent1" w:themeFillTint="33"/>
            <w:tcMar>
              <w:top w:w="15" w:type="dxa"/>
              <w:left w:w="108" w:type="dxa"/>
              <w:bottom w:w="0" w:type="dxa"/>
              <w:right w:w="108" w:type="dxa"/>
            </w:tcMar>
            <w:vAlign w:val="center"/>
            <w:hideMark/>
          </w:tcPr>
          <w:p w14:paraId="231FE5E6" w14:textId="77777777" w:rsidR="005631A4" w:rsidRPr="005631A4" w:rsidRDefault="005631A4" w:rsidP="005631A4">
            <w:pPr>
              <w:spacing w:after="0" w:line="240" w:lineRule="auto"/>
              <w:jc w:val="center"/>
              <w:rPr>
                <w:noProof/>
              </w:rPr>
            </w:pPr>
            <w:r w:rsidRPr="005631A4">
              <w:t>10 903</w:t>
            </w:r>
          </w:p>
        </w:tc>
      </w:tr>
      <w:tr w:rsidR="005631A4" w:rsidRPr="005631A4" w14:paraId="54F8497D" w14:textId="77777777" w:rsidTr="00D7378B">
        <w:trPr>
          <w:trHeight w:val="401"/>
          <w:jc w:val="center"/>
        </w:trPr>
        <w:tc>
          <w:tcPr>
            <w:tcW w:w="5418"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15" w:type="dxa"/>
              <w:left w:w="108" w:type="dxa"/>
              <w:bottom w:w="0" w:type="dxa"/>
              <w:right w:w="108" w:type="dxa"/>
            </w:tcMar>
            <w:vAlign w:val="center"/>
            <w:hideMark/>
          </w:tcPr>
          <w:p w14:paraId="788B9B1B" w14:textId="77777777" w:rsidR="005631A4" w:rsidRPr="005631A4" w:rsidRDefault="005631A4" w:rsidP="005631A4">
            <w:pPr>
              <w:spacing w:after="0" w:line="240" w:lineRule="auto"/>
              <w:jc w:val="both"/>
              <w:rPr>
                <w:noProof/>
              </w:rPr>
            </w:pPr>
            <w:r w:rsidRPr="005631A4">
              <w:rPr>
                <w:noProof/>
              </w:rPr>
              <w:t>Pielęgniarstwo opieki długoterminowej</w:t>
            </w:r>
          </w:p>
        </w:tc>
        <w:tc>
          <w:tcPr>
            <w:tcW w:w="2794"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15" w:type="dxa"/>
              <w:left w:w="108" w:type="dxa"/>
              <w:bottom w:w="0" w:type="dxa"/>
              <w:right w:w="108" w:type="dxa"/>
            </w:tcMar>
            <w:vAlign w:val="center"/>
            <w:hideMark/>
          </w:tcPr>
          <w:p w14:paraId="1ECA6102" w14:textId="77777777" w:rsidR="005631A4" w:rsidRPr="005631A4" w:rsidRDefault="005631A4" w:rsidP="005631A4">
            <w:pPr>
              <w:spacing w:after="0" w:line="240" w:lineRule="auto"/>
              <w:jc w:val="center"/>
              <w:rPr>
                <w:noProof/>
              </w:rPr>
            </w:pPr>
            <w:r w:rsidRPr="005631A4">
              <w:t>2 841</w:t>
            </w:r>
          </w:p>
        </w:tc>
      </w:tr>
      <w:tr w:rsidR="005631A4" w:rsidRPr="005631A4" w14:paraId="6D966EDE" w14:textId="77777777" w:rsidTr="00D7378B">
        <w:trPr>
          <w:trHeight w:val="365"/>
          <w:jc w:val="center"/>
        </w:trPr>
        <w:tc>
          <w:tcPr>
            <w:tcW w:w="5418"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15" w:type="dxa"/>
              <w:left w:w="108" w:type="dxa"/>
              <w:bottom w:w="0" w:type="dxa"/>
              <w:right w:w="108" w:type="dxa"/>
            </w:tcMar>
            <w:vAlign w:val="center"/>
            <w:hideMark/>
          </w:tcPr>
          <w:p w14:paraId="5428305A" w14:textId="77777777" w:rsidR="005631A4" w:rsidRPr="005631A4" w:rsidRDefault="005631A4" w:rsidP="005631A4">
            <w:pPr>
              <w:spacing w:after="0" w:line="240" w:lineRule="auto"/>
              <w:jc w:val="both"/>
              <w:rPr>
                <w:noProof/>
              </w:rPr>
            </w:pPr>
            <w:r w:rsidRPr="005631A4">
              <w:rPr>
                <w:noProof/>
              </w:rPr>
              <w:t>Pielęgniarstwo przewlekle chorych i niepełnosprawnych</w:t>
            </w:r>
          </w:p>
        </w:tc>
        <w:tc>
          <w:tcPr>
            <w:tcW w:w="2794"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15" w:type="dxa"/>
              <w:left w:w="108" w:type="dxa"/>
              <w:bottom w:w="0" w:type="dxa"/>
              <w:right w:w="108" w:type="dxa"/>
            </w:tcMar>
            <w:vAlign w:val="center"/>
            <w:hideMark/>
          </w:tcPr>
          <w:p w14:paraId="24D3D4C6" w14:textId="77777777" w:rsidR="005631A4" w:rsidRPr="005631A4" w:rsidRDefault="005631A4" w:rsidP="005631A4">
            <w:pPr>
              <w:spacing w:after="0" w:line="240" w:lineRule="auto"/>
              <w:jc w:val="center"/>
              <w:rPr>
                <w:noProof/>
              </w:rPr>
            </w:pPr>
            <w:r w:rsidRPr="005631A4">
              <w:rPr>
                <w:noProof/>
              </w:rPr>
              <w:t>169</w:t>
            </w:r>
          </w:p>
        </w:tc>
      </w:tr>
      <w:tr w:rsidR="005631A4" w:rsidRPr="005631A4" w14:paraId="3F1D3B87" w14:textId="77777777" w:rsidTr="00D7378B">
        <w:trPr>
          <w:trHeight w:val="398"/>
          <w:jc w:val="center"/>
        </w:trPr>
        <w:tc>
          <w:tcPr>
            <w:tcW w:w="5418"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15" w:type="dxa"/>
              <w:left w:w="108" w:type="dxa"/>
              <w:bottom w:w="0" w:type="dxa"/>
              <w:right w:w="108" w:type="dxa"/>
            </w:tcMar>
            <w:vAlign w:val="center"/>
            <w:hideMark/>
          </w:tcPr>
          <w:p w14:paraId="3F282AAB" w14:textId="77777777" w:rsidR="005631A4" w:rsidRPr="005631A4" w:rsidRDefault="005631A4" w:rsidP="005631A4">
            <w:pPr>
              <w:spacing w:after="0" w:line="240" w:lineRule="auto"/>
              <w:jc w:val="both"/>
              <w:rPr>
                <w:noProof/>
              </w:rPr>
            </w:pPr>
            <w:r w:rsidRPr="005631A4">
              <w:rPr>
                <w:noProof/>
              </w:rPr>
              <w:t>Pielęgniarstwo opieki paliatywnej</w:t>
            </w:r>
          </w:p>
        </w:tc>
        <w:tc>
          <w:tcPr>
            <w:tcW w:w="2794"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15" w:type="dxa"/>
              <w:left w:w="108" w:type="dxa"/>
              <w:bottom w:w="0" w:type="dxa"/>
              <w:right w:w="108" w:type="dxa"/>
            </w:tcMar>
            <w:vAlign w:val="center"/>
            <w:hideMark/>
          </w:tcPr>
          <w:p w14:paraId="02F9AAE1" w14:textId="77777777" w:rsidR="005631A4" w:rsidRPr="005631A4" w:rsidRDefault="005631A4" w:rsidP="005631A4">
            <w:pPr>
              <w:spacing w:after="0" w:line="240" w:lineRule="auto"/>
              <w:jc w:val="center"/>
              <w:rPr>
                <w:noProof/>
              </w:rPr>
            </w:pPr>
            <w:r w:rsidRPr="005631A4">
              <w:t>2 096</w:t>
            </w:r>
          </w:p>
        </w:tc>
      </w:tr>
      <w:tr w:rsidR="005631A4" w:rsidRPr="005631A4" w14:paraId="2EC964B3" w14:textId="77777777" w:rsidTr="00D7378B">
        <w:trPr>
          <w:trHeight w:val="391"/>
          <w:jc w:val="center"/>
        </w:trPr>
        <w:tc>
          <w:tcPr>
            <w:tcW w:w="5418"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15" w:type="dxa"/>
              <w:left w:w="108" w:type="dxa"/>
              <w:bottom w:w="0" w:type="dxa"/>
              <w:right w:w="108" w:type="dxa"/>
            </w:tcMar>
            <w:vAlign w:val="center"/>
            <w:hideMark/>
          </w:tcPr>
          <w:p w14:paraId="5F816FF4" w14:textId="77777777" w:rsidR="005631A4" w:rsidRPr="005631A4" w:rsidRDefault="005631A4" w:rsidP="005631A4">
            <w:pPr>
              <w:spacing w:after="0" w:line="240" w:lineRule="auto"/>
              <w:jc w:val="both"/>
              <w:rPr>
                <w:noProof/>
              </w:rPr>
            </w:pPr>
            <w:r w:rsidRPr="005631A4">
              <w:rPr>
                <w:noProof/>
              </w:rPr>
              <w:t>Pielęgniarstwo rodzinne dla pielęgniarek </w:t>
            </w:r>
          </w:p>
        </w:tc>
        <w:tc>
          <w:tcPr>
            <w:tcW w:w="2794"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15" w:type="dxa"/>
              <w:left w:w="108" w:type="dxa"/>
              <w:bottom w:w="0" w:type="dxa"/>
              <w:right w:w="108" w:type="dxa"/>
            </w:tcMar>
            <w:vAlign w:val="center"/>
            <w:hideMark/>
          </w:tcPr>
          <w:p w14:paraId="03B0C02E" w14:textId="77777777" w:rsidR="005631A4" w:rsidRPr="005631A4" w:rsidRDefault="005631A4" w:rsidP="005631A4">
            <w:pPr>
              <w:spacing w:after="0" w:line="240" w:lineRule="auto"/>
              <w:jc w:val="center"/>
              <w:rPr>
                <w:noProof/>
              </w:rPr>
            </w:pPr>
            <w:r w:rsidRPr="005631A4">
              <w:t xml:space="preserve">2 235 </w:t>
            </w:r>
          </w:p>
        </w:tc>
      </w:tr>
      <w:tr w:rsidR="005631A4" w:rsidRPr="005631A4" w14:paraId="2359C667" w14:textId="77777777" w:rsidTr="00D7378B">
        <w:trPr>
          <w:trHeight w:val="397"/>
          <w:jc w:val="center"/>
        </w:trPr>
        <w:tc>
          <w:tcPr>
            <w:tcW w:w="5418"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15" w:type="dxa"/>
              <w:left w:w="108" w:type="dxa"/>
              <w:bottom w:w="0" w:type="dxa"/>
              <w:right w:w="108" w:type="dxa"/>
            </w:tcMar>
            <w:vAlign w:val="center"/>
            <w:hideMark/>
          </w:tcPr>
          <w:p w14:paraId="7F290582" w14:textId="77777777" w:rsidR="005631A4" w:rsidRPr="005631A4" w:rsidRDefault="005631A4" w:rsidP="005631A4">
            <w:pPr>
              <w:spacing w:after="0" w:line="240" w:lineRule="auto"/>
              <w:jc w:val="both"/>
              <w:rPr>
                <w:noProof/>
              </w:rPr>
            </w:pPr>
            <w:r w:rsidRPr="005631A4">
              <w:rPr>
                <w:noProof/>
              </w:rPr>
              <w:t>Pielęgniarstwo geriatryczne</w:t>
            </w:r>
          </w:p>
        </w:tc>
        <w:tc>
          <w:tcPr>
            <w:tcW w:w="2794"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15" w:type="dxa"/>
              <w:left w:w="108" w:type="dxa"/>
              <w:bottom w:w="0" w:type="dxa"/>
              <w:right w:w="108" w:type="dxa"/>
            </w:tcMar>
            <w:vAlign w:val="center"/>
            <w:hideMark/>
          </w:tcPr>
          <w:p w14:paraId="63C54E4D" w14:textId="77777777" w:rsidR="005631A4" w:rsidRPr="005631A4" w:rsidRDefault="005631A4" w:rsidP="005631A4">
            <w:pPr>
              <w:spacing w:after="0" w:line="240" w:lineRule="auto"/>
              <w:jc w:val="center"/>
              <w:rPr>
                <w:noProof/>
              </w:rPr>
            </w:pPr>
            <w:r w:rsidRPr="005631A4">
              <w:t>2 552</w:t>
            </w:r>
          </w:p>
        </w:tc>
      </w:tr>
      <w:tr w:rsidR="005631A4" w:rsidRPr="005631A4" w14:paraId="309CFEBB" w14:textId="77777777" w:rsidTr="00D7378B">
        <w:trPr>
          <w:trHeight w:val="463"/>
          <w:jc w:val="center"/>
        </w:trPr>
        <w:tc>
          <w:tcPr>
            <w:tcW w:w="5418" w:type="dxa"/>
            <w:tcBorders>
              <w:top w:val="single" w:sz="8" w:space="0" w:color="FFFFFF"/>
              <w:left w:val="single" w:sz="8" w:space="0" w:color="FFFFFF"/>
              <w:bottom w:val="single" w:sz="8" w:space="0" w:color="FFFFFF"/>
              <w:right w:val="single" w:sz="8" w:space="0" w:color="FFFFFF"/>
            </w:tcBorders>
            <w:shd w:val="clear" w:color="auto" w:fill="9DC3E6"/>
            <w:tcMar>
              <w:top w:w="15" w:type="dxa"/>
              <w:left w:w="15" w:type="dxa"/>
              <w:bottom w:w="0" w:type="dxa"/>
              <w:right w:w="15" w:type="dxa"/>
            </w:tcMar>
            <w:vAlign w:val="center"/>
            <w:hideMark/>
          </w:tcPr>
          <w:p w14:paraId="461D1C82" w14:textId="77777777" w:rsidR="005631A4" w:rsidRPr="005631A4" w:rsidRDefault="005631A4" w:rsidP="005631A4">
            <w:pPr>
              <w:spacing w:after="0" w:line="240" w:lineRule="auto"/>
              <w:jc w:val="center"/>
              <w:rPr>
                <w:noProof/>
              </w:rPr>
            </w:pPr>
            <w:r w:rsidRPr="005631A4">
              <w:rPr>
                <w:b/>
                <w:bCs/>
                <w:noProof/>
              </w:rPr>
              <w:lastRenderedPageBreak/>
              <w:t>Ogółem</w:t>
            </w:r>
          </w:p>
        </w:tc>
        <w:tc>
          <w:tcPr>
            <w:tcW w:w="2794" w:type="dxa"/>
            <w:tcBorders>
              <w:top w:val="single" w:sz="8" w:space="0" w:color="FFFFFF"/>
              <w:left w:val="single" w:sz="8" w:space="0" w:color="FFFFFF"/>
              <w:bottom w:val="single" w:sz="8" w:space="0" w:color="FFFFFF"/>
              <w:right w:val="single" w:sz="8" w:space="0" w:color="FFFFFF"/>
            </w:tcBorders>
            <w:shd w:val="clear" w:color="auto" w:fill="9DC3E6"/>
            <w:tcMar>
              <w:top w:w="15" w:type="dxa"/>
              <w:left w:w="108" w:type="dxa"/>
              <w:bottom w:w="0" w:type="dxa"/>
              <w:right w:w="108" w:type="dxa"/>
            </w:tcMar>
            <w:vAlign w:val="center"/>
            <w:hideMark/>
          </w:tcPr>
          <w:p w14:paraId="65DB7ED1" w14:textId="65CECEF1" w:rsidR="005631A4" w:rsidRPr="00786615" w:rsidRDefault="005631A4" w:rsidP="005631A4">
            <w:pPr>
              <w:spacing w:after="0" w:line="240" w:lineRule="auto"/>
              <w:jc w:val="center"/>
              <w:rPr>
                <w:b/>
                <w:bCs/>
                <w:noProof/>
              </w:rPr>
            </w:pPr>
            <w:r w:rsidRPr="00786D0E">
              <w:rPr>
                <w:b/>
              </w:rPr>
              <w:t>20</w:t>
            </w:r>
            <w:r w:rsidR="00786615" w:rsidRPr="00786D0E">
              <w:rPr>
                <w:b/>
              </w:rPr>
              <w:t xml:space="preserve"> </w:t>
            </w:r>
            <w:r w:rsidRPr="00786D0E">
              <w:rPr>
                <w:b/>
              </w:rPr>
              <w:t>796</w:t>
            </w:r>
          </w:p>
        </w:tc>
      </w:tr>
    </w:tbl>
    <w:p w14:paraId="11E50781" w14:textId="77777777" w:rsidR="005631A4" w:rsidRPr="005631A4" w:rsidRDefault="005631A4" w:rsidP="005631A4">
      <w:pPr>
        <w:spacing w:after="240" w:line="240" w:lineRule="auto"/>
        <w:jc w:val="center"/>
      </w:pPr>
      <w:r w:rsidRPr="005631A4">
        <w:rPr>
          <w:rFonts w:cstheme="minorHAnsi"/>
          <w:sz w:val="16"/>
          <w:szCs w:val="20"/>
        </w:rPr>
        <w:t>Źródło: opracowanie własne MZ na podstawie danych Centrum Kształcenia Podyplomowego Pielęgniarek i Położnych.</w:t>
      </w:r>
    </w:p>
    <w:p w14:paraId="6AED168C" w14:textId="738974B0" w:rsidR="005631A4" w:rsidRPr="005631A4" w:rsidRDefault="005631A4" w:rsidP="005631A4">
      <w:pPr>
        <w:spacing w:after="60"/>
        <w:jc w:val="center"/>
      </w:pPr>
      <w:r w:rsidRPr="005631A4">
        <w:rPr>
          <w:i/>
          <w:color w:val="0070C0"/>
          <w:sz w:val="20"/>
        </w:rPr>
        <w:t>Tabela 2. Liczba</w:t>
      </w:r>
      <w:r w:rsidR="00D7378B">
        <w:rPr>
          <w:i/>
          <w:color w:val="0070C0"/>
          <w:sz w:val="20"/>
        </w:rPr>
        <w:t xml:space="preserve"> kadr</w:t>
      </w:r>
      <w:r w:rsidRPr="005631A4">
        <w:rPr>
          <w:i/>
          <w:color w:val="0070C0"/>
          <w:sz w:val="20"/>
        </w:rPr>
        <w:t xml:space="preserve"> pielęgniar</w:t>
      </w:r>
      <w:r w:rsidR="00D7378B">
        <w:rPr>
          <w:i/>
          <w:color w:val="0070C0"/>
          <w:sz w:val="20"/>
        </w:rPr>
        <w:t>skich</w:t>
      </w:r>
      <w:r w:rsidRPr="005631A4">
        <w:rPr>
          <w:i/>
          <w:color w:val="0070C0"/>
          <w:sz w:val="20"/>
        </w:rPr>
        <w:t>, które ukończyły kursy kwalifikacyjne w wybranych</w:t>
      </w:r>
      <w:r w:rsidRPr="005631A4">
        <w:rPr>
          <w:i/>
          <w:color w:val="0070C0"/>
          <w:sz w:val="20"/>
        </w:rPr>
        <w:br/>
        <w:t>dziedzinach pielęgniarstwa mających zastosowanie w opiece długoterminowej</w:t>
      </w:r>
      <w:r w:rsidR="00D7378B">
        <w:rPr>
          <w:i/>
          <w:color w:val="0070C0"/>
          <w:sz w:val="20"/>
        </w:rPr>
        <w:t xml:space="preserve"> w 2018 r.</w:t>
      </w:r>
    </w:p>
    <w:tbl>
      <w:tblPr>
        <w:tblW w:w="8070" w:type="dxa"/>
        <w:jc w:val="center"/>
        <w:tblCellMar>
          <w:left w:w="0" w:type="dxa"/>
          <w:right w:w="0" w:type="dxa"/>
        </w:tblCellMar>
        <w:tblLook w:val="04A0" w:firstRow="1" w:lastRow="0" w:firstColumn="1" w:lastColumn="0" w:noHBand="0" w:noVBand="1"/>
      </w:tblPr>
      <w:tblGrid>
        <w:gridCol w:w="5235"/>
        <w:gridCol w:w="2835"/>
      </w:tblGrid>
      <w:tr w:rsidR="005631A4" w:rsidRPr="005631A4" w14:paraId="1AEDE59C" w14:textId="77777777" w:rsidTr="00D7378B">
        <w:trPr>
          <w:trHeight w:val="683"/>
          <w:jc w:val="center"/>
        </w:trPr>
        <w:tc>
          <w:tcPr>
            <w:tcW w:w="5235" w:type="dxa"/>
            <w:tcBorders>
              <w:top w:val="single" w:sz="8" w:space="0" w:color="FFFFFF"/>
              <w:left w:val="single" w:sz="8" w:space="0" w:color="FFFFFF"/>
              <w:bottom w:val="single" w:sz="24" w:space="0" w:color="FFFFFF"/>
              <w:right w:val="single" w:sz="8" w:space="0" w:color="FFFFFF"/>
            </w:tcBorders>
            <w:shd w:val="clear" w:color="auto" w:fill="9DC3E6"/>
            <w:tcMar>
              <w:top w:w="15" w:type="dxa"/>
              <w:left w:w="108" w:type="dxa"/>
              <w:bottom w:w="0" w:type="dxa"/>
              <w:right w:w="108" w:type="dxa"/>
            </w:tcMar>
            <w:vAlign w:val="center"/>
            <w:hideMark/>
          </w:tcPr>
          <w:p w14:paraId="2486EE46" w14:textId="77777777" w:rsidR="005631A4" w:rsidRPr="005631A4" w:rsidRDefault="005631A4" w:rsidP="005631A4">
            <w:pPr>
              <w:spacing w:after="0" w:line="240" w:lineRule="auto"/>
              <w:jc w:val="center"/>
              <w:rPr>
                <w:noProof/>
              </w:rPr>
            </w:pPr>
            <w:r w:rsidRPr="005631A4">
              <w:rPr>
                <w:b/>
                <w:bCs/>
                <w:noProof/>
              </w:rPr>
              <w:t xml:space="preserve">Dziedzina kursu kwalifikacyjnego </w:t>
            </w:r>
          </w:p>
        </w:tc>
        <w:tc>
          <w:tcPr>
            <w:tcW w:w="2835" w:type="dxa"/>
            <w:tcBorders>
              <w:top w:val="single" w:sz="8" w:space="0" w:color="FFFFFF"/>
              <w:left w:val="single" w:sz="8" w:space="0" w:color="FFFFFF"/>
              <w:bottom w:val="single" w:sz="24" w:space="0" w:color="FFFFFF"/>
              <w:right w:val="single" w:sz="8" w:space="0" w:color="FFFFFF"/>
            </w:tcBorders>
            <w:shd w:val="clear" w:color="auto" w:fill="9DC3E6"/>
            <w:tcMar>
              <w:top w:w="15" w:type="dxa"/>
              <w:left w:w="108" w:type="dxa"/>
              <w:bottom w:w="0" w:type="dxa"/>
              <w:right w:w="108" w:type="dxa"/>
            </w:tcMar>
            <w:vAlign w:val="center"/>
            <w:hideMark/>
          </w:tcPr>
          <w:p w14:paraId="676FBF2E" w14:textId="7B4E7F57" w:rsidR="005631A4" w:rsidRPr="005631A4" w:rsidRDefault="005631A4" w:rsidP="005631A4">
            <w:pPr>
              <w:spacing w:after="0" w:line="240" w:lineRule="auto"/>
              <w:jc w:val="center"/>
              <w:rPr>
                <w:noProof/>
              </w:rPr>
            </w:pPr>
            <w:r w:rsidRPr="005631A4">
              <w:rPr>
                <w:b/>
                <w:bCs/>
                <w:noProof/>
              </w:rPr>
              <w:t xml:space="preserve">Liczba </w:t>
            </w:r>
            <w:r w:rsidR="00D7378B">
              <w:rPr>
                <w:b/>
                <w:bCs/>
                <w:noProof/>
              </w:rPr>
              <w:t xml:space="preserve">kadr </w:t>
            </w:r>
            <w:r w:rsidRPr="005631A4">
              <w:rPr>
                <w:b/>
                <w:bCs/>
                <w:noProof/>
              </w:rPr>
              <w:t>pielęgniar</w:t>
            </w:r>
            <w:r w:rsidR="00D7378B">
              <w:rPr>
                <w:b/>
                <w:bCs/>
                <w:noProof/>
              </w:rPr>
              <w:t>skich</w:t>
            </w:r>
          </w:p>
          <w:p w14:paraId="45063A0D" w14:textId="77777777" w:rsidR="005631A4" w:rsidRPr="005631A4" w:rsidRDefault="005631A4" w:rsidP="005631A4">
            <w:pPr>
              <w:spacing w:after="0" w:line="240" w:lineRule="auto"/>
              <w:jc w:val="center"/>
              <w:rPr>
                <w:noProof/>
              </w:rPr>
            </w:pPr>
            <w:r w:rsidRPr="005631A4">
              <w:rPr>
                <w:noProof/>
                <w:sz w:val="20"/>
                <w:szCs w:val="20"/>
              </w:rPr>
              <w:t>(stan na dzień 31.12.2018 r.)</w:t>
            </w:r>
          </w:p>
        </w:tc>
      </w:tr>
      <w:tr w:rsidR="005631A4" w:rsidRPr="005631A4" w14:paraId="1968877A" w14:textId="77777777" w:rsidTr="00D7378B">
        <w:trPr>
          <w:trHeight w:val="483"/>
          <w:jc w:val="center"/>
        </w:trPr>
        <w:tc>
          <w:tcPr>
            <w:tcW w:w="5235" w:type="dxa"/>
            <w:tcBorders>
              <w:top w:val="single" w:sz="24" w:space="0" w:color="FFFFFF"/>
              <w:left w:val="single" w:sz="8" w:space="0" w:color="FFFFFF"/>
              <w:bottom w:val="single" w:sz="8" w:space="0" w:color="FFFFFF"/>
              <w:right w:val="single" w:sz="8" w:space="0" w:color="FFFFFF"/>
            </w:tcBorders>
            <w:shd w:val="clear" w:color="auto" w:fill="DEEAF6" w:themeFill="accent1" w:themeFillTint="33"/>
            <w:tcMar>
              <w:top w:w="15" w:type="dxa"/>
              <w:left w:w="108" w:type="dxa"/>
              <w:bottom w:w="0" w:type="dxa"/>
              <w:right w:w="108" w:type="dxa"/>
            </w:tcMar>
            <w:vAlign w:val="center"/>
            <w:hideMark/>
          </w:tcPr>
          <w:p w14:paraId="338E3FD4" w14:textId="77777777" w:rsidR="005631A4" w:rsidRPr="005631A4" w:rsidRDefault="005631A4" w:rsidP="005631A4">
            <w:pPr>
              <w:spacing w:after="0" w:line="240" w:lineRule="auto"/>
              <w:jc w:val="both"/>
              <w:rPr>
                <w:noProof/>
              </w:rPr>
            </w:pPr>
            <w:r w:rsidRPr="005631A4">
              <w:rPr>
                <w:noProof/>
              </w:rPr>
              <w:t>Pielęgniarstwo rodzinne dla pielęgniarek</w:t>
            </w:r>
          </w:p>
        </w:tc>
        <w:tc>
          <w:tcPr>
            <w:tcW w:w="2835" w:type="dxa"/>
            <w:tcBorders>
              <w:top w:val="single" w:sz="24" w:space="0" w:color="FFFFFF"/>
              <w:left w:val="single" w:sz="8" w:space="0" w:color="FFFFFF"/>
              <w:bottom w:val="single" w:sz="8" w:space="0" w:color="FFFFFF"/>
              <w:right w:val="single" w:sz="8" w:space="0" w:color="FFFFFF"/>
            </w:tcBorders>
            <w:shd w:val="clear" w:color="auto" w:fill="DEEAF6" w:themeFill="accent1" w:themeFillTint="33"/>
            <w:tcMar>
              <w:top w:w="15" w:type="dxa"/>
              <w:left w:w="108" w:type="dxa"/>
              <w:bottom w:w="0" w:type="dxa"/>
              <w:right w:w="108" w:type="dxa"/>
            </w:tcMar>
            <w:vAlign w:val="center"/>
            <w:hideMark/>
          </w:tcPr>
          <w:p w14:paraId="73337DA8" w14:textId="77777777" w:rsidR="005631A4" w:rsidRPr="005631A4" w:rsidRDefault="005631A4" w:rsidP="005631A4">
            <w:pPr>
              <w:spacing w:after="0" w:line="240" w:lineRule="auto"/>
              <w:jc w:val="center"/>
              <w:rPr>
                <w:noProof/>
              </w:rPr>
            </w:pPr>
            <w:r w:rsidRPr="005631A4">
              <w:rPr>
                <w:noProof/>
              </w:rPr>
              <w:t>37 434</w:t>
            </w:r>
          </w:p>
        </w:tc>
      </w:tr>
      <w:tr w:rsidR="005631A4" w:rsidRPr="005631A4" w14:paraId="00DE269D" w14:textId="77777777" w:rsidTr="00D7378B">
        <w:trPr>
          <w:trHeight w:val="403"/>
          <w:jc w:val="center"/>
        </w:trPr>
        <w:tc>
          <w:tcPr>
            <w:tcW w:w="5235"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15" w:type="dxa"/>
              <w:left w:w="108" w:type="dxa"/>
              <w:bottom w:w="0" w:type="dxa"/>
              <w:right w:w="108" w:type="dxa"/>
            </w:tcMar>
            <w:vAlign w:val="center"/>
            <w:hideMark/>
          </w:tcPr>
          <w:p w14:paraId="5A220718" w14:textId="77777777" w:rsidR="005631A4" w:rsidRPr="005631A4" w:rsidRDefault="005631A4" w:rsidP="005631A4">
            <w:pPr>
              <w:spacing w:after="0" w:line="240" w:lineRule="auto"/>
              <w:jc w:val="both"/>
              <w:rPr>
                <w:noProof/>
              </w:rPr>
            </w:pPr>
            <w:r w:rsidRPr="005631A4">
              <w:rPr>
                <w:noProof/>
              </w:rPr>
              <w:t>Pielęgniarstwo opieki długoterminowej</w:t>
            </w:r>
          </w:p>
        </w:tc>
        <w:tc>
          <w:tcPr>
            <w:tcW w:w="2835"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15" w:type="dxa"/>
              <w:left w:w="108" w:type="dxa"/>
              <w:bottom w:w="0" w:type="dxa"/>
              <w:right w:w="108" w:type="dxa"/>
            </w:tcMar>
            <w:vAlign w:val="center"/>
            <w:hideMark/>
          </w:tcPr>
          <w:p w14:paraId="66771143" w14:textId="77777777" w:rsidR="005631A4" w:rsidRPr="005631A4" w:rsidRDefault="005631A4" w:rsidP="005631A4">
            <w:pPr>
              <w:spacing w:after="0" w:line="240" w:lineRule="auto"/>
              <w:jc w:val="center"/>
              <w:rPr>
                <w:noProof/>
              </w:rPr>
            </w:pPr>
            <w:r w:rsidRPr="005631A4">
              <w:rPr>
                <w:noProof/>
              </w:rPr>
              <w:t>18 618</w:t>
            </w:r>
          </w:p>
        </w:tc>
      </w:tr>
      <w:tr w:rsidR="005631A4" w:rsidRPr="005631A4" w14:paraId="581B26F4" w14:textId="77777777" w:rsidTr="00D7378B">
        <w:trPr>
          <w:trHeight w:val="395"/>
          <w:jc w:val="center"/>
        </w:trPr>
        <w:tc>
          <w:tcPr>
            <w:tcW w:w="5235"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15" w:type="dxa"/>
              <w:left w:w="108" w:type="dxa"/>
              <w:bottom w:w="0" w:type="dxa"/>
              <w:right w:w="108" w:type="dxa"/>
            </w:tcMar>
            <w:vAlign w:val="center"/>
            <w:hideMark/>
          </w:tcPr>
          <w:p w14:paraId="657BFE65" w14:textId="77777777" w:rsidR="005631A4" w:rsidRPr="005631A4" w:rsidRDefault="005631A4" w:rsidP="005631A4">
            <w:pPr>
              <w:spacing w:after="0" w:line="240" w:lineRule="auto"/>
              <w:jc w:val="both"/>
              <w:rPr>
                <w:noProof/>
              </w:rPr>
            </w:pPr>
            <w:r w:rsidRPr="005631A4">
              <w:rPr>
                <w:noProof/>
              </w:rPr>
              <w:t>Pielęgniarstwo opieki paliatywnej</w:t>
            </w:r>
          </w:p>
        </w:tc>
        <w:tc>
          <w:tcPr>
            <w:tcW w:w="2835"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15" w:type="dxa"/>
              <w:left w:w="108" w:type="dxa"/>
              <w:bottom w:w="0" w:type="dxa"/>
              <w:right w:w="108" w:type="dxa"/>
            </w:tcMar>
            <w:vAlign w:val="center"/>
            <w:hideMark/>
          </w:tcPr>
          <w:p w14:paraId="60DB4CB8" w14:textId="77777777" w:rsidR="005631A4" w:rsidRPr="005631A4" w:rsidRDefault="005631A4" w:rsidP="005631A4">
            <w:pPr>
              <w:spacing w:after="0" w:line="240" w:lineRule="auto"/>
              <w:jc w:val="center"/>
              <w:rPr>
                <w:noProof/>
              </w:rPr>
            </w:pPr>
            <w:r w:rsidRPr="005631A4">
              <w:rPr>
                <w:noProof/>
              </w:rPr>
              <w:t>5 033</w:t>
            </w:r>
          </w:p>
        </w:tc>
      </w:tr>
      <w:tr w:rsidR="005631A4" w:rsidRPr="005631A4" w14:paraId="3E28B0F0" w14:textId="77777777" w:rsidTr="00D7378B">
        <w:trPr>
          <w:trHeight w:val="447"/>
          <w:jc w:val="center"/>
        </w:trPr>
        <w:tc>
          <w:tcPr>
            <w:tcW w:w="5235"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15" w:type="dxa"/>
              <w:left w:w="108" w:type="dxa"/>
              <w:bottom w:w="0" w:type="dxa"/>
              <w:right w:w="108" w:type="dxa"/>
            </w:tcMar>
            <w:vAlign w:val="center"/>
            <w:hideMark/>
          </w:tcPr>
          <w:p w14:paraId="24B23F00" w14:textId="77777777" w:rsidR="005631A4" w:rsidRPr="005631A4" w:rsidRDefault="005631A4" w:rsidP="005631A4">
            <w:pPr>
              <w:spacing w:after="0" w:line="240" w:lineRule="auto"/>
              <w:jc w:val="both"/>
              <w:rPr>
                <w:noProof/>
              </w:rPr>
            </w:pPr>
            <w:r w:rsidRPr="005631A4">
              <w:rPr>
                <w:noProof/>
              </w:rPr>
              <w:t>Pielęgniarstwo zachowawcze/internistyczne</w:t>
            </w:r>
          </w:p>
        </w:tc>
        <w:tc>
          <w:tcPr>
            <w:tcW w:w="2835"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15" w:type="dxa"/>
              <w:left w:w="108" w:type="dxa"/>
              <w:bottom w:w="0" w:type="dxa"/>
              <w:right w:w="108" w:type="dxa"/>
            </w:tcMar>
            <w:vAlign w:val="center"/>
            <w:hideMark/>
          </w:tcPr>
          <w:p w14:paraId="6527AD1A" w14:textId="77777777" w:rsidR="005631A4" w:rsidRPr="005631A4" w:rsidRDefault="005631A4" w:rsidP="005631A4">
            <w:pPr>
              <w:spacing w:after="0" w:line="240" w:lineRule="auto"/>
              <w:jc w:val="center"/>
              <w:rPr>
                <w:noProof/>
              </w:rPr>
            </w:pPr>
            <w:r w:rsidRPr="005631A4">
              <w:rPr>
                <w:noProof/>
              </w:rPr>
              <w:t>3 850</w:t>
            </w:r>
          </w:p>
        </w:tc>
      </w:tr>
      <w:tr w:rsidR="005631A4" w:rsidRPr="005631A4" w14:paraId="712F4FBC" w14:textId="77777777" w:rsidTr="00D7378B">
        <w:trPr>
          <w:trHeight w:val="465"/>
          <w:jc w:val="center"/>
        </w:trPr>
        <w:tc>
          <w:tcPr>
            <w:tcW w:w="5235"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15" w:type="dxa"/>
              <w:left w:w="108" w:type="dxa"/>
              <w:bottom w:w="0" w:type="dxa"/>
              <w:right w:w="108" w:type="dxa"/>
            </w:tcMar>
            <w:vAlign w:val="center"/>
            <w:hideMark/>
          </w:tcPr>
          <w:p w14:paraId="3A18AFA5" w14:textId="77777777" w:rsidR="005631A4" w:rsidRPr="005631A4" w:rsidRDefault="005631A4" w:rsidP="005631A4">
            <w:pPr>
              <w:spacing w:after="0" w:line="240" w:lineRule="auto"/>
              <w:jc w:val="both"/>
              <w:rPr>
                <w:noProof/>
              </w:rPr>
            </w:pPr>
            <w:r w:rsidRPr="005631A4">
              <w:rPr>
                <w:noProof/>
              </w:rPr>
              <w:t>Pielęgniarstwo geriatryczne</w:t>
            </w:r>
          </w:p>
        </w:tc>
        <w:tc>
          <w:tcPr>
            <w:tcW w:w="2835"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15" w:type="dxa"/>
              <w:left w:w="108" w:type="dxa"/>
              <w:bottom w:w="0" w:type="dxa"/>
              <w:right w:w="108" w:type="dxa"/>
            </w:tcMar>
            <w:vAlign w:val="center"/>
            <w:hideMark/>
          </w:tcPr>
          <w:p w14:paraId="60171937" w14:textId="77777777" w:rsidR="005631A4" w:rsidRPr="005631A4" w:rsidRDefault="005631A4" w:rsidP="005631A4">
            <w:pPr>
              <w:spacing w:after="0" w:line="240" w:lineRule="auto"/>
              <w:jc w:val="center"/>
              <w:rPr>
                <w:noProof/>
              </w:rPr>
            </w:pPr>
            <w:r w:rsidRPr="005631A4">
              <w:rPr>
                <w:noProof/>
              </w:rPr>
              <w:t>1 557</w:t>
            </w:r>
          </w:p>
        </w:tc>
      </w:tr>
      <w:tr w:rsidR="005631A4" w:rsidRPr="005631A4" w14:paraId="311D2A31" w14:textId="77777777" w:rsidTr="00D7378B">
        <w:trPr>
          <w:trHeight w:val="463"/>
          <w:jc w:val="center"/>
        </w:trPr>
        <w:tc>
          <w:tcPr>
            <w:tcW w:w="5235" w:type="dxa"/>
            <w:tcBorders>
              <w:top w:val="single" w:sz="8" w:space="0" w:color="FFFFFF"/>
              <w:left w:val="single" w:sz="8" w:space="0" w:color="FFFFFF"/>
              <w:bottom w:val="single" w:sz="8" w:space="0" w:color="FFFFFF"/>
              <w:right w:val="single" w:sz="8" w:space="0" w:color="FFFFFF"/>
            </w:tcBorders>
            <w:shd w:val="clear" w:color="auto" w:fill="9DC3E6"/>
            <w:tcMar>
              <w:top w:w="15" w:type="dxa"/>
              <w:left w:w="15" w:type="dxa"/>
              <w:bottom w:w="0" w:type="dxa"/>
              <w:right w:w="15" w:type="dxa"/>
            </w:tcMar>
            <w:vAlign w:val="center"/>
            <w:hideMark/>
          </w:tcPr>
          <w:p w14:paraId="3F12C9B2" w14:textId="77777777" w:rsidR="005631A4" w:rsidRPr="005631A4" w:rsidRDefault="005631A4" w:rsidP="005631A4">
            <w:pPr>
              <w:spacing w:after="0" w:line="240" w:lineRule="auto"/>
              <w:jc w:val="center"/>
              <w:rPr>
                <w:noProof/>
              </w:rPr>
            </w:pPr>
            <w:r w:rsidRPr="005631A4">
              <w:rPr>
                <w:b/>
                <w:bCs/>
                <w:noProof/>
              </w:rPr>
              <w:t>Ogółem</w:t>
            </w:r>
          </w:p>
        </w:tc>
        <w:tc>
          <w:tcPr>
            <w:tcW w:w="2835" w:type="dxa"/>
            <w:tcBorders>
              <w:top w:val="single" w:sz="8" w:space="0" w:color="FFFFFF"/>
              <w:left w:val="single" w:sz="8" w:space="0" w:color="FFFFFF"/>
              <w:bottom w:val="single" w:sz="8" w:space="0" w:color="FFFFFF"/>
              <w:right w:val="single" w:sz="8" w:space="0" w:color="FFFFFF"/>
            </w:tcBorders>
            <w:shd w:val="clear" w:color="auto" w:fill="9DC3E6"/>
            <w:tcMar>
              <w:top w:w="15" w:type="dxa"/>
              <w:left w:w="108" w:type="dxa"/>
              <w:bottom w:w="0" w:type="dxa"/>
              <w:right w:w="108" w:type="dxa"/>
            </w:tcMar>
            <w:vAlign w:val="center"/>
            <w:hideMark/>
          </w:tcPr>
          <w:p w14:paraId="4ED088CE" w14:textId="45F86887" w:rsidR="005631A4" w:rsidRPr="005631A4" w:rsidRDefault="005631A4" w:rsidP="005631A4">
            <w:pPr>
              <w:spacing w:after="0" w:line="240" w:lineRule="auto"/>
              <w:jc w:val="center"/>
              <w:rPr>
                <w:noProof/>
              </w:rPr>
            </w:pPr>
            <w:r w:rsidRPr="005631A4">
              <w:rPr>
                <w:b/>
                <w:bCs/>
                <w:noProof/>
              </w:rPr>
              <w:t>88</w:t>
            </w:r>
            <w:r w:rsidR="00786615">
              <w:rPr>
                <w:b/>
                <w:bCs/>
                <w:noProof/>
              </w:rPr>
              <w:t xml:space="preserve"> </w:t>
            </w:r>
            <w:r w:rsidRPr="005631A4">
              <w:rPr>
                <w:b/>
                <w:bCs/>
                <w:noProof/>
              </w:rPr>
              <w:t>492</w:t>
            </w:r>
          </w:p>
        </w:tc>
      </w:tr>
    </w:tbl>
    <w:p w14:paraId="46E86E18" w14:textId="77777777" w:rsidR="005631A4" w:rsidRPr="005631A4" w:rsidRDefault="005631A4" w:rsidP="005631A4">
      <w:pPr>
        <w:spacing w:after="360" w:line="288" w:lineRule="auto"/>
        <w:jc w:val="center"/>
      </w:pPr>
      <w:r w:rsidRPr="005631A4">
        <w:rPr>
          <w:rFonts w:cstheme="minorHAnsi"/>
          <w:sz w:val="16"/>
          <w:szCs w:val="20"/>
        </w:rPr>
        <w:t>Źródło: Opracowanie własne MZ na podstawie danych Centrum Kształcenia Podyplomowego Pielęgniarek i Położnych.</w:t>
      </w:r>
    </w:p>
    <w:p w14:paraId="5DD475D2" w14:textId="7192EC3B" w:rsidR="005631A4" w:rsidRPr="005631A4" w:rsidRDefault="005631A4" w:rsidP="005631A4">
      <w:pPr>
        <w:spacing w:after="60"/>
        <w:jc w:val="center"/>
      </w:pPr>
      <w:r w:rsidRPr="005631A4">
        <w:rPr>
          <w:i/>
          <w:color w:val="0070C0"/>
          <w:sz w:val="20"/>
        </w:rPr>
        <w:t xml:space="preserve">Tabela 3. Liczba </w:t>
      </w:r>
      <w:r w:rsidR="00D7378B">
        <w:rPr>
          <w:i/>
          <w:color w:val="0070C0"/>
          <w:sz w:val="20"/>
        </w:rPr>
        <w:t xml:space="preserve">kadr </w:t>
      </w:r>
      <w:r w:rsidRPr="005631A4">
        <w:rPr>
          <w:i/>
          <w:color w:val="0070C0"/>
          <w:sz w:val="20"/>
        </w:rPr>
        <w:t>pielęgniar</w:t>
      </w:r>
      <w:r w:rsidR="00D7378B">
        <w:rPr>
          <w:i/>
          <w:color w:val="0070C0"/>
          <w:sz w:val="20"/>
        </w:rPr>
        <w:t>skich</w:t>
      </w:r>
      <w:r w:rsidRPr="005631A4">
        <w:rPr>
          <w:i/>
          <w:color w:val="0070C0"/>
          <w:sz w:val="20"/>
        </w:rPr>
        <w:t xml:space="preserve">, które ukończyły kursy specjalistyczne w wybranych </w:t>
      </w:r>
      <w:r w:rsidR="00E07D64">
        <w:rPr>
          <w:i/>
          <w:color w:val="0070C0"/>
          <w:sz w:val="20"/>
        </w:rPr>
        <w:br/>
      </w:r>
      <w:r w:rsidRPr="005631A4">
        <w:rPr>
          <w:i/>
          <w:color w:val="0070C0"/>
          <w:sz w:val="20"/>
        </w:rPr>
        <w:t>zakresach pielęgniarstwa mających zastosowanie w opiece długoterminowej</w:t>
      </w:r>
      <w:r w:rsidR="00D7378B">
        <w:rPr>
          <w:i/>
          <w:color w:val="0070C0"/>
          <w:sz w:val="20"/>
        </w:rPr>
        <w:t xml:space="preserve"> w 2018 r.</w:t>
      </w:r>
    </w:p>
    <w:tbl>
      <w:tblPr>
        <w:tblW w:w="8070" w:type="dxa"/>
        <w:jc w:val="center"/>
        <w:tblCellMar>
          <w:left w:w="0" w:type="dxa"/>
          <w:right w:w="0" w:type="dxa"/>
        </w:tblCellMar>
        <w:tblLook w:val="04A0" w:firstRow="1" w:lastRow="0" w:firstColumn="1" w:lastColumn="0" w:noHBand="0" w:noVBand="1"/>
      </w:tblPr>
      <w:tblGrid>
        <w:gridCol w:w="5235"/>
        <w:gridCol w:w="2835"/>
      </w:tblGrid>
      <w:tr w:rsidR="005631A4" w:rsidRPr="005631A4" w14:paraId="07641CC3" w14:textId="77777777" w:rsidTr="00D7378B">
        <w:trPr>
          <w:trHeight w:val="624"/>
          <w:jc w:val="center"/>
        </w:trPr>
        <w:tc>
          <w:tcPr>
            <w:tcW w:w="5235" w:type="dxa"/>
            <w:tcBorders>
              <w:top w:val="single" w:sz="8" w:space="0" w:color="FFFFFF"/>
              <w:left w:val="single" w:sz="8" w:space="0" w:color="FFFFFF"/>
              <w:bottom w:val="single" w:sz="24" w:space="0" w:color="FFFFFF"/>
              <w:right w:val="single" w:sz="8" w:space="0" w:color="FFFFFF"/>
            </w:tcBorders>
            <w:shd w:val="clear" w:color="auto" w:fill="9DC3E6"/>
            <w:tcMar>
              <w:top w:w="15" w:type="dxa"/>
              <w:left w:w="108" w:type="dxa"/>
              <w:bottom w:w="0" w:type="dxa"/>
              <w:right w:w="108" w:type="dxa"/>
            </w:tcMar>
            <w:vAlign w:val="center"/>
            <w:hideMark/>
          </w:tcPr>
          <w:p w14:paraId="3AB8D0BB" w14:textId="77777777" w:rsidR="005631A4" w:rsidRPr="005631A4" w:rsidRDefault="005631A4" w:rsidP="005631A4">
            <w:pPr>
              <w:spacing w:after="0" w:line="240" w:lineRule="auto"/>
              <w:jc w:val="center"/>
              <w:rPr>
                <w:noProof/>
              </w:rPr>
            </w:pPr>
            <w:r w:rsidRPr="005631A4">
              <w:rPr>
                <w:b/>
                <w:bCs/>
                <w:noProof/>
              </w:rPr>
              <w:t>Zakres kursu specjalistycznego</w:t>
            </w:r>
          </w:p>
        </w:tc>
        <w:tc>
          <w:tcPr>
            <w:tcW w:w="2835" w:type="dxa"/>
            <w:tcBorders>
              <w:top w:val="single" w:sz="8" w:space="0" w:color="FFFFFF"/>
              <w:left w:val="single" w:sz="8" w:space="0" w:color="FFFFFF"/>
              <w:bottom w:val="single" w:sz="24" w:space="0" w:color="FFFFFF"/>
              <w:right w:val="single" w:sz="8" w:space="0" w:color="FFFFFF"/>
            </w:tcBorders>
            <w:shd w:val="clear" w:color="auto" w:fill="9DC3E6"/>
            <w:tcMar>
              <w:top w:w="15" w:type="dxa"/>
              <w:left w:w="108" w:type="dxa"/>
              <w:bottom w:w="0" w:type="dxa"/>
              <w:right w:w="108" w:type="dxa"/>
            </w:tcMar>
            <w:vAlign w:val="center"/>
            <w:hideMark/>
          </w:tcPr>
          <w:p w14:paraId="5F2C6ECC" w14:textId="574D4815" w:rsidR="005631A4" w:rsidRPr="005631A4" w:rsidRDefault="005631A4" w:rsidP="005631A4">
            <w:pPr>
              <w:spacing w:after="0" w:line="240" w:lineRule="auto"/>
              <w:jc w:val="center"/>
              <w:rPr>
                <w:noProof/>
              </w:rPr>
            </w:pPr>
            <w:r w:rsidRPr="005631A4">
              <w:rPr>
                <w:b/>
                <w:bCs/>
                <w:noProof/>
              </w:rPr>
              <w:t xml:space="preserve">Liczba </w:t>
            </w:r>
            <w:r w:rsidR="00D7378B">
              <w:rPr>
                <w:b/>
                <w:bCs/>
                <w:noProof/>
              </w:rPr>
              <w:t xml:space="preserve">kadr </w:t>
            </w:r>
            <w:r w:rsidRPr="005631A4">
              <w:rPr>
                <w:b/>
                <w:bCs/>
                <w:noProof/>
              </w:rPr>
              <w:t>pielęgniar</w:t>
            </w:r>
            <w:r w:rsidR="00D7378B">
              <w:rPr>
                <w:b/>
                <w:bCs/>
                <w:noProof/>
              </w:rPr>
              <w:t>skich</w:t>
            </w:r>
          </w:p>
          <w:p w14:paraId="46A37248" w14:textId="77777777" w:rsidR="005631A4" w:rsidRPr="005631A4" w:rsidRDefault="005631A4" w:rsidP="005631A4">
            <w:pPr>
              <w:spacing w:after="0" w:line="240" w:lineRule="auto"/>
              <w:jc w:val="center"/>
              <w:rPr>
                <w:noProof/>
              </w:rPr>
            </w:pPr>
            <w:r w:rsidRPr="005631A4">
              <w:rPr>
                <w:noProof/>
                <w:sz w:val="20"/>
                <w:szCs w:val="20"/>
              </w:rPr>
              <w:t>(stan na dzień 31.12.2018 r.)</w:t>
            </w:r>
          </w:p>
        </w:tc>
      </w:tr>
      <w:tr w:rsidR="005631A4" w:rsidRPr="005631A4" w14:paraId="2CF77187" w14:textId="77777777" w:rsidTr="00D7378B">
        <w:trPr>
          <w:trHeight w:val="682"/>
          <w:jc w:val="center"/>
        </w:trPr>
        <w:tc>
          <w:tcPr>
            <w:tcW w:w="5235" w:type="dxa"/>
            <w:tcBorders>
              <w:top w:val="single" w:sz="24" w:space="0" w:color="FFFFFF"/>
              <w:left w:val="single" w:sz="8" w:space="0" w:color="FFFFFF"/>
              <w:bottom w:val="single" w:sz="8" w:space="0" w:color="FFFFFF"/>
              <w:right w:val="single" w:sz="8" w:space="0" w:color="FFFFFF"/>
            </w:tcBorders>
            <w:shd w:val="clear" w:color="auto" w:fill="DEEAF6" w:themeFill="accent1" w:themeFillTint="33"/>
            <w:tcMar>
              <w:top w:w="15" w:type="dxa"/>
              <w:left w:w="108" w:type="dxa"/>
              <w:bottom w:w="0" w:type="dxa"/>
              <w:right w:w="108" w:type="dxa"/>
            </w:tcMar>
            <w:vAlign w:val="center"/>
            <w:hideMark/>
          </w:tcPr>
          <w:p w14:paraId="26B007D5" w14:textId="77777777" w:rsidR="005631A4" w:rsidRPr="005631A4" w:rsidRDefault="005631A4" w:rsidP="00D7378B">
            <w:pPr>
              <w:spacing w:after="0" w:line="240" w:lineRule="auto"/>
              <w:rPr>
                <w:noProof/>
              </w:rPr>
            </w:pPr>
            <w:r w:rsidRPr="005631A4">
              <w:rPr>
                <w:noProof/>
              </w:rPr>
              <w:t>Kompleksowa pielęgniarska opieka nad pacjentem z najczęstszymi schorzeniami wieku podeszłego</w:t>
            </w:r>
          </w:p>
        </w:tc>
        <w:tc>
          <w:tcPr>
            <w:tcW w:w="2835" w:type="dxa"/>
            <w:tcBorders>
              <w:top w:val="single" w:sz="24" w:space="0" w:color="FFFFFF"/>
              <w:left w:val="single" w:sz="8" w:space="0" w:color="FFFFFF"/>
              <w:bottom w:val="single" w:sz="8" w:space="0" w:color="FFFFFF"/>
              <w:right w:val="single" w:sz="8" w:space="0" w:color="FFFFFF"/>
            </w:tcBorders>
            <w:shd w:val="clear" w:color="auto" w:fill="DEEAF6" w:themeFill="accent1" w:themeFillTint="33"/>
            <w:tcMar>
              <w:top w:w="15" w:type="dxa"/>
              <w:left w:w="108" w:type="dxa"/>
              <w:bottom w:w="0" w:type="dxa"/>
              <w:right w:w="108" w:type="dxa"/>
            </w:tcMar>
            <w:vAlign w:val="center"/>
            <w:hideMark/>
          </w:tcPr>
          <w:p w14:paraId="4A29498D" w14:textId="77777777" w:rsidR="005631A4" w:rsidRPr="005631A4" w:rsidRDefault="005631A4" w:rsidP="005631A4">
            <w:pPr>
              <w:spacing w:after="0" w:line="240" w:lineRule="auto"/>
              <w:jc w:val="center"/>
              <w:rPr>
                <w:noProof/>
              </w:rPr>
            </w:pPr>
            <w:r w:rsidRPr="005631A4">
              <w:rPr>
                <w:noProof/>
              </w:rPr>
              <w:t>12 876</w:t>
            </w:r>
          </w:p>
        </w:tc>
      </w:tr>
      <w:tr w:rsidR="005631A4" w:rsidRPr="005631A4" w14:paraId="606A7493" w14:textId="77777777" w:rsidTr="00D7378B">
        <w:trPr>
          <w:trHeight w:val="651"/>
          <w:jc w:val="center"/>
        </w:trPr>
        <w:tc>
          <w:tcPr>
            <w:tcW w:w="5235"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15" w:type="dxa"/>
              <w:left w:w="108" w:type="dxa"/>
              <w:bottom w:w="0" w:type="dxa"/>
              <w:right w:w="108" w:type="dxa"/>
            </w:tcMar>
            <w:vAlign w:val="center"/>
            <w:hideMark/>
          </w:tcPr>
          <w:p w14:paraId="2BCB1093" w14:textId="77777777" w:rsidR="005631A4" w:rsidRPr="005631A4" w:rsidRDefault="005631A4" w:rsidP="00D7378B">
            <w:pPr>
              <w:spacing w:after="0" w:line="240" w:lineRule="auto"/>
              <w:rPr>
                <w:noProof/>
              </w:rPr>
            </w:pPr>
            <w:r w:rsidRPr="005631A4">
              <w:rPr>
                <w:noProof/>
              </w:rPr>
              <w:t>Podstawy opieki paliatywnej / podstawy</w:t>
            </w:r>
            <w:r w:rsidRPr="005631A4">
              <w:rPr>
                <w:noProof/>
              </w:rPr>
              <w:br/>
              <w:t>terapii objawowej w opiece paliatywnej</w:t>
            </w:r>
          </w:p>
        </w:tc>
        <w:tc>
          <w:tcPr>
            <w:tcW w:w="2835"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15" w:type="dxa"/>
              <w:left w:w="108" w:type="dxa"/>
              <w:bottom w:w="0" w:type="dxa"/>
              <w:right w:w="108" w:type="dxa"/>
            </w:tcMar>
            <w:vAlign w:val="center"/>
            <w:hideMark/>
          </w:tcPr>
          <w:p w14:paraId="2847AAA6" w14:textId="77777777" w:rsidR="005631A4" w:rsidRPr="005631A4" w:rsidRDefault="005631A4" w:rsidP="005631A4">
            <w:pPr>
              <w:spacing w:after="0" w:line="240" w:lineRule="auto"/>
              <w:jc w:val="center"/>
              <w:rPr>
                <w:noProof/>
              </w:rPr>
            </w:pPr>
            <w:r w:rsidRPr="005631A4">
              <w:rPr>
                <w:noProof/>
              </w:rPr>
              <w:t>6 808</w:t>
            </w:r>
          </w:p>
        </w:tc>
      </w:tr>
      <w:tr w:rsidR="005631A4" w:rsidRPr="005631A4" w14:paraId="2AA1EBD8" w14:textId="77777777" w:rsidTr="00D7378B">
        <w:trPr>
          <w:trHeight w:val="433"/>
          <w:jc w:val="center"/>
        </w:trPr>
        <w:tc>
          <w:tcPr>
            <w:tcW w:w="5235"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15" w:type="dxa"/>
              <w:left w:w="108" w:type="dxa"/>
              <w:bottom w:w="0" w:type="dxa"/>
              <w:right w:w="108" w:type="dxa"/>
            </w:tcMar>
            <w:vAlign w:val="center"/>
            <w:hideMark/>
          </w:tcPr>
          <w:p w14:paraId="6F07162C" w14:textId="77777777" w:rsidR="005631A4" w:rsidRPr="005631A4" w:rsidRDefault="005631A4" w:rsidP="00D7378B">
            <w:pPr>
              <w:spacing w:after="0" w:line="240" w:lineRule="auto"/>
              <w:rPr>
                <w:noProof/>
              </w:rPr>
            </w:pPr>
            <w:r w:rsidRPr="005631A4">
              <w:rPr>
                <w:noProof/>
              </w:rPr>
              <w:t>Opieka geriatryczna</w:t>
            </w:r>
          </w:p>
        </w:tc>
        <w:tc>
          <w:tcPr>
            <w:tcW w:w="2835"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15" w:type="dxa"/>
              <w:left w:w="108" w:type="dxa"/>
              <w:bottom w:w="0" w:type="dxa"/>
              <w:right w:w="108" w:type="dxa"/>
            </w:tcMar>
            <w:vAlign w:val="center"/>
            <w:hideMark/>
          </w:tcPr>
          <w:p w14:paraId="7DEA8FF7" w14:textId="77777777" w:rsidR="005631A4" w:rsidRPr="005631A4" w:rsidRDefault="005631A4" w:rsidP="005631A4">
            <w:pPr>
              <w:spacing w:after="0" w:line="240" w:lineRule="auto"/>
              <w:jc w:val="center"/>
              <w:rPr>
                <w:noProof/>
              </w:rPr>
            </w:pPr>
            <w:r w:rsidRPr="005631A4">
              <w:rPr>
                <w:noProof/>
              </w:rPr>
              <w:t>4 065</w:t>
            </w:r>
          </w:p>
        </w:tc>
      </w:tr>
      <w:tr w:rsidR="005631A4" w:rsidRPr="005631A4" w14:paraId="7566D225" w14:textId="77777777" w:rsidTr="00D7378B">
        <w:trPr>
          <w:trHeight w:val="621"/>
          <w:jc w:val="center"/>
        </w:trPr>
        <w:tc>
          <w:tcPr>
            <w:tcW w:w="5235"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15" w:type="dxa"/>
              <w:left w:w="108" w:type="dxa"/>
              <w:bottom w:w="0" w:type="dxa"/>
              <w:right w:w="108" w:type="dxa"/>
            </w:tcMar>
            <w:vAlign w:val="center"/>
            <w:hideMark/>
          </w:tcPr>
          <w:p w14:paraId="20E193B7" w14:textId="77777777" w:rsidR="005631A4" w:rsidRPr="005631A4" w:rsidRDefault="005631A4" w:rsidP="00D7378B">
            <w:pPr>
              <w:spacing w:after="0" w:line="240" w:lineRule="auto"/>
              <w:rPr>
                <w:noProof/>
              </w:rPr>
            </w:pPr>
            <w:r w:rsidRPr="005631A4">
              <w:rPr>
                <w:noProof/>
              </w:rPr>
              <w:t>Pielęgnowanie pacjenta dorosłego wentylowanego mechanicznie</w:t>
            </w:r>
          </w:p>
        </w:tc>
        <w:tc>
          <w:tcPr>
            <w:tcW w:w="2835"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15" w:type="dxa"/>
              <w:left w:w="108" w:type="dxa"/>
              <w:bottom w:w="0" w:type="dxa"/>
              <w:right w:w="108" w:type="dxa"/>
            </w:tcMar>
            <w:vAlign w:val="center"/>
            <w:hideMark/>
          </w:tcPr>
          <w:p w14:paraId="08EC8995" w14:textId="77777777" w:rsidR="005631A4" w:rsidRPr="005631A4" w:rsidRDefault="005631A4" w:rsidP="005631A4">
            <w:pPr>
              <w:spacing w:after="0" w:line="240" w:lineRule="auto"/>
              <w:jc w:val="center"/>
              <w:rPr>
                <w:noProof/>
              </w:rPr>
            </w:pPr>
            <w:r w:rsidRPr="005631A4">
              <w:rPr>
                <w:noProof/>
              </w:rPr>
              <w:t>1 594</w:t>
            </w:r>
          </w:p>
        </w:tc>
      </w:tr>
      <w:tr w:rsidR="005631A4" w:rsidRPr="005631A4" w14:paraId="4CD881A2" w14:textId="77777777" w:rsidTr="00D7378B">
        <w:trPr>
          <w:trHeight w:val="421"/>
          <w:jc w:val="center"/>
        </w:trPr>
        <w:tc>
          <w:tcPr>
            <w:tcW w:w="5235"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15" w:type="dxa"/>
              <w:left w:w="108" w:type="dxa"/>
              <w:bottom w:w="0" w:type="dxa"/>
              <w:right w:w="108" w:type="dxa"/>
            </w:tcMar>
            <w:vAlign w:val="center"/>
            <w:hideMark/>
          </w:tcPr>
          <w:p w14:paraId="0498DE6A" w14:textId="77777777" w:rsidR="005631A4" w:rsidRPr="005631A4" w:rsidRDefault="005631A4" w:rsidP="00D7378B">
            <w:pPr>
              <w:spacing w:after="0" w:line="240" w:lineRule="auto"/>
              <w:rPr>
                <w:noProof/>
              </w:rPr>
            </w:pPr>
            <w:r w:rsidRPr="005631A4">
              <w:rPr>
                <w:noProof/>
              </w:rPr>
              <w:t>Terapia bólu przewlekłego u dorosłych</w:t>
            </w:r>
          </w:p>
        </w:tc>
        <w:tc>
          <w:tcPr>
            <w:tcW w:w="2835"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15" w:type="dxa"/>
              <w:left w:w="108" w:type="dxa"/>
              <w:bottom w:w="0" w:type="dxa"/>
              <w:right w:w="108" w:type="dxa"/>
            </w:tcMar>
            <w:vAlign w:val="center"/>
            <w:hideMark/>
          </w:tcPr>
          <w:p w14:paraId="77993D7B" w14:textId="77777777" w:rsidR="005631A4" w:rsidRPr="005631A4" w:rsidRDefault="005631A4" w:rsidP="005631A4">
            <w:pPr>
              <w:spacing w:after="0" w:line="240" w:lineRule="auto"/>
              <w:jc w:val="center"/>
              <w:rPr>
                <w:noProof/>
              </w:rPr>
            </w:pPr>
            <w:r w:rsidRPr="005631A4">
              <w:rPr>
                <w:noProof/>
              </w:rPr>
              <w:t> 4 314</w:t>
            </w:r>
          </w:p>
        </w:tc>
      </w:tr>
      <w:tr w:rsidR="005631A4" w:rsidRPr="005631A4" w14:paraId="6A2E5297" w14:textId="77777777" w:rsidTr="00D7378B">
        <w:trPr>
          <w:trHeight w:val="399"/>
          <w:jc w:val="center"/>
        </w:trPr>
        <w:tc>
          <w:tcPr>
            <w:tcW w:w="5235"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15" w:type="dxa"/>
              <w:left w:w="108" w:type="dxa"/>
              <w:bottom w:w="0" w:type="dxa"/>
              <w:right w:w="108" w:type="dxa"/>
            </w:tcMar>
            <w:vAlign w:val="center"/>
            <w:hideMark/>
          </w:tcPr>
          <w:p w14:paraId="28F1F7B3" w14:textId="77777777" w:rsidR="005631A4" w:rsidRPr="005631A4" w:rsidRDefault="005631A4" w:rsidP="00D7378B">
            <w:pPr>
              <w:spacing w:after="0" w:line="240" w:lineRule="auto"/>
              <w:rPr>
                <w:noProof/>
              </w:rPr>
            </w:pPr>
            <w:r w:rsidRPr="005631A4">
              <w:rPr>
                <w:noProof/>
              </w:rPr>
              <w:t>Terapia bólu ostrego u dorosłych</w:t>
            </w:r>
          </w:p>
        </w:tc>
        <w:tc>
          <w:tcPr>
            <w:tcW w:w="2835"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15" w:type="dxa"/>
              <w:left w:w="108" w:type="dxa"/>
              <w:bottom w:w="0" w:type="dxa"/>
              <w:right w:w="108" w:type="dxa"/>
            </w:tcMar>
            <w:vAlign w:val="center"/>
            <w:hideMark/>
          </w:tcPr>
          <w:p w14:paraId="65B84B51" w14:textId="77777777" w:rsidR="005631A4" w:rsidRPr="005631A4" w:rsidRDefault="005631A4" w:rsidP="005631A4">
            <w:pPr>
              <w:spacing w:after="0" w:line="240" w:lineRule="auto"/>
              <w:jc w:val="center"/>
              <w:rPr>
                <w:noProof/>
              </w:rPr>
            </w:pPr>
            <w:r w:rsidRPr="005631A4">
              <w:rPr>
                <w:noProof/>
              </w:rPr>
              <w:t> 3 545</w:t>
            </w:r>
          </w:p>
        </w:tc>
      </w:tr>
      <w:tr w:rsidR="005631A4" w:rsidRPr="005631A4" w14:paraId="3B0AE55A" w14:textId="77777777" w:rsidTr="00D7378B">
        <w:trPr>
          <w:trHeight w:val="390"/>
          <w:jc w:val="center"/>
        </w:trPr>
        <w:tc>
          <w:tcPr>
            <w:tcW w:w="5235" w:type="dxa"/>
            <w:tcBorders>
              <w:top w:val="single" w:sz="8" w:space="0" w:color="FFFFFF"/>
              <w:left w:val="single" w:sz="8" w:space="0" w:color="FFFFFF"/>
              <w:bottom w:val="single" w:sz="4" w:space="0" w:color="FFFFFF"/>
              <w:right w:val="single" w:sz="8" w:space="0" w:color="FFFFFF"/>
            </w:tcBorders>
            <w:shd w:val="clear" w:color="auto" w:fill="DEEAF6" w:themeFill="accent1" w:themeFillTint="33"/>
            <w:tcMar>
              <w:top w:w="15" w:type="dxa"/>
              <w:left w:w="108" w:type="dxa"/>
              <w:bottom w:w="0" w:type="dxa"/>
              <w:right w:w="108" w:type="dxa"/>
            </w:tcMar>
            <w:vAlign w:val="center"/>
            <w:hideMark/>
          </w:tcPr>
          <w:p w14:paraId="0E2367D7" w14:textId="77777777" w:rsidR="005631A4" w:rsidRPr="005631A4" w:rsidRDefault="005631A4" w:rsidP="00D7378B">
            <w:pPr>
              <w:spacing w:after="0" w:line="240" w:lineRule="auto"/>
              <w:rPr>
                <w:noProof/>
              </w:rPr>
            </w:pPr>
            <w:r w:rsidRPr="005631A4">
              <w:rPr>
                <w:noProof/>
              </w:rPr>
              <w:t>Leczenie ran dla pielęgniarek</w:t>
            </w:r>
          </w:p>
        </w:tc>
        <w:tc>
          <w:tcPr>
            <w:tcW w:w="2835" w:type="dxa"/>
            <w:tcBorders>
              <w:top w:val="single" w:sz="8" w:space="0" w:color="FFFFFF"/>
              <w:left w:val="single" w:sz="8" w:space="0" w:color="FFFFFF"/>
              <w:bottom w:val="single" w:sz="4" w:space="0" w:color="FFFFFF"/>
              <w:right w:val="single" w:sz="8" w:space="0" w:color="FFFFFF"/>
            </w:tcBorders>
            <w:shd w:val="clear" w:color="auto" w:fill="DEEAF6" w:themeFill="accent1" w:themeFillTint="33"/>
            <w:tcMar>
              <w:top w:w="15" w:type="dxa"/>
              <w:left w:w="108" w:type="dxa"/>
              <w:bottom w:w="0" w:type="dxa"/>
              <w:right w:w="108" w:type="dxa"/>
            </w:tcMar>
            <w:vAlign w:val="center"/>
            <w:hideMark/>
          </w:tcPr>
          <w:p w14:paraId="7F5355AE" w14:textId="77777777" w:rsidR="005631A4" w:rsidRPr="005631A4" w:rsidRDefault="005631A4" w:rsidP="005631A4">
            <w:pPr>
              <w:spacing w:after="0" w:line="240" w:lineRule="auto"/>
              <w:jc w:val="center"/>
              <w:rPr>
                <w:noProof/>
              </w:rPr>
            </w:pPr>
            <w:r w:rsidRPr="005631A4">
              <w:rPr>
                <w:noProof/>
              </w:rPr>
              <w:t>28 031</w:t>
            </w:r>
          </w:p>
        </w:tc>
      </w:tr>
      <w:tr w:rsidR="005631A4" w:rsidRPr="005631A4" w14:paraId="3D56ACB2" w14:textId="77777777" w:rsidTr="00D7378B">
        <w:trPr>
          <w:trHeight w:val="463"/>
          <w:jc w:val="center"/>
        </w:trPr>
        <w:tc>
          <w:tcPr>
            <w:tcW w:w="5235" w:type="dxa"/>
            <w:tcBorders>
              <w:top w:val="single" w:sz="4" w:space="0" w:color="FFFFFF"/>
              <w:left w:val="single" w:sz="8" w:space="0" w:color="FFFFFF"/>
              <w:bottom w:val="single" w:sz="8" w:space="0" w:color="FFFFFF"/>
              <w:right w:val="single" w:sz="8" w:space="0" w:color="FFFFFF"/>
            </w:tcBorders>
            <w:shd w:val="clear" w:color="auto" w:fill="9DC3E6"/>
            <w:tcMar>
              <w:top w:w="15" w:type="dxa"/>
              <w:left w:w="15" w:type="dxa"/>
              <w:bottom w:w="0" w:type="dxa"/>
              <w:right w:w="15" w:type="dxa"/>
            </w:tcMar>
            <w:vAlign w:val="center"/>
            <w:hideMark/>
          </w:tcPr>
          <w:p w14:paraId="2C0D9253" w14:textId="77777777" w:rsidR="005631A4" w:rsidRPr="005631A4" w:rsidRDefault="005631A4" w:rsidP="005631A4">
            <w:pPr>
              <w:spacing w:after="0" w:line="240" w:lineRule="auto"/>
              <w:jc w:val="center"/>
              <w:rPr>
                <w:noProof/>
              </w:rPr>
            </w:pPr>
            <w:r w:rsidRPr="005631A4">
              <w:rPr>
                <w:b/>
                <w:bCs/>
                <w:noProof/>
              </w:rPr>
              <w:t xml:space="preserve"> Ogółem</w:t>
            </w:r>
          </w:p>
        </w:tc>
        <w:tc>
          <w:tcPr>
            <w:tcW w:w="2835" w:type="dxa"/>
            <w:tcBorders>
              <w:top w:val="single" w:sz="4" w:space="0" w:color="FFFFFF"/>
              <w:left w:val="single" w:sz="8" w:space="0" w:color="FFFFFF"/>
              <w:bottom w:val="single" w:sz="8" w:space="0" w:color="FFFFFF"/>
              <w:right w:val="single" w:sz="8" w:space="0" w:color="FFFFFF"/>
            </w:tcBorders>
            <w:shd w:val="clear" w:color="auto" w:fill="9DC3E6"/>
            <w:tcMar>
              <w:top w:w="15" w:type="dxa"/>
              <w:left w:w="108" w:type="dxa"/>
              <w:bottom w:w="0" w:type="dxa"/>
              <w:right w:w="108" w:type="dxa"/>
            </w:tcMar>
            <w:vAlign w:val="center"/>
            <w:hideMark/>
          </w:tcPr>
          <w:p w14:paraId="1FB351D2" w14:textId="77777777" w:rsidR="005631A4" w:rsidRPr="00786D0E" w:rsidRDefault="005631A4" w:rsidP="005631A4">
            <w:pPr>
              <w:spacing w:after="0" w:line="240" w:lineRule="auto"/>
              <w:jc w:val="center"/>
              <w:rPr>
                <w:b/>
                <w:noProof/>
              </w:rPr>
            </w:pPr>
            <w:r w:rsidRPr="00786D0E">
              <w:rPr>
                <w:b/>
                <w:noProof/>
              </w:rPr>
              <w:t>61 233</w:t>
            </w:r>
          </w:p>
        </w:tc>
      </w:tr>
    </w:tbl>
    <w:p w14:paraId="412C0679" w14:textId="77777777" w:rsidR="005631A4" w:rsidRPr="005631A4" w:rsidRDefault="005631A4" w:rsidP="005631A4">
      <w:pPr>
        <w:spacing w:after="240"/>
        <w:jc w:val="center"/>
      </w:pPr>
      <w:r w:rsidRPr="005631A4">
        <w:rPr>
          <w:rFonts w:cstheme="minorHAnsi"/>
          <w:sz w:val="16"/>
          <w:szCs w:val="16"/>
        </w:rPr>
        <w:t>Źródło: Opracowanie własne MZ na podstawie danych Centrum Kształcenia Podyplomowego Pielęgniarek i Położnych.</w:t>
      </w:r>
    </w:p>
    <w:p w14:paraId="510139AE" w14:textId="7859CEB5" w:rsidR="005631A4" w:rsidRPr="005631A4" w:rsidRDefault="005631A4" w:rsidP="005631A4">
      <w:pPr>
        <w:spacing w:after="120"/>
        <w:jc w:val="both"/>
      </w:pPr>
      <w:r w:rsidRPr="005631A4">
        <w:t>Ponadto, tendencje wzrostowe w zakresie liczby personelu wykwalifikowanego do udzielania świadczeń opieki długoterminowej i opieki paliatywnej i hospicyjnej zanotowano w ostatnich latach również wśród lekarzy, fizjoterapeutów, psychologów, logopedów, terapeutów zajęciowych i</w:t>
      </w:r>
      <w:r w:rsidR="00553468">
        <w:t> </w:t>
      </w:r>
      <w:r w:rsidRPr="005631A4">
        <w:t>terapeutów uzależnień oraz opiekunów medycznych.</w:t>
      </w:r>
    </w:p>
    <w:p w14:paraId="370EAD5D" w14:textId="77777777" w:rsidR="005631A4" w:rsidRPr="005631A4" w:rsidRDefault="005631A4" w:rsidP="005631A4">
      <w:pPr>
        <w:spacing w:after="120"/>
        <w:jc w:val="both"/>
      </w:pPr>
      <w:r w:rsidRPr="00553468">
        <w:rPr>
          <w:b/>
          <w:bCs/>
        </w:rPr>
        <w:t>Liczba opiekunów medycznych zatrudnionych w placówkach ochrony zdrowia wzrosła ponad dwukrotnie w latach 2014–2018 – z niemal 3,3 tys. osób w 2014 r. do niemal 7,5 tys. osób w 2018 r.</w:t>
      </w:r>
      <w:r w:rsidRPr="005631A4">
        <w:t xml:space="preserve">, </w:t>
      </w:r>
      <w:r w:rsidRPr="005631A4">
        <w:lastRenderedPageBreak/>
        <w:t>w tym w ZOL/ZPO wzrosła z niemal 1,7 tys. osób w 2010 r., przez ponad 3,6 tys. osób w 2014 r. do niemal 5,7 tys. osób w 2018 r.</w:t>
      </w:r>
      <w:r w:rsidRPr="005631A4">
        <w:rPr>
          <w:vertAlign w:val="superscript"/>
        </w:rPr>
        <w:footnoteReference w:id="73"/>
      </w:r>
    </w:p>
    <w:p w14:paraId="491DAADE" w14:textId="6AA42D93" w:rsidR="005631A4" w:rsidRPr="005631A4" w:rsidRDefault="005631A4" w:rsidP="005631A4">
      <w:pPr>
        <w:spacing w:after="120"/>
        <w:jc w:val="both"/>
      </w:pPr>
      <w:r w:rsidRPr="005631A4">
        <w:t>Powyższe tendencje wskazują na postępujące dostosowywanie się systemu opieki długoterminowej w</w:t>
      </w:r>
      <w:r w:rsidR="00553468">
        <w:t> </w:t>
      </w:r>
      <w:r w:rsidRPr="005631A4">
        <w:t xml:space="preserve">Polsce do rosnącej liczby osób starszych </w:t>
      </w:r>
      <w:r w:rsidR="00386A4A">
        <w:t>wymagających wsparcia w codziennym funkcjonowaniu</w:t>
      </w:r>
      <w:r w:rsidRPr="005631A4">
        <w:t xml:space="preserve"> oraz do zwiększających się potrzeb z zakresu opieki zdrowotnej i pomocy społecznej wśród tej grupy osób. Mimo obserwowanego w ostatnich latach stałego wzrostu liczby personelu udzielającego świadczeń opieki długoterminowej oraz opieki paliatywnej i hospicyjnej, pogłębianie się procesu starzenia się polskiego społeczeństwa skutkuje niesatysfakcjonującą liczbą personelu medycznego udzielającego tychże świadczeń – średnio proporcja liczby pracowników do liczby osób przebywających w tych placówkach pozostaje jedną z najniższych w całej Unii Europejskiej.</w:t>
      </w:r>
    </w:p>
    <w:p w14:paraId="1230D793" w14:textId="77777777" w:rsidR="005631A4" w:rsidRPr="005631A4" w:rsidRDefault="005631A4" w:rsidP="005631A4">
      <w:pPr>
        <w:spacing w:after="120"/>
        <w:jc w:val="both"/>
      </w:pPr>
      <w:r w:rsidRPr="005631A4">
        <w:t>Z tego względu niezbędne są kierunkowe działania mające na celu zarówno utrzymanie na rynku liczebności poszczególnych zawodów medycznych uczestniczących w zaspokojeniu potrzeb opiekuńczych i leczniczych, jak również podejmowanie działań na rzecz rozwoju zawodów wspierających ten personel.</w:t>
      </w:r>
    </w:p>
    <w:p w14:paraId="76CADC78" w14:textId="29F72F4A" w:rsidR="005631A4" w:rsidRPr="005631A4" w:rsidRDefault="005631A4" w:rsidP="005631A4">
      <w:pPr>
        <w:spacing w:after="120"/>
        <w:jc w:val="both"/>
      </w:pPr>
      <w:r w:rsidRPr="00553468">
        <w:rPr>
          <w:b/>
          <w:bCs/>
        </w:rPr>
        <w:t>W ramach zakresu świadczeń pielęgniarskich w opiece długoterminowej oraz opiece paliatywnej i</w:t>
      </w:r>
      <w:r w:rsidR="00553468" w:rsidRPr="00553468">
        <w:rPr>
          <w:b/>
          <w:bCs/>
        </w:rPr>
        <w:t> </w:t>
      </w:r>
      <w:r w:rsidRPr="00553468">
        <w:rPr>
          <w:b/>
          <w:bCs/>
        </w:rPr>
        <w:t xml:space="preserve">hospicyjnej można wydzielić proste czynności pielęgnacyjne, opiekuńcze i profilaktyczne, które pokrywają się w dużej mierze z zakresem zadań przewidzianych dla opiekunów medycznych. </w:t>
      </w:r>
      <w:r w:rsidRPr="005631A4">
        <w:t xml:space="preserve">Niemniej jednak specyfika pracy z pacjentem chorym nieuleczalnie w terminalnej fazie choroby, pacjentem starszym </w:t>
      </w:r>
      <w:r w:rsidR="00386A4A">
        <w:t>wymagającym wsparcia w codziennym funkcjonowaniu</w:t>
      </w:r>
      <w:r w:rsidRPr="005631A4">
        <w:t xml:space="preserve"> ze względu na swój stan zdrowia (w tym również z zaburzeniami otępiennymi, które stanowią specyficzną i ciągle rosnącą grupę starszych pacjentów wymagających wsparcia i opieki we własnym, znanym sobie otoczeniu) wymaga od opiekuna medycznego specyficznej wiedzy i umiejętności, których aktualny program kształcenia nie obejmuje w wyczerpującym stopniu.</w:t>
      </w:r>
    </w:p>
    <w:p w14:paraId="5F78DF07" w14:textId="1FC409D2" w:rsidR="005631A4" w:rsidRDefault="005631A4" w:rsidP="005631A4">
      <w:pPr>
        <w:spacing w:after="120"/>
        <w:jc w:val="both"/>
      </w:pPr>
      <w:r w:rsidRPr="00AD349D">
        <w:t>Pomimo uruchomionego na terytorium całego kraju systemu kształcenia opiekunów medycznych, jak i rosnącej liczby osób nabywających kwalifikacje w tym zawodzie, brak przeszkolenia w zakresie opieki nad ww. grupami pacjentów stanowi istotne ograniczenie w wykorzystaniu potencjału kadrowego tej grupy zawodowej.</w:t>
      </w:r>
    </w:p>
    <w:p w14:paraId="469C646F" w14:textId="3744DF31" w:rsidR="00EC3CD6" w:rsidRPr="005631A4" w:rsidRDefault="00EC3CD6" w:rsidP="00EC3CD6">
      <w:pPr>
        <w:spacing w:after="120"/>
        <w:jc w:val="both"/>
        <w:rPr>
          <w:bCs/>
        </w:rPr>
      </w:pPr>
      <w:r w:rsidRPr="005631A4">
        <w:rPr>
          <w:bCs/>
        </w:rPr>
        <w:t>Zgodnie z rozporządzeniem Ministra Edukacji Narodowej</w:t>
      </w:r>
      <w:r w:rsidRPr="005631A4">
        <w:rPr>
          <w:bCs/>
          <w:i/>
        </w:rPr>
        <w:t xml:space="preserve"> w sprawie klasyfikacji zawodów szkolnictwa zawodowego</w:t>
      </w:r>
      <w:r w:rsidRPr="005631A4">
        <w:rPr>
          <w:bCs/>
          <w:i/>
          <w:vertAlign w:val="superscript"/>
        </w:rPr>
        <w:footnoteReference w:id="74"/>
      </w:r>
      <w:r w:rsidRPr="005631A4">
        <w:rPr>
          <w:bCs/>
        </w:rPr>
        <w:t xml:space="preserve"> kształcenie w zawodzie opiekun medyczny realizowane jest na poziomie średnim – w</w:t>
      </w:r>
      <w:r w:rsidR="00553468">
        <w:rPr>
          <w:bCs/>
        </w:rPr>
        <w:t> </w:t>
      </w:r>
      <w:r w:rsidRPr="005631A4">
        <w:rPr>
          <w:bCs/>
        </w:rPr>
        <w:t>rocznym cyklu kształcenia w szkołach policealnych publicznych lub szkołach niepublicznych o</w:t>
      </w:r>
      <w:r w:rsidR="00553468">
        <w:rPr>
          <w:bCs/>
        </w:rPr>
        <w:t> </w:t>
      </w:r>
      <w:r w:rsidRPr="005631A4">
        <w:rPr>
          <w:bCs/>
        </w:rPr>
        <w:t>uprawnieniach szkoły publicznej oraz na kwalifikacyjnych kursach zawodowych.</w:t>
      </w:r>
    </w:p>
    <w:p w14:paraId="78C5C96B" w14:textId="10B93AC5" w:rsidR="00EC3CD6" w:rsidRDefault="00EC3CD6" w:rsidP="00EC3CD6">
      <w:pPr>
        <w:spacing w:after="120"/>
        <w:jc w:val="both"/>
      </w:pPr>
      <w:r w:rsidRPr="005631A4">
        <w:rPr>
          <w:bCs/>
        </w:rPr>
        <w:t xml:space="preserve">Osoby wykonujące zawód opiekuna medycznego realizują </w:t>
      </w:r>
      <w:r w:rsidRPr="005631A4">
        <w:t>go w oparciu o wiedzę i umiejętności nabyte w toku kształcenia. Aktualnie obowiązujące przepisy nie zawierają jednak regulacji dotyczących doskonalenia zawodowego i rozwoju kompetencji opiekunów medycznych. W przypadku chęci pogłębienia swoich umiejętności, opiekunowie medyczni są zmuszeni sfinansować dalszą edukację z</w:t>
      </w:r>
      <w:r w:rsidR="00553468">
        <w:t> </w:t>
      </w:r>
      <w:r w:rsidRPr="005631A4">
        <w:t xml:space="preserve">własnych środków. </w:t>
      </w:r>
    </w:p>
    <w:p w14:paraId="42C1D9E4" w14:textId="60F59898" w:rsidR="0098409B" w:rsidRPr="0098409B" w:rsidRDefault="0098409B" w:rsidP="0098409B">
      <w:pPr>
        <w:spacing w:after="120"/>
        <w:jc w:val="both"/>
        <w:rPr>
          <w:b/>
        </w:rPr>
      </w:pPr>
      <w:bookmarkStart w:id="18" w:name="_Hlk47476432"/>
      <w:r w:rsidRPr="002D2B72">
        <w:rPr>
          <w:b/>
        </w:rPr>
        <w:t>S</w:t>
      </w:r>
      <w:r w:rsidRPr="0098409B">
        <w:rPr>
          <w:b/>
        </w:rPr>
        <w:t xml:space="preserve">ukcesywne zwiększanie się liczby opiekunów medycznych </w:t>
      </w:r>
      <w:r w:rsidR="004D5C81" w:rsidRPr="002D2B72">
        <w:rPr>
          <w:b/>
        </w:rPr>
        <w:t>daje możliwość wykorzystania ich potencjału – po odpowiednim przeszkoleniu – w realizacji świadczeń opiece długoterminowej</w:t>
      </w:r>
      <w:r w:rsidR="00EC3CD6">
        <w:rPr>
          <w:b/>
        </w:rPr>
        <w:t xml:space="preserve"> domowej</w:t>
      </w:r>
      <w:r w:rsidR="004D5C81" w:rsidRPr="002D2B72">
        <w:rPr>
          <w:b/>
        </w:rPr>
        <w:t xml:space="preserve">. Podniesienie kompetencji </w:t>
      </w:r>
      <w:r w:rsidR="00EC3CD6" w:rsidRPr="002D2B72">
        <w:rPr>
          <w:b/>
        </w:rPr>
        <w:t xml:space="preserve">niemal połowy z </w:t>
      </w:r>
      <w:r w:rsidR="00EC3CD6">
        <w:rPr>
          <w:b/>
        </w:rPr>
        <w:t xml:space="preserve">ogółu </w:t>
      </w:r>
      <w:r w:rsidR="00EC3CD6" w:rsidRPr="002D2B72">
        <w:rPr>
          <w:b/>
        </w:rPr>
        <w:t>(3 000 z 7 500 osób)</w:t>
      </w:r>
      <w:r w:rsidR="00EC3CD6">
        <w:rPr>
          <w:b/>
        </w:rPr>
        <w:t xml:space="preserve"> przedstawicieli tej grupy zawodowej, </w:t>
      </w:r>
      <w:r w:rsidR="00EC3CD6" w:rsidRPr="00EC3CD6">
        <w:rPr>
          <w:b/>
        </w:rPr>
        <w:t>zatrudnionych w placówkach ochrony zdrowia</w:t>
      </w:r>
      <w:r w:rsidR="00EC3CD6">
        <w:rPr>
          <w:b/>
        </w:rPr>
        <w:t>,</w:t>
      </w:r>
      <w:r w:rsidR="00EC3CD6" w:rsidRPr="002D2B72">
        <w:rPr>
          <w:b/>
        </w:rPr>
        <w:t xml:space="preserve"> </w:t>
      </w:r>
      <w:r w:rsidR="002D2B72" w:rsidRPr="002D2B72">
        <w:rPr>
          <w:b/>
        </w:rPr>
        <w:t xml:space="preserve">z zakresu opieki nad pacjentami wymagającymi świadczeń pielęgnacyjnych i opiekuńczych, </w:t>
      </w:r>
      <w:r w:rsidR="00952C8A">
        <w:rPr>
          <w:b/>
        </w:rPr>
        <w:t xml:space="preserve">potencjalnie </w:t>
      </w:r>
      <w:r w:rsidR="004D5C81" w:rsidRPr="002D2B72">
        <w:rPr>
          <w:b/>
        </w:rPr>
        <w:t xml:space="preserve">stanowić </w:t>
      </w:r>
      <w:r w:rsidR="00952C8A">
        <w:rPr>
          <w:b/>
        </w:rPr>
        <w:t xml:space="preserve">może </w:t>
      </w:r>
      <w:r w:rsidR="004D5C81" w:rsidRPr="002D2B72">
        <w:rPr>
          <w:b/>
        </w:rPr>
        <w:t>istotn</w:t>
      </w:r>
      <w:r w:rsidR="002D2B72" w:rsidRPr="002D2B72">
        <w:rPr>
          <w:b/>
        </w:rPr>
        <w:t xml:space="preserve">e wsparcie dla </w:t>
      </w:r>
      <w:r w:rsidR="00952C8A">
        <w:rPr>
          <w:b/>
        </w:rPr>
        <w:t>personel</w:t>
      </w:r>
      <w:r w:rsidR="00EC3CD6">
        <w:rPr>
          <w:b/>
        </w:rPr>
        <w:t>u</w:t>
      </w:r>
      <w:r w:rsidR="00952C8A">
        <w:rPr>
          <w:b/>
        </w:rPr>
        <w:t xml:space="preserve"> pielęgniarski</w:t>
      </w:r>
      <w:r w:rsidR="00EC3CD6">
        <w:rPr>
          <w:b/>
        </w:rPr>
        <w:t>ego</w:t>
      </w:r>
      <w:r w:rsidR="00952C8A">
        <w:rPr>
          <w:b/>
        </w:rPr>
        <w:t xml:space="preserve"> </w:t>
      </w:r>
      <w:r w:rsidR="00EC3CD6">
        <w:rPr>
          <w:b/>
        </w:rPr>
        <w:t>udzielającego świadczeń w tym zakresie</w:t>
      </w:r>
      <w:r w:rsidR="002D2B72" w:rsidRPr="002D2B72">
        <w:rPr>
          <w:b/>
        </w:rPr>
        <w:t>.</w:t>
      </w:r>
    </w:p>
    <w:bookmarkEnd w:id="18"/>
    <w:p w14:paraId="20714EA5" w14:textId="77777777" w:rsidR="005631A4" w:rsidRPr="005631A4" w:rsidRDefault="005631A4" w:rsidP="005631A4">
      <w:pPr>
        <w:keepNext/>
        <w:keepLines/>
        <w:spacing w:before="240" w:after="120"/>
        <w:jc w:val="both"/>
        <w:outlineLvl w:val="4"/>
        <w:rPr>
          <w:rFonts w:asciiTheme="majorHAnsi" w:eastAsiaTheme="majorEastAsia" w:hAnsiTheme="majorHAnsi" w:cstheme="majorBidi"/>
          <w:i/>
          <w:color w:val="2E74B5" w:themeColor="accent1" w:themeShade="BF"/>
          <w:sz w:val="23"/>
        </w:rPr>
      </w:pPr>
      <w:r w:rsidRPr="005631A4">
        <w:rPr>
          <w:rFonts w:asciiTheme="majorHAnsi" w:eastAsiaTheme="majorEastAsia" w:hAnsiTheme="majorHAnsi" w:cstheme="majorBidi"/>
          <w:i/>
          <w:color w:val="2E74B5" w:themeColor="accent1" w:themeShade="BF"/>
          <w:sz w:val="23"/>
        </w:rPr>
        <w:lastRenderedPageBreak/>
        <w:t>Rezultat 1</w:t>
      </w:r>
    </w:p>
    <w:p w14:paraId="35E2D27B" w14:textId="103B1FCB" w:rsidR="005631A4" w:rsidRPr="005631A4" w:rsidRDefault="005631A4" w:rsidP="005631A4">
      <w:pPr>
        <w:keepNext/>
        <w:keepLines/>
        <w:shd w:val="clear" w:color="auto" w:fill="BDD6EE" w:themeFill="accent1" w:themeFillTint="66"/>
        <w:spacing w:before="180" w:after="120"/>
        <w:ind w:left="284"/>
        <w:jc w:val="both"/>
        <w:outlineLvl w:val="5"/>
        <w:rPr>
          <w:rFonts w:eastAsiaTheme="majorEastAsia" w:cstheme="majorBidi"/>
          <w:b/>
        </w:rPr>
      </w:pPr>
      <w:r w:rsidRPr="005631A4">
        <w:rPr>
          <w:rFonts w:eastAsiaTheme="majorEastAsia" w:cstheme="majorBidi"/>
          <w:b/>
        </w:rPr>
        <w:t xml:space="preserve">Podniesienie kompetencji minimum </w:t>
      </w:r>
      <w:r w:rsidR="006E2F02">
        <w:rPr>
          <w:rFonts w:eastAsiaTheme="majorEastAsia" w:cstheme="majorBidi"/>
          <w:b/>
        </w:rPr>
        <w:t>3</w:t>
      </w:r>
      <w:r w:rsidRPr="005631A4">
        <w:rPr>
          <w:rFonts w:eastAsiaTheme="majorEastAsia" w:cstheme="majorBidi"/>
          <w:b/>
        </w:rPr>
        <w:t> </w:t>
      </w:r>
      <w:r w:rsidR="006E2F02">
        <w:rPr>
          <w:rFonts w:eastAsiaTheme="majorEastAsia" w:cstheme="majorBidi"/>
          <w:b/>
        </w:rPr>
        <w:t>0</w:t>
      </w:r>
      <w:r w:rsidRPr="005631A4">
        <w:rPr>
          <w:rFonts w:eastAsiaTheme="majorEastAsia" w:cstheme="majorBidi"/>
          <w:b/>
        </w:rPr>
        <w:t xml:space="preserve">00 opiekunów medycznych w zakresie opieki nad osobami starszymi </w:t>
      </w:r>
      <w:r w:rsidR="00386A4A" w:rsidRPr="00386A4A">
        <w:rPr>
          <w:b/>
        </w:rPr>
        <w:t>wymagającymi wsparcia w codziennym funkcjonowaniu</w:t>
      </w:r>
      <w:r w:rsidR="00386A4A">
        <w:rPr>
          <w:b/>
        </w:rPr>
        <w:t xml:space="preserve"> </w:t>
      </w:r>
      <w:r w:rsidRPr="005631A4">
        <w:rPr>
          <w:rFonts w:eastAsiaTheme="majorEastAsia" w:cstheme="majorBidi"/>
          <w:b/>
        </w:rPr>
        <w:t>– do końca 2030 r.</w:t>
      </w:r>
    </w:p>
    <w:p w14:paraId="59B1778C" w14:textId="77777777" w:rsidR="005631A4" w:rsidRPr="005631A4" w:rsidRDefault="005631A4" w:rsidP="005631A4">
      <w:pPr>
        <w:keepNext/>
        <w:keepLines/>
        <w:spacing w:before="240" w:after="120"/>
        <w:jc w:val="both"/>
        <w:outlineLvl w:val="4"/>
        <w:rPr>
          <w:rFonts w:asciiTheme="majorHAnsi" w:eastAsiaTheme="majorEastAsia" w:hAnsiTheme="majorHAnsi" w:cstheme="majorBidi"/>
          <w:i/>
          <w:color w:val="2E74B5" w:themeColor="accent1" w:themeShade="BF"/>
          <w:sz w:val="23"/>
        </w:rPr>
      </w:pPr>
      <w:r w:rsidRPr="005631A4">
        <w:rPr>
          <w:rFonts w:asciiTheme="majorHAnsi" w:eastAsiaTheme="majorEastAsia" w:hAnsiTheme="majorHAnsi" w:cstheme="majorBidi"/>
          <w:i/>
          <w:color w:val="2E74B5" w:themeColor="accent1" w:themeShade="BF"/>
          <w:sz w:val="23"/>
        </w:rPr>
        <w:t>Działania</w:t>
      </w:r>
    </w:p>
    <w:p w14:paraId="08441EEA" w14:textId="35593915" w:rsidR="005631A4" w:rsidRPr="005631A4" w:rsidRDefault="005631A4" w:rsidP="00386A4A">
      <w:pPr>
        <w:keepNext/>
        <w:keepLines/>
        <w:numPr>
          <w:ilvl w:val="0"/>
          <w:numId w:val="29"/>
        </w:numPr>
        <w:shd w:val="clear" w:color="auto" w:fill="DEEAF6" w:themeFill="accent1" w:themeFillTint="33"/>
        <w:spacing w:before="180" w:after="120"/>
        <w:jc w:val="both"/>
        <w:outlineLvl w:val="5"/>
        <w:rPr>
          <w:rFonts w:eastAsiaTheme="majorEastAsia" w:cstheme="majorBidi"/>
          <w:b/>
        </w:rPr>
      </w:pPr>
      <w:r w:rsidRPr="005631A4">
        <w:rPr>
          <w:rFonts w:eastAsiaTheme="majorEastAsia" w:cstheme="majorBidi"/>
          <w:b/>
        </w:rPr>
        <w:t xml:space="preserve">Opracowanie programu szkolenia specjalizacyjnego opiekunów medycznych w zakresie opieki nad osobami starszymi </w:t>
      </w:r>
      <w:r w:rsidR="00386A4A" w:rsidRPr="00386A4A">
        <w:rPr>
          <w:rFonts w:eastAsiaTheme="majorEastAsia" w:cstheme="majorBidi"/>
          <w:b/>
        </w:rPr>
        <w:t>wymagający</w:t>
      </w:r>
      <w:r w:rsidR="00386A4A">
        <w:rPr>
          <w:rFonts w:eastAsiaTheme="majorEastAsia" w:cstheme="majorBidi"/>
          <w:b/>
        </w:rPr>
        <w:t>mi</w:t>
      </w:r>
      <w:r w:rsidR="00386A4A" w:rsidRPr="00386A4A">
        <w:rPr>
          <w:rFonts w:eastAsiaTheme="majorEastAsia" w:cstheme="majorBidi"/>
          <w:b/>
        </w:rPr>
        <w:t xml:space="preserve"> wspar</w:t>
      </w:r>
      <w:r w:rsidR="00386A4A">
        <w:rPr>
          <w:rFonts w:eastAsiaTheme="majorEastAsia" w:cstheme="majorBidi"/>
          <w:b/>
        </w:rPr>
        <w:t xml:space="preserve">cia w codziennym funkcjonowaniu </w:t>
      </w:r>
      <w:r w:rsidR="00337A0F">
        <w:rPr>
          <w:rFonts w:eastAsiaTheme="majorEastAsia" w:cstheme="majorBidi"/>
          <w:b/>
        </w:rPr>
        <w:t>– do końca 2021</w:t>
      </w:r>
      <w:r w:rsidRPr="005631A4">
        <w:rPr>
          <w:rFonts w:eastAsiaTheme="majorEastAsia" w:cstheme="majorBidi"/>
          <w:b/>
        </w:rPr>
        <w:t xml:space="preserve"> r.</w:t>
      </w:r>
    </w:p>
    <w:p w14:paraId="38629D72" w14:textId="64DC7983" w:rsidR="005631A4" w:rsidRPr="005631A4" w:rsidRDefault="005631A4" w:rsidP="005631A4">
      <w:pPr>
        <w:suppressAutoHyphens/>
        <w:autoSpaceDN w:val="0"/>
        <w:spacing w:after="120"/>
        <w:ind w:left="567"/>
        <w:jc w:val="both"/>
        <w:textAlignment w:val="baseline"/>
        <w:rPr>
          <w:rFonts w:ascii="Calibri" w:eastAsia="Calibri" w:hAnsi="Calibri" w:cs="F"/>
        </w:rPr>
      </w:pPr>
      <w:r w:rsidRPr="005631A4">
        <w:rPr>
          <w:rFonts w:ascii="Calibri" w:eastAsia="Calibri" w:hAnsi="Calibri" w:cs="F"/>
        </w:rPr>
        <w:t xml:space="preserve">Opracowanie przez grono ekspertów programu szkolenia specjalizacyjnego w zakresie opieki nad osobami starszymi </w:t>
      </w:r>
      <w:r w:rsidR="00386A4A">
        <w:t>wymagającymi wsparcia w codziennym funkcjonowaniu</w:t>
      </w:r>
      <w:r w:rsidRPr="005631A4">
        <w:rPr>
          <w:rFonts w:ascii="Calibri" w:eastAsia="Calibri" w:hAnsi="Calibri" w:cs="F"/>
        </w:rPr>
        <w:t>, na potrzeby opieki długoterminowej, opieki paliatywno-hospicyjnej i opieki nad osobami z zaburzeniami otępiennymi, będzie stanowiło podstawę dla przeszkolenia opiekunów medycznych w</w:t>
      </w:r>
      <w:r w:rsidR="00553468">
        <w:rPr>
          <w:rFonts w:ascii="Calibri" w:eastAsia="Calibri" w:hAnsi="Calibri" w:cs="F"/>
        </w:rPr>
        <w:t> </w:t>
      </w:r>
      <w:r w:rsidRPr="005631A4">
        <w:rPr>
          <w:rFonts w:ascii="Calibri" w:eastAsia="Calibri" w:hAnsi="Calibri" w:cs="F"/>
        </w:rPr>
        <w:t>przedmiotowym zakresie.</w:t>
      </w:r>
    </w:p>
    <w:p w14:paraId="3A3EFF39" w14:textId="07A1665C" w:rsidR="005631A4" w:rsidRPr="005631A4" w:rsidRDefault="005631A4" w:rsidP="005631A4">
      <w:pPr>
        <w:suppressAutoHyphens/>
        <w:autoSpaceDN w:val="0"/>
        <w:spacing w:after="120"/>
        <w:ind w:left="567"/>
        <w:jc w:val="both"/>
        <w:textAlignment w:val="baseline"/>
        <w:rPr>
          <w:rFonts w:ascii="Calibri" w:eastAsia="Calibri" w:hAnsi="Calibri" w:cs="F"/>
        </w:rPr>
      </w:pPr>
      <w:r w:rsidRPr="005631A4">
        <w:rPr>
          <w:rFonts w:ascii="Calibri" w:eastAsia="Calibri" w:hAnsi="Calibri" w:cs="F"/>
        </w:rPr>
        <w:t>Obszarami, które powinny zostać uwzględnione przy tworzeniu programu kursu doskonalącego dla tej grupy zawodowej powinny być m.in. postępowanie opiekuńcze wobec pacjentów z</w:t>
      </w:r>
      <w:r w:rsidR="00553468">
        <w:rPr>
          <w:rFonts w:ascii="Calibri" w:eastAsia="Calibri" w:hAnsi="Calibri" w:cs="F"/>
        </w:rPr>
        <w:t> </w:t>
      </w:r>
      <w:r w:rsidRPr="005631A4">
        <w:rPr>
          <w:rFonts w:ascii="Calibri" w:eastAsia="Calibri" w:hAnsi="Calibri" w:cs="F"/>
        </w:rPr>
        <w:t>chorobą Alzheimera i innymi chorobami otępiennymi oraz pacjentów diabetologicznych, opieka paliatywna, opieka geriatryczna oraz ratownictwo i kwalifikowana pierwsza pomoc.</w:t>
      </w:r>
    </w:p>
    <w:p w14:paraId="1DD1FB43" w14:textId="5F556B2A" w:rsidR="005631A4" w:rsidRPr="005631A4" w:rsidRDefault="005631A4" w:rsidP="005631A4">
      <w:pPr>
        <w:keepNext/>
        <w:keepLines/>
        <w:numPr>
          <w:ilvl w:val="0"/>
          <w:numId w:val="29"/>
        </w:numPr>
        <w:shd w:val="clear" w:color="auto" w:fill="DEEAF6" w:themeFill="accent1" w:themeFillTint="33"/>
        <w:spacing w:before="180" w:after="120"/>
        <w:ind w:left="567" w:hanging="283"/>
        <w:jc w:val="both"/>
        <w:outlineLvl w:val="5"/>
        <w:rPr>
          <w:rFonts w:eastAsiaTheme="majorEastAsia" w:cstheme="majorBidi"/>
          <w:b/>
        </w:rPr>
      </w:pPr>
      <w:r w:rsidRPr="005631A4">
        <w:rPr>
          <w:rFonts w:eastAsiaTheme="majorEastAsia" w:cstheme="majorBidi"/>
          <w:b/>
        </w:rPr>
        <w:t>Realizacja szkolenia specjalizacyjnego dla opiekunów medycznych na potrzeby opieki długoterminowej, opieki paliatywno-hospicyjnej i opieki nad osobami z zaburzeniami otępiennymi – do końca 20</w:t>
      </w:r>
      <w:r w:rsidR="0063005E">
        <w:rPr>
          <w:rFonts w:eastAsiaTheme="majorEastAsia" w:cstheme="majorBidi"/>
          <w:b/>
        </w:rPr>
        <w:t>29</w:t>
      </w:r>
      <w:r w:rsidRPr="005631A4">
        <w:rPr>
          <w:rFonts w:eastAsiaTheme="majorEastAsia" w:cstheme="majorBidi"/>
          <w:b/>
        </w:rPr>
        <w:t xml:space="preserve"> r.</w:t>
      </w:r>
    </w:p>
    <w:p w14:paraId="1BA0ECBE" w14:textId="204381FD" w:rsidR="005631A4" w:rsidRPr="005631A4" w:rsidRDefault="005631A4" w:rsidP="005631A4">
      <w:pPr>
        <w:spacing w:after="360"/>
        <w:ind w:left="567"/>
        <w:jc w:val="both"/>
      </w:pPr>
      <w:r w:rsidRPr="005631A4">
        <w:t>W celu zwiększenia liczby personelu przygotowanego do zapewnienia specjalistycznej opieki nad pacjentami w ramach opieki długoterminowej, opieki paliatywno-hospicyjnej i pacjentami z</w:t>
      </w:r>
      <w:r w:rsidR="00553468">
        <w:t> </w:t>
      </w:r>
      <w:r w:rsidRPr="005631A4">
        <w:t>zaburzeniami otępiennymi planuje się podniesienie kwalifikacji opiekunów medycznych poprzez przeprowadzenie kursów doskonalących z zakresu udzielania świadczeń opieki zdrowotnej tym grupom pacjentów.</w:t>
      </w:r>
    </w:p>
    <w:tbl>
      <w:tblPr>
        <w:tblStyle w:val="Tabela-Siatka"/>
        <w:tblW w:w="9634"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444"/>
        <w:gridCol w:w="1006"/>
        <w:gridCol w:w="663"/>
        <w:gridCol w:w="663"/>
        <w:gridCol w:w="663"/>
        <w:gridCol w:w="663"/>
        <w:gridCol w:w="663"/>
        <w:gridCol w:w="663"/>
        <w:gridCol w:w="663"/>
        <w:gridCol w:w="663"/>
        <w:gridCol w:w="663"/>
        <w:gridCol w:w="650"/>
        <w:gridCol w:w="567"/>
      </w:tblGrid>
      <w:tr w:rsidR="005631A4" w:rsidRPr="005631A4" w14:paraId="2CAD6015" w14:textId="77777777" w:rsidTr="00897E23">
        <w:trPr>
          <w:jc w:val="center"/>
        </w:trPr>
        <w:tc>
          <w:tcPr>
            <w:tcW w:w="9634" w:type="dxa"/>
            <w:gridSpan w:val="13"/>
            <w:shd w:val="clear" w:color="auto" w:fill="65A2D9"/>
            <w:vAlign w:val="center"/>
          </w:tcPr>
          <w:p w14:paraId="07A6FFBB" w14:textId="77777777" w:rsidR="005631A4" w:rsidRPr="005631A4" w:rsidRDefault="005631A4" w:rsidP="005631A4">
            <w:pPr>
              <w:spacing w:before="60" w:after="60"/>
              <w:jc w:val="both"/>
              <w:rPr>
                <w:b/>
                <w:bCs/>
              </w:rPr>
            </w:pPr>
            <w:r w:rsidRPr="005631A4">
              <w:rPr>
                <w:b/>
                <w:bCs/>
                <w:sz w:val="24"/>
                <w:szCs w:val="24"/>
              </w:rPr>
              <w:t>REZULTAT 1</w:t>
            </w:r>
          </w:p>
        </w:tc>
      </w:tr>
      <w:tr w:rsidR="005631A4" w:rsidRPr="005631A4" w14:paraId="1FEE1AF3" w14:textId="77777777" w:rsidTr="00897E23">
        <w:trPr>
          <w:jc w:val="center"/>
        </w:trPr>
        <w:tc>
          <w:tcPr>
            <w:tcW w:w="1444" w:type="dxa"/>
            <w:vMerge w:val="restart"/>
            <w:shd w:val="clear" w:color="auto" w:fill="9CC2E5" w:themeFill="accent1" w:themeFillTint="99"/>
            <w:vAlign w:val="center"/>
          </w:tcPr>
          <w:p w14:paraId="124BD37C" w14:textId="77777777" w:rsidR="005631A4" w:rsidRPr="005631A4" w:rsidRDefault="005631A4" w:rsidP="00CE3D48">
            <w:pPr>
              <w:spacing w:before="60" w:after="60"/>
              <w:jc w:val="center"/>
              <w:rPr>
                <w:b/>
                <w:bCs/>
              </w:rPr>
            </w:pPr>
            <w:r w:rsidRPr="005631A4">
              <w:rPr>
                <w:b/>
                <w:bCs/>
              </w:rPr>
              <w:t>Termin realizacji działań</w:t>
            </w:r>
          </w:p>
        </w:tc>
        <w:tc>
          <w:tcPr>
            <w:tcW w:w="1006" w:type="dxa"/>
            <w:shd w:val="clear" w:color="auto" w:fill="9CC2E5" w:themeFill="accent1" w:themeFillTint="99"/>
            <w:vAlign w:val="center"/>
          </w:tcPr>
          <w:p w14:paraId="01FCE4F6" w14:textId="77777777" w:rsidR="005631A4" w:rsidRPr="005631A4" w:rsidRDefault="005631A4" w:rsidP="005631A4">
            <w:pPr>
              <w:spacing w:before="60" w:after="60"/>
              <w:jc w:val="center"/>
            </w:pPr>
            <w:r w:rsidRPr="005631A4">
              <w:t>Nr działania</w:t>
            </w:r>
          </w:p>
        </w:tc>
        <w:tc>
          <w:tcPr>
            <w:tcW w:w="663" w:type="dxa"/>
            <w:shd w:val="clear" w:color="auto" w:fill="9CC2E5" w:themeFill="accent1" w:themeFillTint="99"/>
            <w:vAlign w:val="center"/>
          </w:tcPr>
          <w:p w14:paraId="5DE86B96" w14:textId="77777777" w:rsidR="005631A4" w:rsidRPr="005631A4" w:rsidRDefault="005631A4" w:rsidP="005631A4">
            <w:pPr>
              <w:spacing w:before="60" w:after="60"/>
              <w:jc w:val="both"/>
            </w:pPr>
            <w:r w:rsidRPr="005631A4">
              <w:t>2020</w:t>
            </w:r>
          </w:p>
        </w:tc>
        <w:tc>
          <w:tcPr>
            <w:tcW w:w="663" w:type="dxa"/>
            <w:shd w:val="clear" w:color="auto" w:fill="9CC2E5" w:themeFill="accent1" w:themeFillTint="99"/>
            <w:vAlign w:val="center"/>
          </w:tcPr>
          <w:p w14:paraId="38743881" w14:textId="77777777" w:rsidR="005631A4" w:rsidRPr="005631A4" w:rsidRDefault="005631A4" w:rsidP="005631A4">
            <w:pPr>
              <w:spacing w:before="60" w:after="60"/>
              <w:jc w:val="both"/>
            </w:pPr>
            <w:r w:rsidRPr="005631A4">
              <w:t>2021</w:t>
            </w:r>
          </w:p>
        </w:tc>
        <w:tc>
          <w:tcPr>
            <w:tcW w:w="663" w:type="dxa"/>
            <w:shd w:val="clear" w:color="auto" w:fill="9CC2E5" w:themeFill="accent1" w:themeFillTint="99"/>
            <w:vAlign w:val="center"/>
          </w:tcPr>
          <w:p w14:paraId="5DA883A1" w14:textId="77777777" w:rsidR="005631A4" w:rsidRPr="005631A4" w:rsidRDefault="005631A4" w:rsidP="005631A4">
            <w:pPr>
              <w:spacing w:before="60" w:after="60"/>
              <w:jc w:val="both"/>
            </w:pPr>
            <w:r w:rsidRPr="005631A4">
              <w:t>2022</w:t>
            </w:r>
          </w:p>
        </w:tc>
        <w:tc>
          <w:tcPr>
            <w:tcW w:w="663" w:type="dxa"/>
            <w:shd w:val="clear" w:color="auto" w:fill="9CC2E5" w:themeFill="accent1" w:themeFillTint="99"/>
            <w:vAlign w:val="center"/>
          </w:tcPr>
          <w:p w14:paraId="24CE9E5E" w14:textId="77777777" w:rsidR="005631A4" w:rsidRPr="005631A4" w:rsidRDefault="005631A4" w:rsidP="005631A4">
            <w:pPr>
              <w:spacing w:before="60" w:after="60"/>
              <w:jc w:val="both"/>
            </w:pPr>
            <w:r w:rsidRPr="005631A4">
              <w:t>2023</w:t>
            </w:r>
          </w:p>
        </w:tc>
        <w:tc>
          <w:tcPr>
            <w:tcW w:w="663" w:type="dxa"/>
            <w:shd w:val="clear" w:color="auto" w:fill="9CC2E5" w:themeFill="accent1" w:themeFillTint="99"/>
            <w:vAlign w:val="center"/>
          </w:tcPr>
          <w:p w14:paraId="259E3EB0" w14:textId="77777777" w:rsidR="005631A4" w:rsidRPr="005631A4" w:rsidRDefault="005631A4" w:rsidP="005631A4">
            <w:pPr>
              <w:spacing w:before="60" w:after="60"/>
              <w:jc w:val="both"/>
            </w:pPr>
            <w:r w:rsidRPr="005631A4">
              <w:t>2024</w:t>
            </w:r>
          </w:p>
        </w:tc>
        <w:tc>
          <w:tcPr>
            <w:tcW w:w="663" w:type="dxa"/>
            <w:shd w:val="clear" w:color="auto" w:fill="9CC2E5" w:themeFill="accent1" w:themeFillTint="99"/>
            <w:vAlign w:val="center"/>
          </w:tcPr>
          <w:p w14:paraId="42D7A4CD" w14:textId="77777777" w:rsidR="005631A4" w:rsidRPr="005631A4" w:rsidRDefault="005631A4" w:rsidP="005631A4">
            <w:pPr>
              <w:spacing w:before="60" w:after="60"/>
              <w:jc w:val="both"/>
            </w:pPr>
            <w:r w:rsidRPr="005631A4">
              <w:t>2025</w:t>
            </w:r>
          </w:p>
        </w:tc>
        <w:tc>
          <w:tcPr>
            <w:tcW w:w="663" w:type="dxa"/>
            <w:shd w:val="clear" w:color="auto" w:fill="9CC2E5" w:themeFill="accent1" w:themeFillTint="99"/>
            <w:vAlign w:val="center"/>
          </w:tcPr>
          <w:p w14:paraId="65DA3585" w14:textId="77777777" w:rsidR="005631A4" w:rsidRPr="005631A4" w:rsidRDefault="005631A4" w:rsidP="005631A4">
            <w:pPr>
              <w:spacing w:before="60" w:after="60"/>
              <w:jc w:val="both"/>
            </w:pPr>
            <w:r w:rsidRPr="005631A4">
              <w:t>2026</w:t>
            </w:r>
          </w:p>
        </w:tc>
        <w:tc>
          <w:tcPr>
            <w:tcW w:w="663" w:type="dxa"/>
            <w:shd w:val="clear" w:color="auto" w:fill="9CC2E5" w:themeFill="accent1" w:themeFillTint="99"/>
            <w:vAlign w:val="center"/>
          </w:tcPr>
          <w:p w14:paraId="7F44227A" w14:textId="77777777" w:rsidR="005631A4" w:rsidRPr="005631A4" w:rsidRDefault="005631A4" w:rsidP="005631A4">
            <w:pPr>
              <w:spacing w:before="60" w:after="60"/>
              <w:jc w:val="both"/>
            </w:pPr>
            <w:r w:rsidRPr="005631A4">
              <w:t>2027</w:t>
            </w:r>
          </w:p>
        </w:tc>
        <w:tc>
          <w:tcPr>
            <w:tcW w:w="663" w:type="dxa"/>
            <w:shd w:val="clear" w:color="auto" w:fill="9CC2E5" w:themeFill="accent1" w:themeFillTint="99"/>
            <w:vAlign w:val="center"/>
          </w:tcPr>
          <w:p w14:paraId="73EBA97D" w14:textId="77777777" w:rsidR="005631A4" w:rsidRPr="005631A4" w:rsidRDefault="005631A4" w:rsidP="005631A4">
            <w:pPr>
              <w:spacing w:before="60" w:after="60"/>
              <w:jc w:val="both"/>
            </w:pPr>
            <w:r w:rsidRPr="005631A4">
              <w:t>2028</w:t>
            </w:r>
          </w:p>
        </w:tc>
        <w:tc>
          <w:tcPr>
            <w:tcW w:w="650" w:type="dxa"/>
            <w:shd w:val="clear" w:color="auto" w:fill="9CC2E5" w:themeFill="accent1" w:themeFillTint="99"/>
            <w:vAlign w:val="center"/>
          </w:tcPr>
          <w:p w14:paraId="32D21453" w14:textId="77777777" w:rsidR="005631A4" w:rsidRPr="005631A4" w:rsidRDefault="005631A4" w:rsidP="00897E23">
            <w:pPr>
              <w:spacing w:before="60" w:after="60"/>
              <w:ind w:right="-106" w:hanging="27"/>
              <w:jc w:val="both"/>
            </w:pPr>
            <w:r w:rsidRPr="005631A4">
              <w:t>2029</w:t>
            </w:r>
          </w:p>
        </w:tc>
        <w:tc>
          <w:tcPr>
            <w:tcW w:w="567" w:type="dxa"/>
            <w:shd w:val="clear" w:color="auto" w:fill="9CC2E5" w:themeFill="accent1" w:themeFillTint="99"/>
            <w:vAlign w:val="center"/>
          </w:tcPr>
          <w:p w14:paraId="40628DFE" w14:textId="77777777" w:rsidR="005631A4" w:rsidRPr="005631A4" w:rsidRDefault="005631A4" w:rsidP="00897E23">
            <w:pPr>
              <w:spacing w:before="60" w:after="60"/>
              <w:ind w:right="-109"/>
              <w:jc w:val="both"/>
            </w:pPr>
            <w:r w:rsidRPr="005631A4">
              <w:t>2030</w:t>
            </w:r>
          </w:p>
        </w:tc>
      </w:tr>
      <w:tr w:rsidR="005631A4" w:rsidRPr="005631A4" w14:paraId="511C5D57" w14:textId="77777777" w:rsidTr="00E07D64">
        <w:trPr>
          <w:jc w:val="center"/>
        </w:trPr>
        <w:tc>
          <w:tcPr>
            <w:tcW w:w="1444" w:type="dxa"/>
            <w:vMerge/>
            <w:vAlign w:val="center"/>
          </w:tcPr>
          <w:p w14:paraId="0C8C8F4F" w14:textId="77777777" w:rsidR="005631A4" w:rsidRPr="005631A4" w:rsidRDefault="005631A4" w:rsidP="00CE3D48">
            <w:pPr>
              <w:spacing w:before="60" w:after="60"/>
              <w:jc w:val="center"/>
              <w:rPr>
                <w:b/>
                <w:bCs/>
              </w:rPr>
            </w:pPr>
          </w:p>
        </w:tc>
        <w:tc>
          <w:tcPr>
            <w:tcW w:w="1006" w:type="dxa"/>
            <w:shd w:val="clear" w:color="auto" w:fill="BDD6EE" w:themeFill="accent1" w:themeFillTint="66"/>
            <w:vAlign w:val="center"/>
          </w:tcPr>
          <w:p w14:paraId="07627191" w14:textId="77777777" w:rsidR="005631A4" w:rsidRPr="005631A4" w:rsidRDefault="005631A4" w:rsidP="005631A4">
            <w:pPr>
              <w:spacing w:before="60" w:after="60"/>
              <w:jc w:val="center"/>
            </w:pPr>
            <w:r w:rsidRPr="005631A4">
              <w:t>1.</w:t>
            </w:r>
          </w:p>
        </w:tc>
        <w:tc>
          <w:tcPr>
            <w:tcW w:w="663" w:type="dxa"/>
            <w:shd w:val="clear" w:color="auto" w:fill="DEEAF6" w:themeFill="accent1" w:themeFillTint="33"/>
            <w:vAlign w:val="center"/>
          </w:tcPr>
          <w:p w14:paraId="66AB6D10" w14:textId="77777777" w:rsidR="005631A4" w:rsidRPr="005631A4" w:rsidRDefault="005631A4" w:rsidP="005631A4">
            <w:pPr>
              <w:spacing w:before="60" w:after="60"/>
              <w:jc w:val="center"/>
            </w:pPr>
          </w:p>
        </w:tc>
        <w:tc>
          <w:tcPr>
            <w:tcW w:w="663" w:type="dxa"/>
            <w:shd w:val="clear" w:color="auto" w:fill="BDD6EE" w:themeFill="accent1" w:themeFillTint="66"/>
            <w:vAlign w:val="center"/>
          </w:tcPr>
          <w:p w14:paraId="5983F127" w14:textId="68470AE7" w:rsidR="005631A4" w:rsidRPr="005631A4" w:rsidRDefault="005631A4" w:rsidP="005631A4">
            <w:pPr>
              <w:spacing w:before="60" w:after="60"/>
              <w:jc w:val="center"/>
              <w:rPr>
                <w:sz w:val="16"/>
                <w:szCs w:val="16"/>
              </w:rPr>
            </w:pPr>
          </w:p>
        </w:tc>
        <w:tc>
          <w:tcPr>
            <w:tcW w:w="663" w:type="dxa"/>
            <w:shd w:val="clear" w:color="auto" w:fill="DEEAF6" w:themeFill="accent1" w:themeFillTint="33"/>
            <w:vAlign w:val="center"/>
          </w:tcPr>
          <w:p w14:paraId="35C7460D" w14:textId="5A307EA9" w:rsidR="005631A4" w:rsidRPr="005631A4" w:rsidRDefault="005631A4" w:rsidP="005631A4">
            <w:pPr>
              <w:spacing w:before="60" w:after="60"/>
              <w:jc w:val="center"/>
              <w:rPr>
                <w:sz w:val="16"/>
                <w:szCs w:val="16"/>
              </w:rPr>
            </w:pPr>
          </w:p>
        </w:tc>
        <w:tc>
          <w:tcPr>
            <w:tcW w:w="663" w:type="dxa"/>
            <w:shd w:val="clear" w:color="auto" w:fill="DEEAF6" w:themeFill="accent1" w:themeFillTint="33"/>
            <w:vAlign w:val="center"/>
          </w:tcPr>
          <w:p w14:paraId="38D7353E" w14:textId="77777777" w:rsidR="005631A4" w:rsidRPr="005631A4" w:rsidRDefault="005631A4" w:rsidP="005631A4">
            <w:pPr>
              <w:spacing w:before="60" w:after="60"/>
              <w:jc w:val="center"/>
            </w:pPr>
          </w:p>
        </w:tc>
        <w:tc>
          <w:tcPr>
            <w:tcW w:w="663" w:type="dxa"/>
            <w:shd w:val="clear" w:color="auto" w:fill="DEEAF6" w:themeFill="accent1" w:themeFillTint="33"/>
            <w:vAlign w:val="center"/>
          </w:tcPr>
          <w:p w14:paraId="3322612B" w14:textId="77777777" w:rsidR="005631A4" w:rsidRPr="005631A4" w:rsidRDefault="005631A4" w:rsidP="005631A4">
            <w:pPr>
              <w:spacing w:before="60" w:after="60"/>
              <w:jc w:val="center"/>
            </w:pPr>
          </w:p>
        </w:tc>
        <w:tc>
          <w:tcPr>
            <w:tcW w:w="663" w:type="dxa"/>
            <w:shd w:val="clear" w:color="auto" w:fill="DEEAF6" w:themeFill="accent1" w:themeFillTint="33"/>
            <w:vAlign w:val="center"/>
          </w:tcPr>
          <w:p w14:paraId="48F679B3" w14:textId="77777777" w:rsidR="005631A4" w:rsidRPr="005631A4" w:rsidRDefault="005631A4" w:rsidP="005631A4">
            <w:pPr>
              <w:spacing w:before="60" w:after="60"/>
              <w:jc w:val="center"/>
            </w:pPr>
          </w:p>
        </w:tc>
        <w:tc>
          <w:tcPr>
            <w:tcW w:w="663" w:type="dxa"/>
            <w:shd w:val="clear" w:color="auto" w:fill="DEEAF6" w:themeFill="accent1" w:themeFillTint="33"/>
            <w:vAlign w:val="center"/>
          </w:tcPr>
          <w:p w14:paraId="32A7A204" w14:textId="77777777" w:rsidR="005631A4" w:rsidRPr="005631A4" w:rsidRDefault="005631A4" w:rsidP="005631A4">
            <w:pPr>
              <w:spacing w:before="60" w:after="60"/>
              <w:jc w:val="center"/>
            </w:pPr>
          </w:p>
        </w:tc>
        <w:tc>
          <w:tcPr>
            <w:tcW w:w="663" w:type="dxa"/>
            <w:shd w:val="clear" w:color="auto" w:fill="DEEAF6" w:themeFill="accent1" w:themeFillTint="33"/>
          </w:tcPr>
          <w:p w14:paraId="63FF530F" w14:textId="77777777" w:rsidR="005631A4" w:rsidRPr="005631A4" w:rsidRDefault="005631A4" w:rsidP="005631A4">
            <w:pPr>
              <w:spacing w:before="60" w:after="60"/>
              <w:jc w:val="center"/>
            </w:pPr>
          </w:p>
        </w:tc>
        <w:tc>
          <w:tcPr>
            <w:tcW w:w="663" w:type="dxa"/>
            <w:shd w:val="clear" w:color="auto" w:fill="DEEAF6" w:themeFill="accent1" w:themeFillTint="33"/>
          </w:tcPr>
          <w:p w14:paraId="55225DF5" w14:textId="77777777" w:rsidR="005631A4" w:rsidRPr="005631A4" w:rsidRDefault="005631A4" w:rsidP="005631A4">
            <w:pPr>
              <w:spacing w:before="60" w:after="60"/>
              <w:jc w:val="center"/>
            </w:pPr>
          </w:p>
        </w:tc>
        <w:tc>
          <w:tcPr>
            <w:tcW w:w="650" w:type="dxa"/>
            <w:shd w:val="clear" w:color="auto" w:fill="DEEAF6" w:themeFill="accent1" w:themeFillTint="33"/>
          </w:tcPr>
          <w:p w14:paraId="227B7558" w14:textId="77777777" w:rsidR="005631A4" w:rsidRPr="005631A4" w:rsidRDefault="005631A4" w:rsidP="005631A4">
            <w:pPr>
              <w:spacing w:before="60" w:after="60"/>
              <w:jc w:val="center"/>
            </w:pPr>
          </w:p>
        </w:tc>
        <w:tc>
          <w:tcPr>
            <w:tcW w:w="567" w:type="dxa"/>
            <w:shd w:val="clear" w:color="auto" w:fill="DEEAF6" w:themeFill="accent1" w:themeFillTint="33"/>
          </w:tcPr>
          <w:p w14:paraId="755175AD" w14:textId="77777777" w:rsidR="005631A4" w:rsidRPr="005631A4" w:rsidRDefault="005631A4" w:rsidP="005631A4">
            <w:pPr>
              <w:spacing w:before="60" w:after="60"/>
              <w:jc w:val="center"/>
            </w:pPr>
          </w:p>
        </w:tc>
      </w:tr>
      <w:tr w:rsidR="005631A4" w:rsidRPr="005631A4" w14:paraId="54332C78" w14:textId="77777777" w:rsidTr="002D1296">
        <w:trPr>
          <w:jc w:val="center"/>
        </w:trPr>
        <w:tc>
          <w:tcPr>
            <w:tcW w:w="1444" w:type="dxa"/>
            <w:vMerge/>
            <w:vAlign w:val="center"/>
          </w:tcPr>
          <w:p w14:paraId="4835B73C" w14:textId="77777777" w:rsidR="005631A4" w:rsidRPr="005631A4" w:rsidRDefault="005631A4" w:rsidP="00CE3D48">
            <w:pPr>
              <w:spacing w:before="60" w:after="60"/>
              <w:jc w:val="center"/>
              <w:rPr>
                <w:b/>
                <w:bCs/>
              </w:rPr>
            </w:pPr>
          </w:p>
        </w:tc>
        <w:tc>
          <w:tcPr>
            <w:tcW w:w="1006" w:type="dxa"/>
            <w:shd w:val="clear" w:color="auto" w:fill="BDD6EE" w:themeFill="accent1" w:themeFillTint="66"/>
            <w:vAlign w:val="center"/>
          </w:tcPr>
          <w:p w14:paraId="4FC35076" w14:textId="77777777" w:rsidR="005631A4" w:rsidRPr="005631A4" w:rsidRDefault="005631A4" w:rsidP="005631A4">
            <w:pPr>
              <w:spacing w:before="60" w:after="60"/>
              <w:jc w:val="center"/>
            </w:pPr>
            <w:r w:rsidRPr="005631A4">
              <w:t>2.</w:t>
            </w:r>
          </w:p>
        </w:tc>
        <w:tc>
          <w:tcPr>
            <w:tcW w:w="663" w:type="dxa"/>
            <w:shd w:val="clear" w:color="auto" w:fill="DEEAF6" w:themeFill="accent1" w:themeFillTint="33"/>
            <w:vAlign w:val="center"/>
          </w:tcPr>
          <w:p w14:paraId="12F2ACA4" w14:textId="77777777" w:rsidR="005631A4" w:rsidRPr="005631A4" w:rsidRDefault="005631A4" w:rsidP="005631A4">
            <w:pPr>
              <w:spacing w:before="60" w:after="60"/>
              <w:jc w:val="center"/>
              <w:rPr>
                <w:sz w:val="16"/>
                <w:szCs w:val="16"/>
              </w:rPr>
            </w:pPr>
          </w:p>
        </w:tc>
        <w:tc>
          <w:tcPr>
            <w:tcW w:w="663" w:type="dxa"/>
            <w:shd w:val="clear" w:color="auto" w:fill="DEEAF6" w:themeFill="accent1" w:themeFillTint="33"/>
            <w:vAlign w:val="center"/>
          </w:tcPr>
          <w:p w14:paraId="02D5C707" w14:textId="77777777" w:rsidR="005631A4" w:rsidRPr="005631A4" w:rsidRDefault="005631A4" w:rsidP="005631A4">
            <w:pPr>
              <w:spacing w:before="60" w:after="60"/>
              <w:jc w:val="center"/>
              <w:rPr>
                <w:sz w:val="16"/>
                <w:szCs w:val="16"/>
              </w:rPr>
            </w:pPr>
          </w:p>
        </w:tc>
        <w:tc>
          <w:tcPr>
            <w:tcW w:w="663" w:type="dxa"/>
            <w:shd w:val="clear" w:color="auto" w:fill="BDD6EE" w:themeFill="accent1" w:themeFillTint="66"/>
            <w:vAlign w:val="center"/>
          </w:tcPr>
          <w:p w14:paraId="5E411AE7" w14:textId="087A333C" w:rsidR="005631A4" w:rsidRPr="005631A4" w:rsidRDefault="005631A4" w:rsidP="005631A4">
            <w:pPr>
              <w:spacing w:before="60" w:after="60"/>
              <w:jc w:val="center"/>
              <w:rPr>
                <w:sz w:val="16"/>
                <w:szCs w:val="16"/>
              </w:rPr>
            </w:pPr>
          </w:p>
        </w:tc>
        <w:tc>
          <w:tcPr>
            <w:tcW w:w="663" w:type="dxa"/>
            <w:shd w:val="clear" w:color="auto" w:fill="BDD6EE" w:themeFill="accent1" w:themeFillTint="66"/>
            <w:vAlign w:val="center"/>
          </w:tcPr>
          <w:p w14:paraId="02B1F514" w14:textId="530C4D2D" w:rsidR="005631A4" w:rsidRPr="005631A4" w:rsidRDefault="005631A4" w:rsidP="005631A4">
            <w:pPr>
              <w:spacing w:before="60" w:after="60"/>
              <w:jc w:val="center"/>
              <w:rPr>
                <w:sz w:val="16"/>
                <w:szCs w:val="16"/>
              </w:rPr>
            </w:pPr>
          </w:p>
        </w:tc>
        <w:tc>
          <w:tcPr>
            <w:tcW w:w="663" w:type="dxa"/>
            <w:shd w:val="clear" w:color="auto" w:fill="BDD6EE" w:themeFill="accent1" w:themeFillTint="66"/>
            <w:vAlign w:val="center"/>
          </w:tcPr>
          <w:p w14:paraId="0013ACA1" w14:textId="19F9A306" w:rsidR="005631A4" w:rsidRPr="005631A4" w:rsidRDefault="005631A4" w:rsidP="005631A4">
            <w:pPr>
              <w:spacing w:before="60" w:after="60"/>
              <w:jc w:val="center"/>
              <w:rPr>
                <w:sz w:val="16"/>
                <w:szCs w:val="16"/>
              </w:rPr>
            </w:pPr>
          </w:p>
        </w:tc>
        <w:tc>
          <w:tcPr>
            <w:tcW w:w="663" w:type="dxa"/>
            <w:shd w:val="clear" w:color="auto" w:fill="BDD6EE" w:themeFill="accent1" w:themeFillTint="66"/>
            <w:vAlign w:val="center"/>
          </w:tcPr>
          <w:p w14:paraId="0DD23DFD" w14:textId="18EFD155" w:rsidR="005631A4" w:rsidRPr="005631A4" w:rsidRDefault="005631A4" w:rsidP="005631A4">
            <w:pPr>
              <w:spacing w:before="60" w:after="60"/>
              <w:jc w:val="center"/>
              <w:rPr>
                <w:sz w:val="16"/>
                <w:szCs w:val="16"/>
              </w:rPr>
            </w:pPr>
          </w:p>
        </w:tc>
        <w:tc>
          <w:tcPr>
            <w:tcW w:w="663" w:type="dxa"/>
            <w:shd w:val="clear" w:color="auto" w:fill="BDD6EE" w:themeFill="accent1" w:themeFillTint="66"/>
            <w:vAlign w:val="center"/>
          </w:tcPr>
          <w:p w14:paraId="55A0BE70" w14:textId="433E6D8A" w:rsidR="005631A4" w:rsidRPr="005631A4" w:rsidRDefault="005631A4" w:rsidP="005631A4">
            <w:pPr>
              <w:spacing w:before="60" w:after="60"/>
              <w:jc w:val="center"/>
              <w:rPr>
                <w:sz w:val="16"/>
                <w:szCs w:val="16"/>
              </w:rPr>
            </w:pPr>
          </w:p>
        </w:tc>
        <w:tc>
          <w:tcPr>
            <w:tcW w:w="663" w:type="dxa"/>
            <w:shd w:val="clear" w:color="auto" w:fill="BDD6EE" w:themeFill="accent1" w:themeFillTint="66"/>
          </w:tcPr>
          <w:p w14:paraId="12B6AC04" w14:textId="4CFD21CC" w:rsidR="005631A4" w:rsidRPr="005631A4" w:rsidRDefault="005631A4" w:rsidP="005631A4">
            <w:pPr>
              <w:spacing w:before="60" w:after="60"/>
              <w:jc w:val="center"/>
              <w:rPr>
                <w:sz w:val="16"/>
                <w:szCs w:val="16"/>
              </w:rPr>
            </w:pPr>
          </w:p>
        </w:tc>
        <w:tc>
          <w:tcPr>
            <w:tcW w:w="663" w:type="dxa"/>
            <w:shd w:val="clear" w:color="auto" w:fill="BDD6EE" w:themeFill="accent1" w:themeFillTint="66"/>
          </w:tcPr>
          <w:p w14:paraId="04F1BEAB" w14:textId="260660B5" w:rsidR="005631A4" w:rsidRPr="005631A4" w:rsidRDefault="005631A4" w:rsidP="005631A4">
            <w:pPr>
              <w:spacing w:before="60" w:after="60"/>
              <w:jc w:val="center"/>
              <w:rPr>
                <w:sz w:val="16"/>
                <w:szCs w:val="16"/>
              </w:rPr>
            </w:pPr>
          </w:p>
        </w:tc>
        <w:tc>
          <w:tcPr>
            <w:tcW w:w="650" w:type="dxa"/>
            <w:shd w:val="clear" w:color="auto" w:fill="BDD6EE" w:themeFill="accent1" w:themeFillTint="66"/>
          </w:tcPr>
          <w:p w14:paraId="492C55DA" w14:textId="5DB8D22C" w:rsidR="005631A4" w:rsidRPr="005631A4" w:rsidRDefault="005631A4" w:rsidP="005631A4">
            <w:pPr>
              <w:spacing w:before="60" w:after="60"/>
              <w:jc w:val="center"/>
              <w:rPr>
                <w:sz w:val="16"/>
                <w:szCs w:val="16"/>
              </w:rPr>
            </w:pPr>
          </w:p>
        </w:tc>
        <w:tc>
          <w:tcPr>
            <w:tcW w:w="567" w:type="dxa"/>
            <w:shd w:val="clear" w:color="auto" w:fill="DEEAF6" w:themeFill="accent1" w:themeFillTint="33"/>
          </w:tcPr>
          <w:p w14:paraId="44E65AB8" w14:textId="77777777" w:rsidR="005631A4" w:rsidRPr="005631A4" w:rsidRDefault="005631A4" w:rsidP="005631A4">
            <w:pPr>
              <w:spacing w:before="60" w:after="60"/>
              <w:jc w:val="center"/>
              <w:rPr>
                <w:sz w:val="16"/>
                <w:szCs w:val="16"/>
              </w:rPr>
            </w:pPr>
          </w:p>
        </w:tc>
      </w:tr>
      <w:tr w:rsidR="005631A4" w:rsidRPr="005631A4" w14:paraId="48639077" w14:textId="77777777" w:rsidTr="00897E23">
        <w:trPr>
          <w:jc w:val="center"/>
        </w:trPr>
        <w:tc>
          <w:tcPr>
            <w:tcW w:w="1444" w:type="dxa"/>
            <w:shd w:val="clear" w:color="auto" w:fill="9CC2E5" w:themeFill="accent1" w:themeFillTint="99"/>
            <w:vAlign w:val="center"/>
          </w:tcPr>
          <w:p w14:paraId="4A3DD973" w14:textId="77777777" w:rsidR="005631A4" w:rsidRPr="005631A4" w:rsidRDefault="005631A4" w:rsidP="00CE3D48">
            <w:pPr>
              <w:spacing w:before="60" w:after="60"/>
              <w:jc w:val="center"/>
              <w:rPr>
                <w:b/>
                <w:bCs/>
              </w:rPr>
            </w:pPr>
            <w:r w:rsidRPr="005631A4">
              <w:rPr>
                <w:b/>
                <w:bCs/>
              </w:rPr>
              <w:t>Indykatywne źródła finansowania</w:t>
            </w:r>
          </w:p>
        </w:tc>
        <w:tc>
          <w:tcPr>
            <w:tcW w:w="8190" w:type="dxa"/>
            <w:gridSpan w:val="12"/>
            <w:shd w:val="clear" w:color="auto" w:fill="DEEAF6" w:themeFill="accent1" w:themeFillTint="33"/>
            <w:vAlign w:val="center"/>
          </w:tcPr>
          <w:p w14:paraId="5085B80A" w14:textId="10E4584C" w:rsidR="007D6564" w:rsidRDefault="00B0470B" w:rsidP="007D6564">
            <w:pPr>
              <w:numPr>
                <w:ilvl w:val="3"/>
                <w:numId w:val="29"/>
              </w:numPr>
              <w:ind w:left="284" w:hanging="284"/>
              <w:jc w:val="both"/>
            </w:pPr>
            <w:r>
              <w:t>Środki NPZ</w:t>
            </w:r>
            <w:r w:rsidR="005631A4" w:rsidRPr="005631A4">
              <w:t xml:space="preserve"> </w:t>
            </w:r>
          </w:p>
          <w:p w14:paraId="483C3254" w14:textId="7704F0DD" w:rsidR="005631A4" w:rsidRPr="005631A4" w:rsidRDefault="005B77E7" w:rsidP="007D6564">
            <w:pPr>
              <w:numPr>
                <w:ilvl w:val="3"/>
                <w:numId w:val="29"/>
              </w:numPr>
              <w:ind w:left="284" w:hanging="284"/>
              <w:jc w:val="both"/>
            </w:pPr>
            <w:r w:rsidRPr="005B77E7">
              <w:t>Finansowanie ze środków Europejskich</w:t>
            </w:r>
          </w:p>
        </w:tc>
      </w:tr>
      <w:tr w:rsidR="005631A4" w:rsidRPr="005631A4" w14:paraId="62B0E348" w14:textId="77777777" w:rsidTr="00897E23">
        <w:trPr>
          <w:trHeight w:val="518"/>
          <w:jc w:val="center"/>
        </w:trPr>
        <w:tc>
          <w:tcPr>
            <w:tcW w:w="1444" w:type="dxa"/>
            <w:shd w:val="clear" w:color="auto" w:fill="9CC2E5" w:themeFill="accent1" w:themeFillTint="99"/>
            <w:vAlign w:val="center"/>
          </w:tcPr>
          <w:p w14:paraId="2EA9F7CE" w14:textId="77777777" w:rsidR="005631A4" w:rsidRPr="005631A4" w:rsidRDefault="005631A4" w:rsidP="00CE3D48">
            <w:pPr>
              <w:spacing w:before="60" w:after="60"/>
              <w:jc w:val="center"/>
              <w:rPr>
                <w:b/>
                <w:bCs/>
              </w:rPr>
            </w:pPr>
            <w:r w:rsidRPr="005631A4">
              <w:rPr>
                <w:b/>
                <w:bCs/>
              </w:rPr>
              <w:t>Koordynacja</w:t>
            </w:r>
          </w:p>
        </w:tc>
        <w:tc>
          <w:tcPr>
            <w:tcW w:w="8190" w:type="dxa"/>
            <w:gridSpan w:val="12"/>
            <w:shd w:val="clear" w:color="auto" w:fill="DEEAF6" w:themeFill="accent1" w:themeFillTint="33"/>
            <w:vAlign w:val="center"/>
          </w:tcPr>
          <w:p w14:paraId="499453C1" w14:textId="29AF93A4" w:rsidR="005631A4" w:rsidRPr="005631A4" w:rsidRDefault="00421C24" w:rsidP="00A545BB">
            <w:pPr>
              <w:numPr>
                <w:ilvl w:val="0"/>
                <w:numId w:val="36"/>
              </w:numPr>
              <w:ind w:left="284" w:hanging="284"/>
              <w:jc w:val="both"/>
            </w:pPr>
            <w:r w:rsidRPr="00421C24">
              <w:t xml:space="preserve">CMKP we współpracy z MZ </w:t>
            </w:r>
            <w:r w:rsidR="007D6564">
              <w:t>i MEN</w:t>
            </w:r>
          </w:p>
          <w:p w14:paraId="5A5DFC9C" w14:textId="77777777" w:rsidR="005631A4" w:rsidRPr="005631A4" w:rsidRDefault="005631A4" w:rsidP="00A545BB">
            <w:pPr>
              <w:numPr>
                <w:ilvl w:val="0"/>
                <w:numId w:val="36"/>
              </w:numPr>
              <w:ind w:left="284" w:hanging="284"/>
              <w:jc w:val="both"/>
            </w:pPr>
            <w:r w:rsidRPr="005631A4">
              <w:t>CMKP we współpracy z MZ</w:t>
            </w:r>
          </w:p>
        </w:tc>
      </w:tr>
    </w:tbl>
    <w:p w14:paraId="370C2F9A" w14:textId="77777777" w:rsidR="005631A4" w:rsidRPr="005631A4" w:rsidRDefault="005631A4" w:rsidP="005631A4">
      <w:pPr>
        <w:spacing w:after="120"/>
        <w:jc w:val="both"/>
      </w:pPr>
      <w:r w:rsidRPr="005631A4">
        <w:br w:type="page"/>
      </w:r>
    </w:p>
    <w:p w14:paraId="698AF6BE" w14:textId="6AEA721F" w:rsidR="005631A4" w:rsidRPr="00B76A9E" w:rsidRDefault="005631A4" w:rsidP="00B76A9E">
      <w:pPr>
        <w:pStyle w:val="Nagwek2"/>
        <w:numPr>
          <w:ilvl w:val="1"/>
          <w:numId w:val="26"/>
        </w:numPr>
        <w:shd w:val="clear" w:color="auto" w:fill="FFDDEE"/>
        <w:tabs>
          <w:tab w:val="clear" w:pos="1080"/>
          <w:tab w:val="num" w:pos="426"/>
        </w:tabs>
        <w:ind w:hanging="1080"/>
        <w:rPr>
          <w:color w:val="FF0066"/>
          <w:lang w:eastAsia="pl-PL"/>
        </w:rPr>
      </w:pPr>
      <w:r w:rsidRPr="00B76A9E">
        <w:rPr>
          <w:color w:val="FF0066"/>
          <w:lang w:eastAsia="pl-PL"/>
        </w:rPr>
        <w:lastRenderedPageBreak/>
        <w:t>ROZWÓJ FORM OPIEKI DZIENNEJ</w:t>
      </w:r>
    </w:p>
    <w:p w14:paraId="1328C206" w14:textId="0A1329BC" w:rsidR="005631A4" w:rsidRPr="005631A4" w:rsidRDefault="005631A4" w:rsidP="005631A4">
      <w:pPr>
        <w:keepNext/>
        <w:keepLines/>
        <w:shd w:val="clear" w:color="auto" w:fill="BDD6EE" w:themeFill="accent1" w:themeFillTint="66"/>
        <w:spacing w:before="240" w:after="120"/>
        <w:ind w:left="426"/>
        <w:jc w:val="both"/>
        <w:outlineLvl w:val="3"/>
        <w:rPr>
          <w:rFonts w:asciiTheme="majorHAnsi" w:eastAsiaTheme="majorEastAsia" w:hAnsiTheme="majorHAnsi" w:cstheme="majorBidi"/>
          <w:b/>
          <w:iCs/>
          <w:color w:val="0070C0"/>
          <w:sz w:val="24"/>
          <w:szCs w:val="24"/>
        </w:rPr>
      </w:pPr>
      <w:r w:rsidRPr="005631A4">
        <w:rPr>
          <w:rFonts w:asciiTheme="majorHAnsi" w:eastAsiaTheme="majorEastAsia" w:hAnsiTheme="majorHAnsi" w:cstheme="majorBidi"/>
          <w:b/>
          <w:iCs/>
          <w:color w:val="0070C0"/>
          <w:sz w:val="24"/>
          <w:szCs w:val="24"/>
        </w:rPr>
        <w:t xml:space="preserve">CEL SZCZEGÓŁOWY: Rozwijanie form dziennej opieki medycznej dla osób starszych </w:t>
      </w:r>
      <w:r w:rsidR="004228C0">
        <w:rPr>
          <w:rFonts w:asciiTheme="majorHAnsi" w:eastAsiaTheme="majorEastAsia" w:hAnsiTheme="majorHAnsi" w:cstheme="majorBidi"/>
          <w:b/>
          <w:iCs/>
          <w:color w:val="0070C0"/>
          <w:sz w:val="24"/>
          <w:szCs w:val="24"/>
        </w:rPr>
        <w:t>wymagających wsparcia w codziennym funkcjonowaniu</w:t>
      </w:r>
    </w:p>
    <w:p w14:paraId="1DA82258" w14:textId="77777777" w:rsidR="005631A4" w:rsidRPr="005631A4" w:rsidRDefault="005631A4" w:rsidP="005631A4">
      <w:pPr>
        <w:keepNext/>
        <w:keepLines/>
        <w:spacing w:before="240" w:after="120"/>
        <w:jc w:val="both"/>
        <w:outlineLvl w:val="4"/>
        <w:rPr>
          <w:rFonts w:asciiTheme="majorHAnsi" w:eastAsiaTheme="majorEastAsia" w:hAnsiTheme="majorHAnsi" w:cstheme="majorBidi"/>
          <w:i/>
          <w:color w:val="2E74B5" w:themeColor="accent1" w:themeShade="BF"/>
          <w:sz w:val="23"/>
        </w:rPr>
      </w:pPr>
      <w:r w:rsidRPr="005631A4">
        <w:rPr>
          <w:rFonts w:asciiTheme="majorHAnsi" w:eastAsiaTheme="majorEastAsia" w:hAnsiTheme="majorHAnsi" w:cstheme="majorBidi"/>
          <w:i/>
          <w:color w:val="2E74B5" w:themeColor="accent1" w:themeShade="BF"/>
          <w:sz w:val="23"/>
        </w:rPr>
        <w:t>Diagnoza</w:t>
      </w:r>
    </w:p>
    <w:p w14:paraId="563A4C5B" w14:textId="77777777" w:rsidR="005631A4" w:rsidRPr="005631A4" w:rsidRDefault="005631A4" w:rsidP="005631A4">
      <w:pPr>
        <w:spacing w:after="120"/>
        <w:jc w:val="both"/>
      </w:pPr>
      <w:r w:rsidRPr="005631A4">
        <w:t>W polskim systemie opieki zdrowotnej brakowało usług w zakresie dziennej opieki długoterminowej, które łączą zarówno pewne cechy zorganizowanej opieki instytucjonalnej, jak i opieki środowiskowej udzielanej w najbliższym otoczeniu pacjenta.</w:t>
      </w:r>
    </w:p>
    <w:p w14:paraId="1590165A" w14:textId="16CDDBC4" w:rsidR="005631A4" w:rsidRPr="005631A4" w:rsidRDefault="005631A4" w:rsidP="005631A4">
      <w:pPr>
        <w:spacing w:after="120"/>
        <w:jc w:val="both"/>
      </w:pPr>
      <w:r w:rsidRPr="005631A4">
        <w:t xml:space="preserve">Dzienna opieka medyczna realizowana jest od kilku lat w ramach </w:t>
      </w:r>
      <w:r w:rsidR="007878AF">
        <w:t>DDOM</w:t>
      </w:r>
      <w:r w:rsidRPr="005631A4">
        <w:t xml:space="preserve">, utworzonych w projektach realizowanych ze środków unijnych. </w:t>
      </w:r>
      <w:r w:rsidRPr="005631A4">
        <w:rPr>
          <w:rFonts w:ascii="Calibri" w:hAnsi="Calibri"/>
        </w:rPr>
        <w:t xml:space="preserve">Nadrzędnym celem funkcjonowania DDOM jest zapewnienie jak najpełniejszej sprawności pacjentów w środowisku po przebytych hospitalizacjach, poprawa stanu zdrowia osób starszych </w:t>
      </w:r>
      <w:r w:rsidR="00386A4A">
        <w:t>wymagających wsparcia w codziennym funkcjonowaniu</w:t>
      </w:r>
      <w:r w:rsidRPr="005631A4">
        <w:rPr>
          <w:rFonts w:ascii="Calibri" w:hAnsi="Calibri"/>
        </w:rPr>
        <w:t xml:space="preserve"> oraz zmniejszenie liczby i czasu trwania nieuzasadnionych medycznie hospitalizacji wśród tych osób.</w:t>
      </w:r>
    </w:p>
    <w:p w14:paraId="1299D72E" w14:textId="17412A73" w:rsidR="005631A4" w:rsidRPr="005631A4" w:rsidRDefault="005631A4" w:rsidP="005631A4">
      <w:pPr>
        <w:spacing w:after="120"/>
        <w:jc w:val="both"/>
        <w:rPr>
          <w:rFonts w:ascii="Calibri" w:hAnsi="Calibri"/>
        </w:rPr>
      </w:pPr>
      <w:r w:rsidRPr="005631A4">
        <w:rPr>
          <w:rFonts w:ascii="Calibri" w:hAnsi="Calibri"/>
        </w:rPr>
        <w:t xml:space="preserve">Ze względu na pozytywny społeczny odbiór oferty usług DDOM, jak również udowodnioną skuteczność tej formy opieki, zdecydowano się na kontynuację ich działalności w ramach Regionalnych Programów Operacyjnych na lata 2014-2020. </w:t>
      </w:r>
      <w:r w:rsidR="007878AF">
        <w:rPr>
          <w:rFonts w:ascii="Calibri" w:hAnsi="Calibri"/>
        </w:rPr>
        <w:t>Planowane jest</w:t>
      </w:r>
      <w:r w:rsidRPr="005631A4">
        <w:rPr>
          <w:rFonts w:ascii="Calibri" w:hAnsi="Calibri"/>
        </w:rPr>
        <w:t xml:space="preserve"> włączenie tej formy opieki do koszyka świadczeń gwarantowanych z zakresu świadczeń pielęgnacyjnych i opiekuńczych w ramach opieki długoterminowej.</w:t>
      </w:r>
    </w:p>
    <w:p w14:paraId="736091EC" w14:textId="6F2E7E67" w:rsidR="005631A4" w:rsidRPr="005631A4" w:rsidRDefault="005631A4" w:rsidP="005631A4">
      <w:pPr>
        <w:spacing w:after="120"/>
        <w:jc w:val="both"/>
      </w:pPr>
      <w:r w:rsidRPr="005631A4">
        <w:rPr>
          <w:rFonts w:ascii="Calibri" w:hAnsi="Calibri"/>
        </w:rPr>
        <w:t xml:space="preserve">Usługi </w:t>
      </w:r>
      <w:r w:rsidRPr="005631A4">
        <w:t>udzielane</w:t>
      </w:r>
      <w:r w:rsidRPr="005631A4">
        <w:rPr>
          <w:rFonts w:ascii="Calibri" w:hAnsi="Calibri"/>
        </w:rPr>
        <w:t xml:space="preserve"> w DDOM nie wyczerpują jednak zapotrzebowania na opiekę dzienną wśród pacjentów wymagających codziennego wsparcia zdrowotnego. Szczególną grupą osób, która – ze względu na specyfikę objawów i </w:t>
      </w:r>
      <w:r w:rsidRPr="005631A4">
        <w:t>nieuchronny postęp</w:t>
      </w:r>
      <w:r w:rsidRPr="005631A4">
        <w:rPr>
          <w:rFonts w:ascii="Calibri" w:hAnsi="Calibri"/>
        </w:rPr>
        <w:t xml:space="preserve"> dolegliwości – wymaga odrębnej formy opieki, są osoby z</w:t>
      </w:r>
      <w:r w:rsidR="00553468">
        <w:rPr>
          <w:rFonts w:ascii="Calibri" w:hAnsi="Calibri"/>
        </w:rPr>
        <w:t> </w:t>
      </w:r>
      <w:r w:rsidRPr="005631A4">
        <w:rPr>
          <w:rFonts w:ascii="Calibri" w:hAnsi="Calibri"/>
        </w:rPr>
        <w:t>zaburzeniami otępiennymi.</w:t>
      </w:r>
    </w:p>
    <w:p w14:paraId="5ACB071D" w14:textId="091860D0" w:rsidR="005631A4" w:rsidRPr="005631A4" w:rsidRDefault="005631A4" w:rsidP="005631A4">
      <w:pPr>
        <w:spacing w:after="120" w:line="240" w:lineRule="auto"/>
        <w:jc w:val="both"/>
        <w:rPr>
          <w:rFonts w:ascii="Calibri" w:hAnsi="Calibri"/>
        </w:rPr>
      </w:pPr>
      <w:r w:rsidRPr="005631A4">
        <w:t xml:space="preserve">W ramach systemu ochrony zdrowia dostępne są usługi opiekuńcze stworzone z myślą o osobach starszych </w:t>
      </w:r>
      <w:r w:rsidR="00386A4A">
        <w:t>wymagających wsparcia w codziennym funkcjonowaniu</w:t>
      </w:r>
      <w:r w:rsidRPr="005631A4">
        <w:t>, lecz brakuje usług specyficznych dla osób z otępieniem. Sprawowanie opieki nad chorymi z demencją w ramach opieki zdrowotnej odbywa się w ZOL/ZPO i w ramach opieki długoterminowej domowej oraz dziennych i całodobowych oddziałach psychogeriatrycznych. Nie są to jednak formy opieki ukierunkowane na osoby z demencją, ale na osoby starsze, przewlekle chore</w:t>
      </w:r>
      <w:r w:rsidR="001A16F0">
        <w:t xml:space="preserve"> i wymagające wsparcia w codziennym funkcjonowaniu </w:t>
      </w:r>
      <w:r w:rsidRPr="005631A4">
        <w:rPr>
          <w:vertAlign w:val="superscript"/>
        </w:rPr>
        <w:footnoteReference w:id="75"/>
      </w:r>
      <w:r w:rsidRPr="005631A4">
        <w:t>.</w:t>
      </w:r>
    </w:p>
    <w:p w14:paraId="39DCD175" w14:textId="731CC1A5" w:rsidR="005631A4" w:rsidRPr="005631A4" w:rsidRDefault="005631A4" w:rsidP="005631A4">
      <w:pPr>
        <w:spacing w:after="120" w:line="240" w:lineRule="auto"/>
        <w:jc w:val="both"/>
        <w:rPr>
          <w:rFonts w:ascii="Calibri" w:hAnsi="Calibri"/>
        </w:rPr>
      </w:pPr>
      <w:r w:rsidRPr="005631A4">
        <w:rPr>
          <w:rFonts w:ascii="Calibri" w:eastAsia="Times New Roman" w:hAnsi="Calibri" w:cs="Arial"/>
          <w:lang w:eastAsia="pl-PL"/>
        </w:rPr>
        <w:t>Specyfika chorób otępiennych i innych przewlekłych chorób mózgu skutkujących zaburzeniami pamięci sprawia, że dostępne formy instytucjonalnej opieki zdrowotnej w Polsce nie są dostosowane do potrzeb tej grupy pacjentów. Ze względu na postępujący charakter objawów w chorobach otępiennych, objęcie pacjenta całodobową opieką instytucjonalną poza znajomym dla niego otoczeniem niejednokrotnie może wzmagać objawy chorobowe i wywoływ</w:t>
      </w:r>
      <w:r w:rsidR="004620C7">
        <w:rPr>
          <w:rFonts w:ascii="Calibri" w:eastAsia="Times New Roman" w:hAnsi="Calibri" w:cs="Arial"/>
          <w:lang w:eastAsia="pl-PL"/>
        </w:rPr>
        <w:t>a</w:t>
      </w:r>
      <w:r w:rsidRPr="005631A4">
        <w:rPr>
          <w:rFonts w:ascii="Calibri" w:eastAsia="Times New Roman" w:hAnsi="Calibri" w:cs="Arial"/>
          <w:lang w:eastAsia="pl-PL"/>
        </w:rPr>
        <w:t xml:space="preserve">ć kolejne, przyspieszając tym samym postęp choroby oraz </w:t>
      </w:r>
      <w:r w:rsidR="00633682">
        <w:rPr>
          <w:rFonts w:ascii="Calibri" w:eastAsia="Times New Roman" w:hAnsi="Calibri" w:cs="Arial"/>
          <w:lang w:eastAsia="pl-PL"/>
        </w:rPr>
        <w:t xml:space="preserve">związaną z tym </w:t>
      </w:r>
      <w:r w:rsidRPr="005631A4">
        <w:rPr>
          <w:rFonts w:ascii="Calibri" w:eastAsia="Times New Roman" w:hAnsi="Calibri" w:cs="Arial"/>
          <w:lang w:eastAsia="pl-PL"/>
        </w:rPr>
        <w:t xml:space="preserve">niesprawność i </w:t>
      </w:r>
      <w:r w:rsidR="00633682">
        <w:rPr>
          <w:rFonts w:ascii="Calibri" w:eastAsia="Times New Roman" w:hAnsi="Calibri" w:cs="Arial"/>
          <w:lang w:eastAsia="pl-PL"/>
        </w:rPr>
        <w:t>potrzeba wsparcia w codziennym funkcjonowaniu</w:t>
      </w:r>
      <w:r w:rsidRPr="005631A4">
        <w:rPr>
          <w:rFonts w:ascii="Calibri" w:eastAsia="Times New Roman" w:hAnsi="Calibri" w:cs="Arial"/>
          <w:lang w:eastAsia="pl-PL"/>
        </w:rPr>
        <w:t>.</w:t>
      </w:r>
    </w:p>
    <w:p w14:paraId="675C3AE3" w14:textId="77777777" w:rsidR="005631A4" w:rsidRPr="005631A4" w:rsidRDefault="005631A4" w:rsidP="005631A4">
      <w:pPr>
        <w:spacing w:after="120"/>
        <w:jc w:val="both"/>
        <w:rPr>
          <w:rFonts w:ascii="Calibri" w:eastAsia="Times New Roman" w:hAnsi="Calibri" w:cs="Arial"/>
          <w:lang w:eastAsia="pl-PL"/>
        </w:rPr>
      </w:pPr>
      <w:r w:rsidRPr="005631A4">
        <w:rPr>
          <w:rFonts w:ascii="Calibri" w:eastAsia="Times New Roman" w:hAnsi="Calibri" w:cs="Arial"/>
          <w:lang w:eastAsia="pl-PL"/>
        </w:rPr>
        <w:t>W ramach funkcjonującego w Polsce powszechnego systemu opieki zdrowotnej nie stworzono dotychczas dedykowanych narzędzi dla efektywnego i kompleksowego rozwiązywania problemów osób z chorobami otępiennymi (w tym m.in. chorobą Alzheimera) i innymi przewlekłymi chorobami mózgu skutkującymi zaburzeniami pamięci (m.in. chorobą Parkinsona, chorobą Huntingtona) oraz ich rodzin. W 2010 r. niemal</w:t>
      </w:r>
      <w:r w:rsidRPr="005631A4">
        <w:t xml:space="preserve"> 92% chorych na demencję w Polsce przebywało w domu od początku choroby </w:t>
      </w:r>
      <w:r w:rsidRPr="005631A4">
        <w:lastRenderedPageBreak/>
        <w:t>aż do śmierci</w:t>
      </w:r>
      <w:r w:rsidRPr="005631A4">
        <w:rPr>
          <w:vertAlign w:val="superscript"/>
        </w:rPr>
        <w:footnoteReference w:id="76"/>
      </w:r>
      <w:r w:rsidRPr="005631A4">
        <w:t>.</w:t>
      </w:r>
      <w:r w:rsidRPr="005631A4">
        <w:rPr>
          <w:rFonts w:ascii="Calibri" w:eastAsia="Times New Roman" w:hAnsi="Calibri" w:cs="Arial"/>
          <w:lang w:eastAsia="pl-PL"/>
        </w:rPr>
        <w:t xml:space="preserve"> </w:t>
      </w:r>
      <w:r w:rsidRPr="005631A4">
        <w:t>Wynika stąd, że opieka nad chorym z demencją spoczywa głównie na opiekunach wywodzących się z rodziny lub zaangażowanych przez rodzinę.</w:t>
      </w:r>
      <w:r w:rsidRPr="005631A4">
        <w:rPr>
          <w:rFonts w:ascii="Calibri" w:eastAsia="Times New Roman" w:hAnsi="Calibri" w:cs="Arial"/>
          <w:lang w:eastAsia="pl-PL"/>
        </w:rPr>
        <w:t xml:space="preserve"> Biorąc pod uwagę aktualny zakres formalnych usług opiekuńczych dla tej grupy pacjentów można przypuszczać, że struktura opieki nad nimi w ciągu ostatniej dekady nie uległa poprawie.</w:t>
      </w:r>
    </w:p>
    <w:p w14:paraId="584BF7F2" w14:textId="77777777" w:rsidR="005631A4" w:rsidRPr="005631A4" w:rsidRDefault="005631A4" w:rsidP="005631A4">
      <w:pPr>
        <w:spacing w:after="120"/>
        <w:jc w:val="both"/>
      </w:pPr>
      <w:r w:rsidRPr="005631A4">
        <w:t>Opieka pozainstytucjonalna sprawowana w warunkach domowych obecnie głównie przez opiekunów nieformalnych wiąże się z dużym obciążeniem psychicznym i fizycznym opiekunów, którzy częstokroć nie dysponują dostateczną wiedzą i umiejętnościami, żeby właściwie ją sprawować. W dłuższej perspektywie sytuacja ta ma również negatywny wpływ na stan zdrowia samych opiekunów czy też inne aspekty ich życia (rodzinnego, zawodowego, społecznego itp.).</w:t>
      </w:r>
    </w:p>
    <w:p w14:paraId="7573E4D0" w14:textId="77777777" w:rsidR="005631A4" w:rsidRPr="005631A4" w:rsidRDefault="005631A4" w:rsidP="005631A4">
      <w:pPr>
        <w:spacing w:after="120"/>
        <w:jc w:val="both"/>
      </w:pPr>
      <w:r w:rsidRPr="005631A4">
        <w:rPr>
          <w:rFonts w:ascii="Calibri" w:hAnsi="Calibri"/>
        </w:rPr>
        <w:t>System ochrony zdrowia w obecnym kształcie nie obejmuje oddzieln</w:t>
      </w:r>
      <w:r w:rsidRPr="005631A4">
        <w:t>ie</w:t>
      </w:r>
      <w:r w:rsidRPr="005631A4">
        <w:rPr>
          <w:rFonts w:ascii="Calibri" w:hAnsi="Calibri"/>
        </w:rPr>
        <w:t xml:space="preserve"> dedykowanych tej grupie pacjentów świadczeń opiekuńczych uwzględniających ich potrzeby zdrowotne i perspektywy terapeutyczne. Z tego względu osoby te, w zależności od stadium choroby, są obejmowane różnymi rodzajami świadczeń opieki zdrowotnych – od świadczeń POZ i AOS, przez świadczenia opieki długoterminowej, po świadczenia psychiatryczne w warunkach szpitalnych. Brakuje natomiast kompleksowego podejścia i koordynacji opieki zdrowotnej pozwalającej </w:t>
      </w:r>
      <w:r w:rsidRPr="005631A4">
        <w:t>objąć pacjenta i jego rodzinę odpowiednim wsparciem w środowisku lokalnym.</w:t>
      </w:r>
    </w:p>
    <w:p w14:paraId="7A1E00F6" w14:textId="77777777" w:rsidR="005631A4" w:rsidRPr="005631A4" w:rsidRDefault="005631A4" w:rsidP="005631A4">
      <w:pPr>
        <w:keepNext/>
        <w:keepLines/>
        <w:spacing w:before="240" w:after="120"/>
        <w:jc w:val="both"/>
        <w:outlineLvl w:val="4"/>
        <w:rPr>
          <w:rFonts w:asciiTheme="majorHAnsi" w:eastAsiaTheme="majorEastAsia" w:hAnsiTheme="majorHAnsi" w:cstheme="majorBidi"/>
          <w:i/>
          <w:color w:val="2E74B5" w:themeColor="accent1" w:themeShade="BF"/>
          <w:sz w:val="23"/>
        </w:rPr>
      </w:pPr>
      <w:r w:rsidRPr="005631A4">
        <w:rPr>
          <w:rFonts w:asciiTheme="majorHAnsi" w:eastAsiaTheme="majorEastAsia" w:hAnsiTheme="majorHAnsi" w:cstheme="majorBidi"/>
          <w:i/>
          <w:color w:val="2E74B5" w:themeColor="accent1" w:themeShade="BF"/>
          <w:sz w:val="23"/>
        </w:rPr>
        <w:t>Rezultat 1</w:t>
      </w:r>
    </w:p>
    <w:p w14:paraId="6C17D1E1" w14:textId="77777777" w:rsidR="005631A4" w:rsidRPr="005631A4" w:rsidRDefault="005631A4" w:rsidP="005631A4">
      <w:pPr>
        <w:keepNext/>
        <w:keepLines/>
        <w:shd w:val="clear" w:color="auto" w:fill="BDD6EE" w:themeFill="accent1" w:themeFillTint="66"/>
        <w:spacing w:before="180" w:after="120"/>
        <w:ind w:left="284"/>
        <w:jc w:val="both"/>
        <w:outlineLvl w:val="5"/>
        <w:rPr>
          <w:rFonts w:eastAsiaTheme="majorEastAsia" w:cstheme="majorBidi"/>
          <w:b/>
        </w:rPr>
      </w:pPr>
      <w:r w:rsidRPr="005631A4">
        <w:rPr>
          <w:rFonts w:eastAsia="Times New Roman" w:cstheme="majorBidi"/>
          <w:b/>
        </w:rPr>
        <w:t>Stworzenie sieci DDOM funkcjonujących w ramach świadczeń gwarantowanych z zakresu opieki długoterminowej – do końca 2030 r</w:t>
      </w:r>
      <w:r w:rsidRPr="005631A4">
        <w:rPr>
          <w:rFonts w:eastAsiaTheme="majorEastAsia" w:cstheme="majorBidi"/>
          <w:b/>
        </w:rPr>
        <w:t>.</w:t>
      </w:r>
    </w:p>
    <w:p w14:paraId="68DB8FF5" w14:textId="77777777" w:rsidR="005631A4" w:rsidRPr="005631A4" w:rsidRDefault="005631A4" w:rsidP="005631A4">
      <w:pPr>
        <w:keepNext/>
        <w:keepLines/>
        <w:spacing w:before="240" w:after="120"/>
        <w:jc w:val="both"/>
        <w:outlineLvl w:val="4"/>
        <w:rPr>
          <w:rFonts w:asciiTheme="majorHAnsi" w:eastAsiaTheme="majorEastAsia" w:hAnsiTheme="majorHAnsi" w:cstheme="majorBidi"/>
          <w:i/>
          <w:color w:val="2E74B5" w:themeColor="accent1" w:themeShade="BF"/>
          <w:sz w:val="23"/>
        </w:rPr>
      </w:pPr>
      <w:r w:rsidRPr="005631A4">
        <w:rPr>
          <w:rFonts w:asciiTheme="majorHAnsi" w:eastAsiaTheme="majorEastAsia" w:hAnsiTheme="majorHAnsi" w:cstheme="majorBidi"/>
          <w:bCs/>
          <w:i/>
          <w:color w:val="2E74B5" w:themeColor="accent1" w:themeShade="BF"/>
          <w:sz w:val="23"/>
        </w:rPr>
        <w:t xml:space="preserve"> </w:t>
      </w:r>
      <w:r w:rsidRPr="005631A4">
        <w:rPr>
          <w:rFonts w:asciiTheme="majorHAnsi" w:eastAsiaTheme="majorEastAsia" w:hAnsiTheme="majorHAnsi" w:cstheme="majorBidi"/>
          <w:i/>
          <w:color w:val="2E74B5" w:themeColor="accent1" w:themeShade="BF"/>
          <w:sz w:val="23"/>
        </w:rPr>
        <w:t>Działania</w:t>
      </w:r>
    </w:p>
    <w:p w14:paraId="4A2EA782" w14:textId="4CB813B2" w:rsidR="005631A4" w:rsidRPr="005631A4" w:rsidRDefault="005631A4" w:rsidP="005631A4">
      <w:pPr>
        <w:keepNext/>
        <w:keepLines/>
        <w:numPr>
          <w:ilvl w:val="0"/>
          <w:numId w:val="25"/>
        </w:numPr>
        <w:shd w:val="clear" w:color="auto" w:fill="DEEAF6" w:themeFill="accent1" w:themeFillTint="33"/>
        <w:spacing w:before="180" w:after="120"/>
        <w:ind w:left="567" w:hanging="283"/>
        <w:jc w:val="both"/>
        <w:outlineLvl w:val="5"/>
        <w:rPr>
          <w:rFonts w:eastAsiaTheme="minorEastAsia"/>
          <w:b/>
          <w:bCs/>
          <w:lang w:eastAsia="pl-PL"/>
        </w:rPr>
      </w:pPr>
      <w:r w:rsidRPr="005631A4">
        <w:rPr>
          <w:rFonts w:eastAsia="Times New Roman" w:cstheme="majorBidi"/>
          <w:b/>
          <w:lang w:eastAsia="pl-PL"/>
        </w:rPr>
        <w:t xml:space="preserve">Włączenie świadczeń opieki zdrowotnej w DDOM do systemu </w:t>
      </w:r>
      <w:r w:rsidRPr="005631A4">
        <w:rPr>
          <w:rFonts w:eastAsiaTheme="majorEastAsia" w:cstheme="majorBidi"/>
          <w:b/>
        </w:rPr>
        <w:t>świadczeń gwarantowanych z</w:t>
      </w:r>
      <w:r w:rsidR="00553468">
        <w:rPr>
          <w:rFonts w:eastAsiaTheme="majorEastAsia" w:cstheme="majorBidi"/>
          <w:b/>
        </w:rPr>
        <w:t> </w:t>
      </w:r>
      <w:r w:rsidRPr="005631A4">
        <w:rPr>
          <w:rFonts w:eastAsiaTheme="majorEastAsia" w:cstheme="majorBidi"/>
          <w:b/>
        </w:rPr>
        <w:t xml:space="preserve">zakresu świadczeń pielęgnacyjnych i opiekuńczych w ramach opieki długoterminowej </w:t>
      </w:r>
      <w:r w:rsidRPr="005631A4">
        <w:rPr>
          <w:rFonts w:eastAsia="Times New Roman" w:cstheme="majorBidi"/>
          <w:b/>
          <w:lang w:eastAsia="pl-PL"/>
        </w:rPr>
        <w:t>– do</w:t>
      </w:r>
      <w:r w:rsidR="00553468">
        <w:rPr>
          <w:rFonts w:eastAsia="Times New Roman" w:cstheme="majorBidi"/>
          <w:b/>
          <w:lang w:eastAsia="pl-PL"/>
        </w:rPr>
        <w:t> </w:t>
      </w:r>
      <w:r w:rsidRPr="005631A4">
        <w:rPr>
          <w:rFonts w:eastAsia="Times New Roman" w:cstheme="majorBidi"/>
          <w:b/>
          <w:lang w:eastAsia="pl-PL"/>
        </w:rPr>
        <w:t>końca 2020 r.</w:t>
      </w:r>
    </w:p>
    <w:p w14:paraId="7ADD0994" w14:textId="77777777" w:rsidR="005631A4" w:rsidRPr="005631A4" w:rsidRDefault="005631A4" w:rsidP="005631A4">
      <w:pPr>
        <w:spacing w:after="120"/>
        <w:ind w:left="567"/>
        <w:jc w:val="both"/>
        <w:rPr>
          <w:rFonts w:ascii="Calibri" w:hAnsi="Calibri"/>
        </w:rPr>
      </w:pPr>
      <w:r w:rsidRPr="005631A4">
        <w:rPr>
          <w:rFonts w:ascii="Calibri" w:hAnsi="Calibri"/>
        </w:rPr>
        <w:t>W celu włączenia świadczeń opieki zdrowotnej w DDOM do systemu świadczeń gwarantowanych planuje się wprowadzenie stosownych zmian w rozporządzeniu Ministra Zdrowia w sprawie świadczeń pielęgnacyjnych i opiekuńczych w ramach opieki długoterminowej w zakresie uwzględnienia opieki dziennej udzielanej w DDOM jako elementu całości opieki długoterminowej.</w:t>
      </w:r>
    </w:p>
    <w:p w14:paraId="0CC56D6D" w14:textId="77777777" w:rsidR="005631A4" w:rsidRPr="005631A4" w:rsidRDefault="005631A4" w:rsidP="005631A4">
      <w:pPr>
        <w:keepNext/>
        <w:keepLines/>
        <w:numPr>
          <w:ilvl w:val="0"/>
          <w:numId w:val="25"/>
        </w:numPr>
        <w:shd w:val="clear" w:color="auto" w:fill="DEEAF6" w:themeFill="accent1" w:themeFillTint="33"/>
        <w:spacing w:before="180" w:after="120"/>
        <w:ind w:left="567" w:hanging="283"/>
        <w:jc w:val="both"/>
        <w:outlineLvl w:val="5"/>
        <w:rPr>
          <w:rFonts w:eastAsiaTheme="minorEastAsia" w:cstheme="majorBidi"/>
          <w:b/>
        </w:rPr>
      </w:pPr>
      <w:r w:rsidRPr="005631A4">
        <w:rPr>
          <w:rFonts w:eastAsiaTheme="majorEastAsia" w:cstheme="majorBidi"/>
          <w:b/>
        </w:rPr>
        <w:t xml:space="preserve">Umożliwienie istniejącym DDOM ubiegania się o finansowanie w ramach świadczeń gwarantowanych opieki długoterminowej realizowanych w warunkach dziennych – do końca 2030 r. </w:t>
      </w:r>
    </w:p>
    <w:p w14:paraId="0D03AF6A" w14:textId="77777777" w:rsidR="005631A4" w:rsidRPr="005631A4" w:rsidRDefault="005631A4" w:rsidP="005631A4">
      <w:pPr>
        <w:spacing w:after="120"/>
        <w:ind w:left="567"/>
        <w:jc w:val="both"/>
        <w:rPr>
          <w:rFonts w:ascii="Calibri" w:hAnsi="Calibri"/>
          <w:color w:val="000000" w:themeColor="text1"/>
        </w:rPr>
      </w:pPr>
      <w:r w:rsidRPr="005631A4">
        <w:rPr>
          <w:rFonts w:ascii="Calibri" w:hAnsi="Calibri"/>
          <w:color w:val="000000" w:themeColor="text1"/>
        </w:rPr>
        <w:t>Planuje się, że dzienna opieka zdrowotna udzielana w DDOM będzie mogła zostać sfinansowana w ramach świadczeń pielęgnacyjnych i opiekuńczych opieki długoterminowej finansowanych ze środków NFZ.</w:t>
      </w:r>
    </w:p>
    <w:p w14:paraId="616D2D8D" w14:textId="77777777" w:rsidR="005631A4" w:rsidRPr="005631A4" w:rsidRDefault="005631A4" w:rsidP="005631A4">
      <w:pPr>
        <w:keepNext/>
        <w:keepLines/>
        <w:numPr>
          <w:ilvl w:val="0"/>
          <w:numId w:val="25"/>
        </w:numPr>
        <w:shd w:val="clear" w:color="auto" w:fill="DEEAF6" w:themeFill="accent1" w:themeFillTint="33"/>
        <w:spacing w:before="180" w:after="120"/>
        <w:ind w:left="567" w:hanging="283"/>
        <w:jc w:val="both"/>
        <w:outlineLvl w:val="5"/>
        <w:rPr>
          <w:rFonts w:eastAsiaTheme="majorEastAsia" w:cstheme="majorBidi"/>
          <w:b/>
        </w:rPr>
      </w:pPr>
      <w:r w:rsidRPr="005631A4">
        <w:rPr>
          <w:rFonts w:eastAsiaTheme="majorEastAsia" w:cstheme="majorBidi"/>
          <w:b/>
        </w:rPr>
        <w:t xml:space="preserve">Dalszy rozwój sieci DDOM </w:t>
      </w:r>
      <w:r w:rsidRPr="005631A4">
        <w:rPr>
          <w:rFonts w:ascii="Calibri" w:eastAsia="Calibri" w:hAnsi="Calibri" w:cs="Calibri"/>
          <w:b/>
          <w:color w:val="881798"/>
        </w:rPr>
        <w:t>–</w:t>
      </w:r>
      <w:r w:rsidRPr="005631A4">
        <w:rPr>
          <w:rFonts w:eastAsiaTheme="majorEastAsia" w:cstheme="majorBidi"/>
          <w:b/>
        </w:rPr>
        <w:t xml:space="preserve"> do końca 2030 r.</w:t>
      </w:r>
    </w:p>
    <w:p w14:paraId="34797555" w14:textId="77777777" w:rsidR="005631A4" w:rsidRPr="005631A4" w:rsidRDefault="005631A4" w:rsidP="005631A4">
      <w:pPr>
        <w:spacing w:after="360"/>
        <w:ind w:left="567"/>
        <w:jc w:val="both"/>
      </w:pPr>
      <w:r w:rsidRPr="005631A4">
        <w:t>W kolejnych latach planuje się dalszy rozwój sieci DDOM, zarówno w ramach świadczeń p</w:t>
      </w:r>
      <w:r w:rsidRPr="005631A4">
        <w:rPr>
          <w:rFonts w:ascii="Calibri" w:hAnsi="Calibri"/>
          <w:color w:val="000000" w:themeColor="text1"/>
        </w:rPr>
        <w:t xml:space="preserve">ielęgnacyjnych i opiekuńczych w ramach opieki długoterminowej finansowanych ze środków NFZ, jak również poprzez rozbudowę infrastruktury sieci DDOM w ramach dofinansowania ze </w:t>
      </w:r>
      <w:r w:rsidRPr="005631A4">
        <w:rPr>
          <w:rFonts w:ascii="Calibri" w:hAnsi="Calibri"/>
          <w:color w:val="000000" w:themeColor="text1"/>
        </w:rPr>
        <w:lastRenderedPageBreak/>
        <w:t xml:space="preserve">środków unijnych na uruchomienie </w:t>
      </w:r>
      <w:r w:rsidRPr="005631A4">
        <w:rPr>
          <w:spacing w:val="-2"/>
        </w:rPr>
        <w:t>dodatkowych usług nieujętych w ramach świadczeń gwarantowanych, w tym działania inwestycyjne czy dostosowanie lub doposażenie pomieszczeń.</w:t>
      </w:r>
    </w:p>
    <w:tbl>
      <w:tblPr>
        <w:tblStyle w:val="Tabela-Siatka"/>
        <w:tblW w:w="10064"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445"/>
        <w:gridCol w:w="1032"/>
        <w:gridCol w:w="691"/>
        <w:gridCol w:w="691"/>
        <w:gridCol w:w="691"/>
        <w:gridCol w:w="691"/>
        <w:gridCol w:w="691"/>
        <w:gridCol w:w="691"/>
        <w:gridCol w:w="691"/>
        <w:gridCol w:w="666"/>
        <w:gridCol w:w="693"/>
        <w:gridCol w:w="696"/>
        <w:gridCol w:w="695"/>
      </w:tblGrid>
      <w:tr w:rsidR="005631A4" w:rsidRPr="005631A4" w14:paraId="663704E4" w14:textId="77777777" w:rsidTr="005631A4">
        <w:trPr>
          <w:jc w:val="center"/>
        </w:trPr>
        <w:tc>
          <w:tcPr>
            <w:tcW w:w="10064" w:type="dxa"/>
            <w:gridSpan w:val="13"/>
            <w:shd w:val="clear" w:color="auto" w:fill="65A2D9"/>
            <w:vAlign w:val="center"/>
          </w:tcPr>
          <w:p w14:paraId="32970211" w14:textId="77777777" w:rsidR="005631A4" w:rsidRPr="005631A4" w:rsidRDefault="005631A4" w:rsidP="005631A4">
            <w:pPr>
              <w:spacing w:before="60" w:after="60"/>
              <w:jc w:val="both"/>
              <w:rPr>
                <w:b/>
                <w:bCs/>
              </w:rPr>
            </w:pPr>
            <w:r w:rsidRPr="005631A4">
              <w:rPr>
                <w:b/>
                <w:bCs/>
                <w:sz w:val="24"/>
                <w:szCs w:val="24"/>
              </w:rPr>
              <w:t>REZULTAT 1</w:t>
            </w:r>
          </w:p>
        </w:tc>
      </w:tr>
      <w:tr w:rsidR="005631A4" w:rsidRPr="005631A4" w14:paraId="6E783BCC" w14:textId="77777777" w:rsidTr="005631A4">
        <w:trPr>
          <w:jc w:val="center"/>
        </w:trPr>
        <w:tc>
          <w:tcPr>
            <w:tcW w:w="1445" w:type="dxa"/>
            <w:vMerge w:val="restart"/>
            <w:shd w:val="clear" w:color="auto" w:fill="9CC2E5" w:themeFill="accent1" w:themeFillTint="99"/>
            <w:vAlign w:val="center"/>
          </w:tcPr>
          <w:p w14:paraId="67C379F0" w14:textId="77777777" w:rsidR="005631A4" w:rsidRPr="005631A4" w:rsidRDefault="005631A4" w:rsidP="00CE3D48">
            <w:pPr>
              <w:spacing w:before="60" w:after="60"/>
              <w:jc w:val="center"/>
              <w:rPr>
                <w:b/>
                <w:bCs/>
              </w:rPr>
            </w:pPr>
            <w:r w:rsidRPr="005631A4">
              <w:rPr>
                <w:b/>
                <w:bCs/>
              </w:rPr>
              <w:t>Termin realizacji działań</w:t>
            </w:r>
          </w:p>
        </w:tc>
        <w:tc>
          <w:tcPr>
            <w:tcW w:w="1032" w:type="dxa"/>
            <w:shd w:val="clear" w:color="auto" w:fill="9CC2E5" w:themeFill="accent1" w:themeFillTint="99"/>
            <w:vAlign w:val="center"/>
          </w:tcPr>
          <w:p w14:paraId="5129E798" w14:textId="77777777" w:rsidR="005631A4" w:rsidRPr="005631A4" w:rsidRDefault="005631A4" w:rsidP="005631A4">
            <w:pPr>
              <w:spacing w:before="60" w:after="60"/>
              <w:jc w:val="center"/>
            </w:pPr>
            <w:r w:rsidRPr="005631A4">
              <w:t>Nr działania</w:t>
            </w:r>
          </w:p>
        </w:tc>
        <w:tc>
          <w:tcPr>
            <w:tcW w:w="691" w:type="dxa"/>
            <w:shd w:val="clear" w:color="auto" w:fill="9CC2E5" w:themeFill="accent1" w:themeFillTint="99"/>
            <w:vAlign w:val="center"/>
          </w:tcPr>
          <w:p w14:paraId="4FA69247" w14:textId="77777777" w:rsidR="005631A4" w:rsidRPr="005631A4" w:rsidRDefault="005631A4" w:rsidP="005631A4">
            <w:pPr>
              <w:spacing w:before="60" w:after="60"/>
              <w:jc w:val="both"/>
            </w:pPr>
            <w:r w:rsidRPr="005631A4">
              <w:t>2020</w:t>
            </w:r>
          </w:p>
        </w:tc>
        <w:tc>
          <w:tcPr>
            <w:tcW w:w="691" w:type="dxa"/>
            <w:shd w:val="clear" w:color="auto" w:fill="9CC2E5" w:themeFill="accent1" w:themeFillTint="99"/>
            <w:vAlign w:val="center"/>
          </w:tcPr>
          <w:p w14:paraId="44468263" w14:textId="77777777" w:rsidR="005631A4" w:rsidRPr="005631A4" w:rsidRDefault="005631A4" w:rsidP="005631A4">
            <w:pPr>
              <w:spacing w:before="60" w:after="60"/>
              <w:jc w:val="both"/>
            </w:pPr>
            <w:r w:rsidRPr="005631A4">
              <w:t>2021</w:t>
            </w:r>
          </w:p>
        </w:tc>
        <w:tc>
          <w:tcPr>
            <w:tcW w:w="691" w:type="dxa"/>
            <w:shd w:val="clear" w:color="auto" w:fill="9CC2E5" w:themeFill="accent1" w:themeFillTint="99"/>
            <w:vAlign w:val="center"/>
          </w:tcPr>
          <w:p w14:paraId="6004EC93" w14:textId="77777777" w:rsidR="005631A4" w:rsidRPr="005631A4" w:rsidRDefault="005631A4" w:rsidP="005631A4">
            <w:pPr>
              <w:spacing w:before="60" w:after="60"/>
              <w:jc w:val="both"/>
            </w:pPr>
            <w:r w:rsidRPr="005631A4">
              <w:t>2022</w:t>
            </w:r>
          </w:p>
        </w:tc>
        <w:tc>
          <w:tcPr>
            <w:tcW w:w="691" w:type="dxa"/>
            <w:shd w:val="clear" w:color="auto" w:fill="9CC2E5" w:themeFill="accent1" w:themeFillTint="99"/>
            <w:vAlign w:val="center"/>
          </w:tcPr>
          <w:p w14:paraId="37F4B0B9" w14:textId="77777777" w:rsidR="005631A4" w:rsidRPr="005631A4" w:rsidRDefault="005631A4" w:rsidP="005631A4">
            <w:pPr>
              <w:spacing w:before="60" w:after="60"/>
              <w:jc w:val="both"/>
            </w:pPr>
            <w:r w:rsidRPr="005631A4">
              <w:t>2023</w:t>
            </w:r>
          </w:p>
        </w:tc>
        <w:tc>
          <w:tcPr>
            <w:tcW w:w="691" w:type="dxa"/>
            <w:shd w:val="clear" w:color="auto" w:fill="9CC2E5" w:themeFill="accent1" w:themeFillTint="99"/>
            <w:vAlign w:val="center"/>
          </w:tcPr>
          <w:p w14:paraId="412C8392" w14:textId="77777777" w:rsidR="005631A4" w:rsidRPr="005631A4" w:rsidRDefault="005631A4" w:rsidP="005631A4">
            <w:pPr>
              <w:spacing w:before="60" w:after="60"/>
              <w:jc w:val="both"/>
            </w:pPr>
            <w:r w:rsidRPr="005631A4">
              <w:t>2024</w:t>
            </w:r>
          </w:p>
        </w:tc>
        <w:tc>
          <w:tcPr>
            <w:tcW w:w="691" w:type="dxa"/>
            <w:shd w:val="clear" w:color="auto" w:fill="9CC2E5" w:themeFill="accent1" w:themeFillTint="99"/>
            <w:vAlign w:val="center"/>
          </w:tcPr>
          <w:p w14:paraId="63C05420" w14:textId="77777777" w:rsidR="005631A4" w:rsidRPr="005631A4" w:rsidRDefault="005631A4" w:rsidP="005631A4">
            <w:pPr>
              <w:spacing w:before="60" w:after="60"/>
              <w:jc w:val="both"/>
            </w:pPr>
            <w:r w:rsidRPr="005631A4">
              <w:t>2025</w:t>
            </w:r>
          </w:p>
        </w:tc>
        <w:tc>
          <w:tcPr>
            <w:tcW w:w="691" w:type="dxa"/>
            <w:shd w:val="clear" w:color="auto" w:fill="9CC2E5" w:themeFill="accent1" w:themeFillTint="99"/>
            <w:vAlign w:val="center"/>
          </w:tcPr>
          <w:p w14:paraId="64683287" w14:textId="77777777" w:rsidR="005631A4" w:rsidRPr="005631A4" w:rsidRDefault="005631A4" w:rsidP="005631A4">
            <w:pPr>
              <w:spacing w:before="60" w:after="60"/>
              <w:jc w:val="both"/>
            </w:pPr>
            <w:r w:rsidRPr="005631A4">
              <w:t>2026</w:t>
            </w:r>
          </w:p>
        </w:tc>
        <w:tc>
          <w:tcPr>
            <w:tcW w:w="666" w:type="dxa"/>
            <w:shd w:val="clear" w:color="auto" w:fill="9CC2E5" w:themeFill="accent1" w:themeFillTint="99"/>
            <w:vAlign w:val="center"/>
          </w:tcPr>
          <w:p w14:paraId="0C675C42" w14:textId="77777777" w:rsidR="005631A4" w:rsidRPr="005631A4" w:rsidRDefault="005631A4" w:rsidP="005631A4">
            <w:pPr>
              <w:spacing w:before="60" w:after="60"/>
              <w:jc w:val="both"/>
            </w:pPr>
            <w:r w:rsidRPr="005631A4">
              <w:t>2027</w:t>
            </w:r>
          </w:p>
        </w:tc>
        <w:tc>
          <w:tcPr>
            <w:tcW w:w="693" w:type="dxa"/>
            <w:shd w:val="clear" w:color="auto" w:fill="9CC2E5" w:themeFill="accent1" w:themeFillTint="99"/>
            <w:vAlign w:val="center"/>
          </w:tcPr>
          <w:p w14:paraId="744B0313" w14:textId="77777777" w:rsidR="005631A4" w:rsidRPr="005631A4" w:rsidRDefault="005631A4" w:rsidP="005631A4">
            <w:pPr>
              <w:spacing w:before="60" w:after="60"/>
              <w:jc w:val="both"/>
            </w:pPr>
            <w:r w:rsidRPr="005631A4">
              <w:t>2028</w:t>
            </w:r>
          </w:p>
        </w:tc>
        <w:tc>
          <w:tcPr>
            <w:tcW w:w="696" w:type="dxa"/>
            <w:shd w:val="clear" w:color="auto" w:fill="9CC2E5" w:themeFill="accent1" w:themeFillTint="99"/>
            <w:vAlign w:val="center"/>
          </w:tcPr>
          <w:p w14:paraId="7CC1EB75" w14:textId="77777777" w:rsidR="005631A4" w:rsidRPr="005631A4" w:rsidRDefault="005631A4" w:rsidP="005631A4">
            <w:pPr>
              <w:spacing w:before="60" w:after="60"/>
              <w:jc w:val="both"/>
            </w:pPr>
            <w:r w:rsidRPr="005631A4">
              <w:t>2029</w:t>
            </w:r>
          </w:p>
        </w:tc>
        <w:tc>
          <w:tcPr>
            <w:tcW w:w="695" w:type="dxa"/>
            <w:shd w:val="clear" w:color="auto" w:fill="9CC2E5" w:themeFill="accent1" w:themeFillTint="99"/>
            <w:vAlign w:val="center"/>
          </w:tcPr>
          <w:p w14:paraId="3672D593" w14:textId="77777777" w:rsidR="005631A4" w:rsidRPr="005631A4" w:rsidRDefault="005631A4" w:rsidP="005631A4">
            <w:pPr>
              <w:spacing w:before="60" w:after="60"/>
              <w:jc w:val="both"/>
            </w:pPr>
            <w:r w:rsidRPr="005631A4">
              <w:t>2030</w:t>
            </w:r>
          </w:p>
        </w:tc>
      </w:tr>
      <w:tr w:rsidR="005631A4" w:rsidRPr="005631A4" w14:paraId="1A992B2F" w14:textId="77777777" w:rsidTr="005631A4">
        <w:trPr>
          <w:jc w:val="center"/>
        </w:trPr>
        <w:tc>
          <w:tcPr>
            <w:tcW w:w="1445" w:type="dxa"/>
            <w:vMerge/>
            <w:vAlign w:val="center"/>
          </w:tcPr>
          <w:p w14:paraId="159AE152" w14:textId="77777777" w:rsidR="005631A4" w:rsidRPr="005631A4" w:rsidRDefault="005631A4" w:rsidP="00CE3D48">
            <w:pPr>
              <w:spacing w:before="60" w:after="60"/>
              <w:jc w:val="center"/>
              <w:rPr>
                <w:b/>
                <w:bCs/>
              </w:rPr>
            </w:pPr>
          </w:p>
        </w:tc>
        <w:tc>
          <w:tcPr>
            <w:tcW w:w="1032" w:type="dxa"/>
            <w:shd w:val="clear" w:color="auto" w:fill="BDD6EE" w:themeFill="accent1" w:themeFillTint="66"/>
            <w:vAlign w:val="center"/>
          </w:tcPr>
          <w:p w14:paraId="71C2C2F4" w14:textId="77777777" w:rsidR="005631A4" w:rsidRPr="005631A4" w:rsidRDefault="005631A4" w:rsidP="005631A4">
            <w:pPr>
              <w:spacing w:before="60" w:after="60"/>
              <w:jc w:val="center"/>
            </w:pPr>
            <w:r w:rsidRPr="005631A4">
              <w:t>1.</w:t>
            </w:r>
          </w:p>
        </w:tc>
        <w:tc>
          <w:tcPr>
            <w:tcW w:w="691" w:type="dxa"/>
            <w:shd w:val="clear" w:color="auto" w:fill="BDD6EE" w:themeFill="accent1" w:themeFillTint="66"/>
            <w:vAlign w:val="center"/>
          </w:tcPr>
          <w:p w14:paraId="57BE055F" w14:textId="513CF2E1" w:rsidR="005631A4" w:rsidRPr="005631A4" w:rsidRDefault="005631A4" w:rsidP="005631A4">
            <w:pPr>
              <w:spacing w:before="60" w:after="60"/>
              <w:jc w:val="center"/>
            </w:pPr>
          </w:p>
        </w:tc>
        <w:tc>
          <w:tcPr>
            <w:tcW w:w="691" w:type="dxa"/>
            <w:shd w:val="clear" w:color="auto" w:fill="DEEAF6" w:themeFill="accent1" w:themeFillTint="33"/>
            <w:vAlign w:val="center"/>
          </w:tcPr>
          <w:p w14:paraId="2FE0FBBC" w14:textId="77777777" w:rsidR="005631A4" w:rsidRPr="005631A4" w:rsidRDefault="005631A4" w:rsidP="005631A4">
            <w:pPr>
              <w:spacing w:before="60" w:after="60"/>
              <w:jc w:val="center"/>
            </w:pPr>
          </w:p>
        </w:tc>
        <w:tc>
          <w:tcPr>
            <w:tcW w:w="691" w:type="dxa"/>
            <w:shd w:val="clear" w:color="auto" w:fill="DEEAF6" w:themeFill="accent1" w:themeFillTint="33"/>
            <w:vAlign w:val="center"/>
          </w:tcPr>
          <w:p w14:paraId="65261630" w14:textId="77777777" w:rsidR="005631A4" w:rsidRPr="005631A4" w:rsidRDefault="005631A4" w:rsidP="005631A4">
            <w:pPr>
              <w:spacing w:before="60" w:after="60"/>
              <w:jc w:val="center"/>
            </w:pPr>
          </w:p>
        </w:tc>
        <w:tc>
          <w:tcPr>
            <w:tcW w:w="691" w:type="dxa"/>
            <w:shd w:val="clear" w:color="auto" w:fill="DEEAF6" w:themeFill="accent1" w:themeFillTint="33"/>
            <w:vAlign w:val="center"/>
          </w:tcPr>
          <w:p w14:paraId="012E26CD" w14:textId="77777777" w:rsidR="005631A4" w:rsidRPr="005631A4" w:rsidRDefault="005631A4" w:rsidP="005631A4">
            <w:pPr>
              <w:spacing w:before="60" w:after="60"/>
              <w:jc w:val="center"/>
            </w:pPr>
          </w:p>
        </w:tc>
        <w:tc>
          <w:tcPr>
            <w:tcW w:w="691" w:type="dxa"/>
            <w:shd w:val="clear" w:color="auto" w:fill="DEEAF6" w:themeFill="accent1" w:themeFillTint="33"/>
            <w:vAlign w:val="center"/>
          </w:tcPr>
          <w:p w14:paraId="62934782" w14:textId="77777777" w:rsidR="005631A4" w:rsidRPr="005631A4" w:rsidRDefault="005631A4" w:rsidP="005631A4">
            <w:pPr>
              <w:spacing w:before="60" w:after="60"/>
              <w:jc w:val="center"/>
            </w:pPr>
          </w:p>
        </w:tc>
        <w:tc>
          <w:tcPr>
            <w:tcW w:w="691" w:type="dxa"/>
            <w:shd w:val="clear" w:color="auto" w:fill="DEEAF6" w:themeFill="accent1" w:themeFillTint="33"/>
            <w:vAlign w:val="center"/>
          </w:tcPr>
          <w:p w14:paraId="472B398B" w14:textId="77777777" w:rsidR="005631A4" w:rsidRPr="005631A4" w:rsidRDefault="005631A4" w:rsidP="005631A4">
            <w:pPr>
              <w:spacing w:before="60" w:after="60"/>
              <w:jc w:val="center"/>
            </w:pPr>
          </w:p>
        </w:tc>
        <w:tc>
          <w:tcPr>
            <w:tcW w:w="691" w:type="dxa"/>
            <w:shd w:val="clear" w:color="auto" w:fill="DEEAF6" w:themeFill="accent1" w:themeFillTint="33"/>
            <w:vAlign w:val="center"/>
          </w:tcPr>
          <w:p w14:paraId="604B5D57" w14:textId="77777777" w:rsidR="005631A4" w:rsidRPr="005631A4" w:rsidRDefault="005631A4" w:rsidP="005631A4">
            <w:pPr>
              <w:spacing w:before="60" w:after="60"/>
              <w:jc w:val="center"/>
            </w:pPr>
          </w:p>
        </w:tc>
        <w:tc>
          <w:tcPr>
            <w:tcW w:w="666" w:type="dxa"/>
            <w:shd w:val="clear" w:color="auto" w:fill="DEEAF6" w:themeFill="accent1" w:themeFillTint="33"/>
          </w:tcPr>
          <w:p w14:paraId="4648B643" w14:textId="77777777" w:rsidR="005631A4" w:rsidRPr="005631A4" w:rsidRDefault="005631A4" w:rsidP="005631A4">
            <w:pPr>
              <w:spacing w:before="60" w:after="60"/>
              <w:jc w:val="center"/>
            </w:pPr>
          </w:p>
        </w:tc>
        <w:tc>
          <w:tcPr>
            <w:tcW w:w="693" w:type="dxa"/>
            <w:shd w:val="clear" w:color="auto" w:fill="DEEAF6" w:themeFill="accent1" w:themeFillTint="33"/>
          </w:tcPr>
          <w:p w14:paraId="6E84F224" w14:textId="77777777" w:rsidR="005631A4" w:rsidRPr="005631A4" w:rsidRDefault="005631A4" w:rsidP="005631A4">
            <w:pPr>
              <w:spacing w:before="60" w:after="60"/>
              <w:jc w:val="center"/>
            </w:pPr>
          </w:p>
        </w:tc>
        <w:tc>
          <w:tcPr>
            <w:tcW w:w="696" w:type="dxa"/>
            <w:shd w:val="clear" w:color="auto" w:fill="DEEAF6" w:themeFill="accent1" w:themeFillTint="33"/>
          </w:tcPr>
          <w:p w14:paraId="7D4A4C0E" w14:textId="77777777" w:rsidR="005631A4" w:rsidRPr="005631A4" w:rsidRDefault="005631A4" w:rsidP="005631A4">
            <w:pPr>
              <w:spacing w:before="60" w:after="60"/>
              <w:jc w:val="center"/>
            </w:pPr>
          </w:p>
        </w:tc>
        <w:tc>
          <w:tcPr>
            <w:tcW w:w="695" w:type="dxa"/>
            <w:shd w:val="clear" w:color="auto" w:fill="DEEAF6" w:themeFill="accent1" w:themeFillTint="33"/>
          </w:tcPr>
          <w:p w14:paraId="2654B464" w14:textId="77777777" w:rsidR="005631A4" w:rsidRPr="005631A4" w:rsidRDefault="005631A4" w:rsidP="005631A4">
            <w:pPr>
              <w:spacing w:before="60" w:after="60"/>
              <w:jc w:val="center"/>
            </w:pPr>
          </w:p>
        </w:tc>
      </w:tr>
      <w:tr w:rsidR="005631A4" w:rsidRPr="005631A4" w14:paraId="39345761" w14:textId="77777777" w:rsidTr="005631A4">
        <w:trPr>
          <w:jc w:val="center"/>
        </w:trPr>
        <w:tc>
          <w:tcPr>
            <w:tcW w:w="1445" w:type="dxa"/>
            <w:vMerge/>
            <w:vAlign w:val="center"/>
          </w:tcPr>
          <w:p w14:paraId="011A6F2A" w14:textId="77777777" w:rsidR="005631A4" w:rsidRPr="005631A4" w:rsidRDefault="005631A4" w:rsidP="00CE3D48">
            <w:pPr>
              <w:spacing w:before="60" w:after="60"/>
              <w:jc w:val="center"/>
              <w:rPr>
                <w:b/>
                <w:bCs/>
              </w:rPr>
            </w:pPr>
          </w:p>
        </w:tc>
        <w:tc>
          <w:tcPr>
            <w:tcW w:w="1032" w:type="dxa"/>
            <w:shd w:val="clear" w:color="auto" w:fill="BDD6EE" w:themeFill="accent1" w:themeFillTint="66"/>
            <w:vAlign w:val="center"/>
          </w:tcPr>
          <w:p w14:paraId="6E273D80" w14:textId="77777777" w:rsidR="005631A4" w:rsidRPr="005631A4" w:rsidRDefault="005631A4" w:rsidP="005631A4">
            <w:pPr>
              <w:spacing w:before="60" w:after="60"/>
              <w:jc w:val="center"/>
            </w:pPr>
            <w:r w:rsidRPr="005631A4">
              <w:t>2.</w:t>
            </w:r>
          </w:p>
        </w:tc>
        <w:tc>
          <w:tcPr>
            <w:tcW w:w="691" w:type="dxa"/>
            <w:shd w:val="clear" w:color="auto" w:fill="DEEAF6" w:themeFill="accent1" w:themeFillTint="33"/>
            <w:vAlign w:val="center"/>
          </w:tcPr>
          <w:p w14:paraId="726F4DE3" w14:textId="77777777" w:rsidR="005631A4" w:rsidRPr="005631A4" w:rsidRDefault="005631A4" w:rsidP="005631A4">
            <w:pPr>
              <w:spacing w:before="60" w:after="60"/>
              <w:jc w:val="center"/>
            </w:pPr>
          </w:p>
        </w:tc>
        <w:tc>
          <w:tcPr>
            <w:tcW w:w="691" w:type="dxa"/>
            <w:shd w:val="clear" w:color="auto" w:fill="BDD6EE" w:themeFill="accent1" w:themeFillTint="66"/>
            <w:vAlign w:val="center"/>
          </w:tcPr>
          <w:p w14:paraId="330BE28B" w14:textId="77777777" w:rsidR="005631A4" w:rsidRPr="005631A4" w:rsidRDefault="005631A4" w:rsidP="005631A4">
            <w:pPr>
              <w:spacing w:before="60" w:after="60"/>
              <w:jc w:val="center"/>
              <w:rPr>
                <w:sz w:val="16"/>
                <w:szCs w:val="16"/>
              </w:rPr>
            </w:pPr>
          </w:p>
        </w:tc>
        <w:tc>
          <w:tcPr>
            <w:tcW w:w="691" w:type="dxa"/>
            <w:shd w:val="clear" w:color="auto" w:fill="BDD6EE" w:themeFill="accent1" w:themeFillTint="66"/>
            <w:vAlign w:val="center"/>
          </w:tcPr>
          <w:p w14:paraId="69FEC9AE" w14:textId="77777777" w:rsidR="005631A4" w:rsidRPr="005631A4" w:rsidRDefault="005631A4" w:rsidP="005631A4">
            <w:pPr>
              <w:spacing w:before="60" w:after="60"/>
              <w:jc w:val="center"/>
              <w:rPr>
                <w:sz w:val="16"/>
                <w:szCs w:val="16"/>
              </w:rPr>
            </w:pPr>
          </w:p>
        </w:tc>
        <w:tc>
          <w:tcPr>
            <w:tcW w:w="691" w:type="dxa"/>
            <w:shd w:val="clear" w:color="auto" w:fill="BDD6EE" w:themeFill="accent1" w:themeFillTint="66"/>
            <w:vAlign w:val="center"/>
          </w:tcPr>
          <w:p w14:paraId="6E8C1A95" w14:textId="77777777" w:rsidR="005631A4" w:rsidRPr="005631A4" w:rsidRDefault="005631A4" w:rsidP="005631A4">
            <w:pPr>
              <w:spacing w:before="60" w:after="60"/>
              <w:jc w:val="center"/>
              <w:rPr>
                <w:sz w:val="16"/>
                <w:szCs w:val="16"/>
              </w:rPr>
            </w:pPr>
          </w:p>
        </w:tc>
        <w:tc>
          <w:tcPr>
            <w:tcW w:w="691" w:type="dxa"/>
            <w:shd w:val="clear" w:color="auto" w:fill="BDD6EE" w:themeFill="accent1" w:themeFillTint="66"/>
            <w:vAlign w:val="center"/>
          </w:tcPr>
          <w:p w14:paraId="0FE4C86F" w14:textId="77777777" w:rsidR="005631A4" w:rsidRPr="005631A4" w:rsidRDefault="005631A4" w:rsidP="005631A4">
            <w:pPr>
              <w:spacing w:before="60" w:after="60"/>
              <w:jc w:val="center"/>
              <w:rPr>
                <w:sz w:val="16"/>
                <w:szCs w:val="16"/>
              </w:rPr>
            </w:pPr>
          </w:p>
        </w:tc>
        <w:tc>
          <w:tcPr>
            <w:tcW w:w="691" w:type="dxa"/>
            <w:shd w:val="clear" w:color="auto" w:fill="BDD6EE" w:themeFill="accent1" w:themeFillTint="66"/>
            <w:vAlign w:val="center"/>
          </w:tcPr>
          <w:p w14:paraId="56E9F901" w14:textId="77777777" w:rsidR="005631A4" w:rsidRPr="005631A4" w:rsidRDefault="005631A4" w:rsidP="005631A4">
            <w:pPr>
              <w:spacing w:before="60" w:after="60"/>
              <w:jc w:val="center"/>
              <w:rPr>
                <w:sz w:val="16"/>
                <w:szCs w:val="16"/>
              </w:rPr>
            </w:pPr>
          </w:p>
        </w:tc>
        <w:tc>
          <w:tcPr>
            <w:tcW w:w="691" w:type="dxa"/>
            <w:shd w:val="clear" w:color="auto" w:fill="BDD6EE" w:themeFill="accent1" w:themeFillTint="66"/>
            <w:vAlign w:val="center"/>
          </w:tcPr>
          <w:p w14:paraId="69027B6B" w14:textId="77777777" w:rsidR="005631A4" w:rsidRPr="005631A4" w:rsidRDefault="005631A4" w:rsidP="005631A4">
            <w:pPr>
              <w:spacing w:before="60" w:after="60"/>
              <w:jc w:val="center"/>
              <w:rPr>
                <w:sz w:val="16"/>
                <w:szCs w:val="16"/>
              </w:rPr>
            </w:pPr>
          </w:p>
        </w:tc>
        <w:tc>
          <w:tcPr>
            <w:tcW w:w="666" w:type="dxa"/>
            <w:shd w:val="clear" w:color="auto" w:fill="BDD6EE" w:themeFill="accent1" w:themeFillTint="66"/>
          </w:tcPr>
          <w:p w14:paraId="1F45B2D5" w14:textId="77777777" w:rsidR="005631A4" w:rsidRPr="005631A4" w:rsidRDefault="005631A4" w:rsidP="005631A4">
            <w:pPr>
              <w:spacing w:before="60" w:after="60"/>
              <w:jc w:val="center"/>
              <w:rPr>
                <w:sz w:val="16"/>
                <w:szCs w:val="16"/>
              </w:rPr>
            </w:pPr>
          </w:p>
        </w:tc>
        <w:tc>
          <w:tcPr>
            <w:tcW w:w="693" w:type="dxa"/>
            <w:shd w:val="clear" w:color="auto" w:fill="BDD6EE" w:themeFill="accent1" w:themeFillTint="66"/>
          </w:tcPr>
          <w:p w14:paraId="4FEA4BA0" w14:textId="77777777" w:rsidR="005631A4" w:rsidRPr="005631A4" w:rsidRDefault="005631A4" w:rsidP="005631A4">
            <w:pPr>
              <w:spacing w:before="60" w:after="60"/>
              <w:jc w:val="center"/>
              <w:rPr>
                <w:sz w:val="16"/>
                <w:szCs w:val="16"/>
              </w:rPr>
            </w:pPr>
          </w:p>
        </w:tc>
        <w:tc>
          <w:tcPr>
            <w:tcW w:w="696" w:type="dxa"/>
            <w:shd w:val="clear" w:color="auto" w:fill="BDD6EE" w:themeFill="accent1" w:themeFillTint="66"/>
          </w:tcPr>
          <w:p w14:paraId="6A642671" w14:textId="77777777" w:rsidR="005631A4" w:rsidRPr="005631A4" w:rsidRDefault="005631A4" w:rsidP="005631A4">
            <w:pPr>
              <w:spacing w:before="60" w:after="60"/>
              <w:jc w:val="center"/>
              <w:rPr>
                <w:sz w:val="16"/>
                <w:szCs w:val="16"/>
              </w:rPr>
            </w:pPr>
          </w:p>
        </w:tc>
        <w:tc>
          <w:tcPr>
            <w:tcW w:w="695" w:type="dxa"/>
            <w:shd w:val="clear" w:color="auto" w:fill="BDD6EE" w:themeFill="accent1" w:themeFillTint="66"/>
          </w:tcPr>
          <w:p w14:paraId="1F23BDC8" w14:textId="77777777" w:rsidR="005631A4" w:rsidRPr="005631A4" w:rsidRDefault="005631A4" w:rsidP="005631A4">
            <w:pPr>
              <w:spacing w:before="60" w:after="60"/>
              <w:jc w:val="center"/>
              <w:rPr>
                <w:sz w:val="16"/>
                <w:szCs w:val="16"/>
              </w:rPr>
            </w:pPr>
          </w:p>
        </w:tc>
      </w:tr>
      <w:tr w:rsidR="005631A4" w:rsidRPr="005631A4" w14:paraId="299A67FE" w14:textId="77777777" w:rsidTr="005631A4">
        <w:trPr>
          <w:jc w:val="center"/>
        </w:trPr>
        <w:tc>
          <w:tcPr>
            <w:tcW w:w="1445" w:type="dxa"/>
            <w:vMerge/>
            <w:vAlign w:val="center"/>
          </w:tcPr>
          <w:p w14:paraId="28090725" w14:textId="77777777" w:rsidR="005631A4" w:rsidRPr="005631A4" w:rsidRDefault="005631A4" w:rsidP="00CE3D48">
            <w:pPr>
              <w:spacing w:before="60" w:after="60"/>
              <w:jc w:val="center"/>
              <w:rPr>
                <w:b/>
                <w:bCs/>
              </w:rPr>
            </w:pPr>
          </w:p>
        </w:tc>
        <w:tc>
          <w:tcPr>
            <w:tcW w:w="1032" w:type="dxa"/>
            <w:shd w:val="clear" w:color="auto" w:fill="BDD6EE" w:themeFill="accent1" w:themeFillTint="66"/>
            <w:vAlign w:val="center"/>
          </w:tcPr>
          <w:p w14:paraId="7D63E749" w14:textId="77777777" w:rsidR="005631A4" w:rsidRPr="005631A4" w:rsidRDefault="005631A4" w:rsidP="005631A4">
            <w:pPr>
              <w:spacing w:before="60" w:after="60"/>
              <w:jc w:val="center"/>
            </w:pPr>
            <w:r w:rsidRPr="005631A4">
              <w:t>3.</w:t>
            </w:r>
          </w:p>
        </w:tc>
        <w:tc>
          <w:tcPr>
            <w:tcW w:w="691" w:type="dxa"/>
            <w:shd w:val="clear" w:color="auto" w:fill="DEEAF6" w:themeFill="accent1" w:themeFillTint="33"/>
            <w:vAlign w:val="center"/>
          </w:tcPr>
          <w:p w14:paraId="7CACDB58" w14:textId="77777777" w:rsidR="005631A4" w:rsidRPr="005631A4" w:rsidRDefault="005631A4" w:rsidP="005631A4">
            <w:pPr>
              <w:spacing w:before="60" w:after="60"/>
              <w:jc w:val="center"/>
            </w:pPr>
          </w:p>
        </w:tc>
        <w:tc>
          <w:tcPr>
            <w:tcW w:w="691" w:type="dxa"/>
            <w:shd w:val="clear" w:color="auto" w:fill="BDD6EE" w:themeFill="accent1" w:themeFillTint="66"/>
            <w:vAlign w:val="center"/>
          </w:tcPr>
          <w:p w14:paraId="0E67BAAE" w14:textId="77777777" w:rsidR="005631A4" w:rsidRPr="005631A4" w:rsidRDefault="005631A4" w:rsidP="005631A4">
            <w:pPr>
              <w:spacing w:before="60" w:after="60"/>
              <w:jc w:val="center"/>
            </w:pPr>
          </w:p>
        </w:tc>
        <w:tc>
          <w:tcPr>
            <w:tcW w:w="691" w:type="dxa"/>
            <w:shd w:val="clear" w:color="auto" w:fill="BDD6EE" w:themeFill="accent1" w:themeFillTint="66"/>
            <w:vAlign w:val="center"/>
          </w:tcPr>
          <w:p w14:paraId="3C71547E" w14:textId="77777777" w:rsidR="005631A4" w:rsidRPr="005631A4" w:rsidRDefault="005631A4" w:rsidP="005631A4">
            <w:pPr>
              <w:spacing w:before="60" w:after="60"/>
              <w:jc w:val="center"/>
            </w:pPr>
          </w:p>
        </w:tc>
        <w:tc>
          <w:tcPr>
            <w:tcW w:w="691" w:type="dxa"/>
            <w:shd w:val="clear" w:color="auto" w:fill="BDD6EE" w:themeFill="accent1" w:themeFillTint="66"/>
            <w:vAlign w:val="center"/>
          </w:tcPr>
          <w:p w14:paraId="62C330DA" w14:textId="77777777" w:rsidR="005631A4" w:rsidRPr="005631A4" w:rsidRDefault="005631A4" w:rsidP="005631A4">
            <w:pPr>
              <w:spacing w:before="60" w:after="60"/>
              <w:jc w:val="center"/>
            </w:pPr>
          </w:p>
        </w:tc>
        <w:tc>
          <w:tcPr>
            <w:tcW w:w="691" w:type="dxa"/>
            <w:shd w:val="clear" w:color="auto" w:fill="BDD6EE" w:themeFill="accent1" w:themeFillTint="66"/>
            <w:vAlign w:val="center"/>
          </w:tcPr>
          <w:p w14:paraId="7535F52E" w14:textId="77777777" w:rsidR="005631A4" w:rsidRPr="005631A4" w:rsidRDefault="005631A4" w:rsidP="005631A4">
            <w:pPr>
              <w:spacing w:before="60" w:after="60"/>
              <w:jc w:val="center"/>
            </w:pPr>
          </w:p>
        </w:tc>
        <w:tc>
          <w:tcPr>
            <w:tcW w:w="691" w:type="dxa"/>
            <w:shd w:val="clear" w:color="auto" w:fill="BDD6EE" w:themeFill="accent1" w:themeFillTint="66"/>
            <w:vAlign w:val="center"/>
          </w:tcPr>
          <w:p w14:paraId="320BEBAF" w14:textId="77777777" w:rsidR="005631A4" w:rsidRPr="005631A4" w:rsidRDefault="005631A4" w:rsidP="005631A4">
            <w:pPr>
              <w:spacing w:before="60" w:after="60"/>
              <w:jc w:val="center"/>
            </w:pPr>
          </w:p>
        </w:tc>
        <w:tc>
          <w:tcPr>
            <w:tcW w:w="691" w:type="dxa"/>
            <w:shd w:val="clear" w:color="auto" w:fill="BDD6EE" w:themeFill="accent1" w:themeFillTint="66"/>
            <w:vAlign w:val="center"/>
          </w:tcPr>
          <w:p w14:paraId="0E5D69BA" w14:textId="77777777" w:rsidR="005631A4" w:rsidRPr="005631A4" w:rsidRDefault="005631A4" w:rsidP="005631A4">
            <w:pPr>
              <w:spacing w:before="60" w:after="60"/>
              <w:jc w:val="center"/>
            </w:pPr>
          </w:p>
        </w:tc>
        <w:tc>
          <w:tcPr>
            <w:tcW w:w="666" w:type="dxa"/>
            <w:shd w:val="clear" w:color="auto" w:fill="BDD6EE" w:themeFill="accent1" w:themeFillTint="66"/>
          </w:tcPr>
          <w:p w14:paraId="30ADAD2F" w14:textId="77777777" w:rsidR="005631A4" w:rsidRPr="005631A4" w:rsidRDefault="005631A4" w:rsidP="005631A4">
            <w:pPr>
              <w:spacing w:before="60" w:after="60"/>
              <w:jc w:val="center"/>
            </w:pPr>
          </w:p>
        </w:tc>
        <w:tc>
          <w:tcPr>
            <w:tcW w:w="693" w:type="dxa"/>
            <w:shd w:val="clear" w:color="auto" w:fill="BDD6EE" w:themeFill="accent1" w:themeFillTint="66"/>
          </w:tcPr>
          <w:p w14:paraId="11D9A8C9" w14:textId="77777777" w:rsidR="005631A4" w:rsidRPr="005631A4" w:rsidRDefault="005631A4" w:rsidP="005631A4">
            <w:pPr>
              <w:spacing w:before="60" w:after="60"/>
              <w:jc w:val="center"/>
            </w:pPr>
          </w:p>
        </w:tc>
        <w:tc>
          <w:tcPr>
            <w:tcW w:w="696" w:type="dxa"/>
            <w:shd w:val="clear" w:color="auto" w:fill="BDD6EE" w:themeFill="accent1" w:themeFillTint="66"/>
          </w:tcPr>
          <w:p w14:paraId="662CF026" w14:textId="77777777" w:rsidR="005631A4" w:rsidRPr="005631A4" w:rsidRDefault="005631A4" w:rsidP="005631A4">
            <w:pPr>
              <w:spacing w:before="60" w:after="60"/>
              <w:jc w:val="center"/>
            </w:pPr>
          </w:p>
        </w:tc>
        <w:tc>
          <w:tcPr>
            <w:tcW w:w="695" w:type="dxa"/>
            <w:shd w:val="clear" w:color="auto" w:fill="BDD6EE" w:themeFill="accent1" w:themeFillTint="66"/>
          </w:tcPr>
          <w:p w14:paraId="6505C66E" w14:textId="77777777" w:rsidR="005631A4" w:rsidRPr="005631A4" w:rsidRDefault="005631A4" w:rsidP="005631A4">
            <w:pPr>
              <w:spacing w:before="60" w:after="60"/>
              <w:jc w:val="center"/>
            </w:pPr>
          </w:p>
        </w:tc>
      </w:tr>
      <w:tr w:rsidR="005631A4" w:rsidRPr="005631A4" w14:paraId="60A1C1DE" w14:textId="77777777" w:rsidTr="005631A4">
        <w:trPr>
          <w:jc w:val="center"/>
        </w:trPr>
        <w:tc>
          <w:tcPr>
            <w:tcW w:w="1445" w:type="dxa"/>
            <w:shd w:val="clear" w:color="auto" w:fill="9CC2E5" w:themeFill="accent1" w:themeFillTint="99"/>
            <w:vAlign w:val="center"/>
          </w:tcPr>
          <w:p w14:paraId="239442AF" w14:textId="77777777" w:rsidR="005631A4" w:rsidRPr="005631A4" w:rsidRDefault="005631A4" w:rsidP="00CE3D48">
            <w:pPr>
              <w:spacing w:before="60" w:after="60"/>
              <w:jc w:val="center"/>
              <w:rPr>
                <w:b/>
                <w:bCs/>
              </w:rPr>
            </w:pPr>
            <w:r w:rsidRPr="005631A4">
              <w:rPr>
                <w:b/>
                <w:bCs/>
              </w:rPr>
              <w:t>Indykatywne źródła finansowania</w:t>
            </w:r>
          </w:p>
        </w:tc>
        <w:tc>
          <w:tcPr>
            <w:tcW w:w="8619" w:type="dxa"/>
            <w:gridSpan w:val="12"/>
            <w:shd w:val="clear" w:color="auto" w:fill="DEEAF6" w:themeFill="accent1" w:themeFillTint="33"/>
            <w:vAlign w:val="center"/>
          </w:tcPr>
          <w:p w14:paraId="09CEEB06" w14:textId="77777777" w:rsidR="005631A4" w:rsidRPr="005631A4" w:rsidRDefault="005631A4" w:rsidP="00A545BB">
            <w:pPr>
              <w:numPr>
                <w:ilvl w:val="0"/>
                <w:numId w:val="32"/>
              </w:numPr>
              <w:ind w:left="284" w:hanging="284"/>
              <w:jc w:val="both"/>
            </w:pPr>
            <w:r w:rsidRPr="005631A4">
              <w:t>Działanie bezkosztowe</w:t>
            </w:r>
          </w:p>
          <w:p w14:paraId="621B088A" w14:textId="77777777" w:rsidR="005631A4" w:rsidRPr="005631A4" w:rsidRDefault="005631A4" w:rsidP="00A545BB">
            <w:pPr>
              <w:numPr>
                <w:ilvl w:val="0"/>
                <w:numId w:val="32"/>
              </w:numPr>
              <w:ind w:left="284" w:hanging="284"/>
              <w:jc w:val="both"/>
            </w:pPr>
            <w:r w:rsidRPr="005631A4">
              <w:t>Budżet NFZ</w:t>
            </w:r>
          </w:p>
          <w:p w14:paraId="42237B49" w14:textId="4F53394B" w:rsidR="005631A4" w:rsidRPr="005631A4" w:rsidRDefault="005B77E7" w:rsidP="00A545BB">
            <w:pPr>
              <w:numPr>
                <w:ilvl w:val="0"/>
                <w:numId w:val="32"/>
              </w:numPr>
              <w:ind w:left="284" w:hanging="284"/>
              <w:jc w:val="both"/>
              <w:rPr>
                <w:spacing w:val="-2"/>
              </w:rPr>
            </w:pPr>
            <w:r w:rsidRPr="005B77E7">
              <w:t>Finansowanie ze środków Europejskich</w:t>
            </w:r>
            <w:r w:rsidRPr="00996DE4">
              <w:rPr>
                <w:rFonts w:eastAsia="Times New Roman" w:cs="Calibri"/>
                <w:sz w:val="18"/>
                <w:szCs w:val="18"/>
                <w:lang w:eastAsia="pl-PL"/>
              </w:rPr>
              <w:t xml:space="preserve"> </w:t>
            </w:r>
            <w:r w:rsidR="005631A4" w:rsidRPr="005631A4">
              <w:rPr>
                <w:spacing w:val="-2"/>
              </w:rPr>
              <w:t>(inwestycje, dostosowanie pomieszczeń, wyposażenie, dodatkowe usługi nieujęte w ramach świadczeń gwarantowanych)</w:t>
            </w:r>
          </w:p>
          <w:p w14:paraId="663D8199" w14:textId="77777777" w:rsidR="005631A4" w:rsidRPr="005631A4" w:rsidRDefault="005631A4" w:rsidP="00A545BB">
            <w:pPr>
              <w:ind w:left="284"/>
              <w:jc w:val="both"/>
            </w:pPr>
            <w:r w:rsidRPr="005631A4">
              <w:t>Budżet NFZ (finansowanie świadczeń)</w:t>
            </w:r>
          </w:p>
        </w:tc>
      </w:tr>
      <w:tr w:rsidR="005631A4" w:rsidRPr="005631A4" w14:paraId="5A253338" w14:textId="77777777" w:rsidTr="005631A4">
        <w:trPr>
          <w:trHeight w:val="518"/>
          <w:jc w:val="center"/>
        </w:trPr>
        <w:tc>
          <w:tcPr>
            <w:tcW w:w="1445" w:type="dxa"/>
            <w:shd w:val="clear" w:color="auto" w:fill="9CC2E5" w:themeFill="accent1" w:themeFillTint="99"/>
            <w:vAlign w:val="center"/>
          </w:tcPr>
          <w:p w14:paraId="38974215" w14:textId="77777777" w:rsidR="005631A4" w:rsidRPr="005631A4" w:rsidRDefault="005631A4" w:rsidP="00CE3D48">
            <w:pPr>
              <w:spacing w:before="60" w:after="60"/>
              <w:jc w:val="center"/>
              <w:rPr>
                <w:b/>
                <w:bCs/>
              </w:rPr>
            </w:pPr>
            <w:r w:rsidRPr="005631A4">
              <w:rPr>
                <w:b/>
                <w:bCs/>
              </w:rPr>
              <w:t>Koordynacja</w:t>
            </w:r>
          </w:p>
        </w:tc>
        <w:tc>
          <w:tcPr>
            <w:tcW w:w="8619" w:type="dxa"/>
            <w:gridSpan w:val="12"/>
            <w:shd w:val="clear" w:color="auto" w:fill="DEEAF6" w:themeFill="accent1" w:themeFillTint="33"/>
            <w:vAlign w:val="center"/>
          </w:tcPr>
          <w:p w14:paraId="1DCEF0B4" w14:textId="77777777" w:rsidR="005631A4" w:rsidRPr="005631A4" w:rsidRDefault="005631A4" w:rsidP="00A545BB">
            <w:pPr>
              <w:numPr>
                <w:ilvl w:val="1"/>
                <w:numId w:val="35"/>
              </w:numPr>
              <w:ind w:left="284" w:hanging="284"/>
              <w:jc w:val="both"/>
            </w:pPr>
            <w:r w:rsidRPr="005631A4">
              <w:t>MZ we współpracy z NFZ</w:t>
            </w:r>
          </w:p>
          <w:p w14:paraId="26F4F166" w14:textId="77777777" w:rsidR="005631A4" w:rsidRPr="005631A4" w:rsidRDefault="005631A4" w:rsidP="00A545BB">
            <w:pPr>
              <w:numPr>
                <w:ilvl w:val="1"/>
                <w:numId w:val="35"/>
              </w:numPr>
              <w:ind w:left="284" w:hanging="284"/>
              <w:jc w:val="both"/>
            </w:pPr>
            <w:r w:rsidRPr="005631A4">
              <w:t>NFZ</w:t>
            </w:r>
          </w:p>
          <w:p w14:paraId="1DDD9EE3" w14:textId="5452ECFE" w:rsidR="005631A4" w:rsidRPr="005631A4" w:rsidRDefault="005631A4" w:rsidP="00A545BB">
            <w:pPr>
              <w:numPr>
                <w:ilvl w:val="1"/>
                <w:numId w:val="35"/>
              </w:numPr>
              <w:ind w:left="284" w:hanging="284"/>
              <w:jc w:val="both"/>
            </w:pPr>
            <w:r w:rsidRPr="005631A4">
              <w:t>IZ RPO</w:t>
            </w:r>
            <w:r w:rsidR="005B77E7">
              <w:t>/KPO</w:t>
            </w:r>
            <w:r w:rsidRPr="005631A4">
              <w:t>, NFZ</w:t>
            </w:r>
          </w:p>
        </w:tc>
      </w:tr>
    </w:tbl>
    <w:p w14:paraId="602AD37E" w14:textId="551D829F" w:rsidR="005631A4" w:rsidRDefault="005631A4" w:rsidP="005631A4">
      <w:pPr>
        <w:keepNext/>
        <w:keepLines/>
        <w:spacing w:before="240" w:after="120"/>
        <w:jc w:val="both"/>
        <w:outlineLvl w:val="4"/>
        <w:rPr>
          <w:rFonts w:asciiTheme="majorHAnsi" w:eastAsiaTheme="majorEastAsia" w:hAnsiTheme="majorHAnsi" w:cstheme="majorBidi"/>
          <w:i/>
          <w:color w:val="2E74B5" w:themeColor="accent1" w:themeShade="BF"/>
          <w:sz w:val="23"/>
        </w:rPr>
      </w:pPr>
      <w:r w:rsidRPr="005631A4">
        <w:rPr>
          <w:rFonts w:asciiTheme="majorHAnsi" w:eastAsiaTheme="majorEastAsia" w:hAnsiTheme="majorHAnsi" w:cstheme="majorBidi"/>
          <w:i/>
          <w:color w:val="2E74B5" w:themeColor="accent1" w:themeShade="BF"/>
          <w:sz w:val="23"/>
        </w:rPr>
        <w:t>Rezultat 2</w:t>
      </w:r>
    </w:p>
    <w:p w14:paraId="064E0B20" w14:textId="0C30930C" w:rsidR="003F0EEA" w:rsidRPr="005631A4" w:rsidRDefault="00D36EA7" w:rsidP="003F0EEA">
      <w:pPr>
        <w:keepNext/>
        <w:keepLines/>
        <w:shd w:val="clear" w:color="auto" w:fill="BDD6EE" w:themeFill="accent1" w:themeFillTint="66"/>
        <w:spacing w:before="180" w:after="120"/>
        <w:ind w:left="284"/>
        <w:jc w:val="both"/>
        <w:outlineLvl w:val="5"/>
        <w:rPr>
          <w:rFonts w:eastAsiaTheme="majorEastAsia" w:cstheme="majorBidi"/>
          <w:b/>
        </w:rPr>
      </w:pPr>
      <w:r w:rsidRPr="005631A4">
        <w:rPr>
          <w:rFonts w:ascii="Calibri" w:hAnsi="Calibri"/>
          <w:b/>
          <w:bCs/>
        </w:rPr>
        <w:t xml:space="preserve">Stworzenie systemu dziennego wsparcia dla osób z zaburzeniami otępiennymi i innymi przewlekłymi chorobami mózgu skutkującymi zaburzeniami pamięci oraz dla opiekunów tych osób </w:t>
      </w:r>
      <w:r w:rsidRPr="005631A4">
        <w:rPr>
          <w:rFonts w:ascii="Calibri" w:eastAsia="Calibri" w:hAnsi="Calibri" w:cs="Calibri"/>
          <w:b/>
          <w:bCs/>
        </w:rPr>
        <w:t>–</w:t>
      </w:r>
      <w:r w:rsidRPr="005631A4">
        <w:rPr>
          <w:rFonts w:ascii="Calibri" w:hAnsi="Calibri"/>
          <w:b/>
          <w:bCs/>
        </w:rPr>
        <w:t xml:space="preserve"> do końca 2030 r</w:t>
      </w:r>
      <w:r w:rsidR="003F0EEA" w:rsidRPr="005631A4">
        <w:rPr>
          <w:rFonts w:eastAsiaTheme="majorEastAsia" w:cstheme="majorBidi"/>
          <w:b/>
        </w:rPr>
        <w:t>.</w:t>
      </w:r>
    </w:p>
    <w:p w14:paraId="3A9712E5" w14:textId="77777777" w:rsidR="005631A4" w:rsidRPr="005631A4" w:rsidRDefault="005631A4" w:rsidP="005631A4">
      <w:pPr>
        <w:keepNext/>
        <w:keepLines/>
        <w:spacing w:before="240" w:after="120"/>
        <w:jc w:val="both"/>
        <w:outlineLvl w:val="4"/>
        <w:rPr>
          <w:rFonts w:asciiTheme="majorHAnsi" w:eastAsiaTheme="majorEastAsia" w:hAnsiTheme="majorHAnsi" w:cstheme="majorBidi"/>
          <w:i/>
          <w:color w:val="2E74B5" w:themeColor="accent1" w:themeShade="BF"/>
          <w:sz w:val="23"/>
        </w:rPr>
      </w:pPr>
      <w:r w:rsidRPr="005631A4">
        <w:rPr>
          <w:rFonts w:asciiTheme="majorHAnsi" w:eastAsiaTheme="majorEastAsia" w:hAnsiTheme="majorHAnsi" w:cstheme="majorBidi"/>
          <w:i/>
          <w:color w:val="2E74B5" w:themeColor="accent1" w:themeShade="BF"/>
          <w:sz w:val="23"/>
        </w:rPr>
        <w:t>Działania</w:t>
      </w:r>
    </w:p>
    <w:p w14:paraId="405970DE" w14:textId="68BC89C9" w:rsidR="00D36EA7" w:rsidRPr="005631A4" w:rsidRDefault="00D36EA7" w:rsidP="00D36EA7">
      <w:pPr>
        <w:keepNext/>
        <w:keepLines/>
        <w:numPr>
          <w:ilvl w:val="6"/>
          <w:numId w:val="29"/>
        </w:numPr>
        <w:shd w:val="clear" w:color="auto" w:fill="DEEAF6" w:themeFill="accent1" w:themeFillTint="33"/>
        <w:spacing w:before="180" w:after="120"/>
        <w:ind w:left="567" w:hanging="283"/>
        <w:jc w:val="both"/>
        <w:outlineLvl w:val="5"/>
        <w:rPr>
          <w:rFonts w:eastAsia="Times New Roman" w:cstheme="majorBidi"/>
          <w:b/>
          <w:lang w:eastAsia="pl-PL"/>
        </w:rPr>
      </w:pPr>
      <w:r w:rsidRPr="005631A4">
        <w:rPr>
          <w:b/>
          <w:bCs/>
        </w:rPr>
        <w:t>Opracowanie standardu Dziennych Centrów Wsparcia Pamięci – do końca 2022 r</w:t>
      </w:r>
      <w:r w:rsidRPr="005631A4">
        <w:rPr>
          <w:rFonts w:eastAsiaTheme="majorEastAsia" w:cstheme="majorBidi"/>
          <w:b/>
        </w:rPr>
        <w:t>.</w:t>
      </w:r>
    </w:p>
    <w:p w14:paraId="6FF5E28B" w14:textId="02D29BE6" w:rsidR="005631A4" w:rsidRDefault="005631A4" w:rsidP="005631A4">
      <w:pPr>
        <w:spacing w:after="120"/>
        <w:ind w:left="567"/>
        <w:jc w:val="both"/>
      </w:pPr>
      <w:r w:rsidRPr="005631A4">
        <w:t>Niezbędne jest opracowanie standardu realizacji usług medycznych w Dziennych Centrach Wsparcia Pamięci (DCWP), które następnie zostaną przetestowane w projektach pilotażowych.</w:t>
      </w:r>
      <w:r w:rsidR="00A4488F">
        <w:t xml:space="preserve"> Bazę do opracowania założeń </w:t>
      </w:r>
      <w:r w:rsidR="006C71A4">
        <w:t xml:space="preserve">ww. standardu </w:t>
      </w:r>
      <w:r w:rsidR="00A4488F">
        <w:t xml:space="preserve">stanowić będzie standard </w:t>
      </w:r>
      <w:r w:rsidR="006C71A4" w:rsidRPr="006C71A4">
        <w:t>Dziennego Domu Opieki Medycznej (DDOM)</w:t>
      </w:r>
      <w:r w:rsidR="006C71A4">
        <w:t>,</w:t>
      </w:r>
      <w:r w:rsidR="006C71A4" w:rsidRPr="006C71A4">
        <w:t xml:space="preserve"> </w:t>
      </w:r>
      <w:r w:rsidR="006C71A4">
        <w:t xml:space="preserve">przygotowany i przetestowany </w:t>
      </w:r>
      <w:r w:rsidR="006C71A4" w:rsidRPr="006C71A4">
        <w:t>w ramach PO WER</w:t>
      </w:r>
      <w:r w:rsidR="006C71A4">
        <w:t>.</w:t>
      </w:r>
      <w:r w:rsidR="00A4488F">
        <w:t xml:space="preserve"> </w:t>
      </w:r>
    </w:p>
    <w:p w14:paraId="4700F0A5" w14:textId="77777777" w:rsidR="005631A4" w:rsidRPr="005631A4" w:rsidRDefault="005631A4" w:rsidP="005631A4">
      <w:pPr>
        <w:keepNext/>
        <w:keepLines/>
        <w:numPr>
          <w:ilvl w:val="6"/>
          <w:numId w:val="29"/>
        </w:numPr>
        <w:shd w:val="clear" w:color="auto" w:fill="DEEAF6" w:themeFill="accent1" w:themeFillTint="33"/>
        <w:spacing w:before="180" w:after="120"/>
        <w:ind w:left="567" w:hanging="283"/>
        <w:jc w:val="both"/>
        <w:outlineLvl w:val="5"/>
        <w:rPr>
          <w:rFonts w:eastAsia="Times New Roman" w:cstheme="majorBidi"/>
          <w:b/>
          <w:lang w:eastAsia="pl-PL"/>
        </w:rPr>
      </w:pPr>
      <w:r w:rsidRPr="005631A4">
        <w:rPr>
          <w:rFonts w:eastAsiaTheme="majorEastAsia" w:cstheme="majorBidi"/>
          <w:b/>
        </w:rPr>
        <w:t>Przeprowadzenie 3-letniego pilotażu Dziennych Centrów Wsparcia Pamięci – do końca 2025 r.</w:t>
      </w:r>
    </w:p>
    <w:p w14:paraId="0A1CD76A" w14:textId="77777777" w:rsidR="005631A4" w:rsidRPr="005631A4" w:rsidRDefault="005631A4" w:rsidP="005631A4">
      <w:pPr>
        <w:suppressAutoHyphens/>
        <w:spacing w:after="120"/>
        <w:ind w:left="567"/>
        <w:jc w:val="both"/>
        <w:textAlignment w:val="baseline"/>
        <w:rPr>
          <w:rFonts w:ascii="Calibri" w:eastAsia="Calibri" w:hAnsi="Calibri" w:cs="Tahoma"/>
        </w:rPr>
      </w:pPr>
      <w:r w:rsidRPr="005631A4">
        <w:rPr>
          <w:rFonts w:eastAsia="Times New Roman" w:cs="Calibri"/>
          <w:szCs w:val="14"/>
          <w:lang w:eastAsia="pl-PL"/>
        </w:rPr>
        <w:t>Na podstawie opracowanego standardu wsparcia pacjentów i ich opiekunów w DCWP, planuje się pilotażowe uruchomienie tychże Centrów.</w:t>
      </w:r>
      <w:r w:rsidRPr="005631A4">
        <w:rPr>
          <w:rFonts w:eastAsia="Times New Roman" w:cs="Calibri"/>
          <w:bCs/>
          <w:szCs w:val="14"/>
          <w:lang w:eastAsia="pl-PL"/>
        </w:rPr>
        <w:t xml:space="preserve"> </w:t>
      </w:r>
      <w:r w:rsidRPr="005631A4">
        <w:rPr>
          <w:rFonts w:eastAsia="Times New Roman" w:cs="Calibri"/>
          <w:szCs w:val="14"/>
          <w:lang w:eastAsia="pl-PL"/>
        </w:rPr>
        <w:t>Pilotaż powinien objąć obszar wszystkich 16 województw kraju. Przewiduje się, że pilotaż DCWP byłby realizowany przez okres 3 lat, w trakcie którego w każdym województwie powstałoby co najmniej jedno DCWP.</w:t>
      </w:r>
    </w:p>
    <w:p w14:paraId="0F80BF73" w14:textId="0A180F85" w:rsidR="005631A4" w:rsidRPr="005631A4" w:rsidRDefault="005631A4" w:rsidP="005631A4">
      <w:pPr>
        <w:suppressAutoHyphens/>
        <w:spacing w:after="120"/>
        <w:ind w:left="567"/>
        <w:jc w:val="both"/>
        <w:textAlignment w:val="baseline"/>
        <w:rPr>
          <w:rFonts w:ascii="Calibri" w:eastAsia="Calibri" w:hAnsi="Calibri" w:cs="Tahoma"/>
        </w:rPr>
      </w:pPr>
      <w:r w:rsidRPr="005631A4">
        <w:rPr>
          <w:rFonts w:eastAsia="Times New Roman" w:cs="Calibri"/>
          <w:szCs w:val="14"/>
          <w:lang w:eastAsia="pl-PL"/>
        </w:rPr>
        <w:t xml:space="preserve">Każde z Centrów </w:t>
      </w:r>
      <w:r w:rsidR="007878AF">
        <w:rPr>
          <w:rFonts w:eastAsia="Times New Roman" w:cs="Calibri"/>
          <w:szCs w:val="14"/>
          <w:lang w:eastAsia="pl-PL"/>
        </w:rPr>
        <w:t>będzie</w:t>
      </w:r>
      <w:r w:rsidRPr="005631A4">
        <w:rPr>
          <w:rFonts w:eastAsia="Times New Roman" w:cs="Calibri"/>
          <w:szCs w:val="14"/>
          <w:lang w:eastAsia="pl-PL"/>
        </w:rPr>
        <w:t xml:space="preserve"> prowadzone przez podmiot leczniczy posiadający umowę o udzielanie świadczeń opieki zdrowotnej zawartą z oddziałem wojewódzkim Narodowego Funduszu Zdrowia.</w:t>
      </w:r>
    </w:p>
    <w:p w14:paraId="593D4C42" w14:textId="2E7B0613" w:rsidR="005631A4" w:rsidRPr="005631A4" w:rsidRDefault="005631A4" w:rsidP="005631A4">
      <w:pPr>
        <w:suppressAutoHyphens/>
        <w:spacing w:after="120"/>
        <w:ind w:left="567"/>
        <w:jc w:val="both"/>
        <w:textAlignment w:val="baseline"/>
        <w:rPr>
          <w:rFonts w:ascii="Calibri" w:eastAsia="Calibri" w:hAnsi="Calibri" w:cs="Tahoma"/>
        </w:rPr>
      </w:pPr>
      <w:r w:rsidRPr="005631A4">
        <w:rPr>
          <w:rFonts w:eastAsia="Times New Roman" w:cs="Calibri"/>
          <w:szCs w:val="14"/>
          <w:lang w:eastAsia="pl-PL"/>
        </w:rPr>
        <w:t xml:space="preserve">Świadczeniami opieki zdrowotnej realizowanymi przez DCWP </w:t>
      </w:r>
      <w:r w:rsidR="007878AF">
        <w:rPr>
          <w:rFonts w:eastAsia="Times New Roman" w:cs="Calibri"/>
          <w:szCs w:val="14"/>
          <w:lang w:eastAsia="pl-PL"/>
        </w:rPr>
        <w:t>zostaną objęte</w:t>
      </w:r>
      <w:r w:rsidRPr="005631A4">
        <w:rPr>
          <w:rFonts w:eastAsia="Times New Roman" w:cs="Calibri"/>
          <w:szCs w:val="14"/>
          <w:lang w:eastAsia="pl-PL"/>
        </w:rPr>
        <w:t xml:space="preserve"> osoby mające prawo do świadczeń opieki zdrowotnej finansowanych ze środków publicznych.</w:t>
      </w:r>
    </w:p>
    <w:p w14:paraId="1FA363A2" w14:textId="40A4DB32" w:rsidR="005631A4" w:rsidRPr="005631A4" w:rsidRDefault="005631A4" w:rsidP="005631A4">
      <w:pPr>
        <w:suppressAutoHyphens/>
        <w:spacing w:after="60"/>
        <w:ind w:left="567"/>
        <w:jc w:val="both"/>
        <w:textAlignment w:val="baseline"/>
        <w:rPr>
          <w:rFonts w:ascii="Calibri" w:eastAsia="Calibri" w:hAnsi="Calibri" w:cs="Tahoma"/>
        </w:rPr>
      </w:pPr>
      <w:r w:rsidRPr="005631A4">
        <w:rPr>
          <w:rFonts w:eastAsia="Times New Roman" w:cs="Calibri"/>
          <w:lang w:eastAsia="pl-PL"/>
        </w:rPr>
        <w:t xml:space="preserve">W ramach pilotażu </w:t>
      </w:r>
      <w:r w:rsidR="007878AF">
        <w:rPr>
          <w:rFonts w:eastAsia="Times New Roman" w:cs="Calibri"/>
          <w:lang w:eastAsia="pl-PL"/>
        </w:rPr>
        <w:t>zostaną</w:t>
      </w:r>
      <w:r w:rsidR="007878AF" w:rsidRPr="005631A4">
        <w:rPr>
          <w:rFonts w:eastAsia="Times New Roman" w:cs="Calibri"/>
          <w:lang w:eastAsia="pl-PL"/>
        </w:rPr>
        <w:t xml:space="preserve"> </w:t>
      </w:r>
      <w:r w:rsidRPr="005631A4">
        <w:rPr>
          <w:rFonts w:eastAsia="Times New Roman" w:cs="Calibri"/>
          <w:lang w:eastAsia="pl-PL"/>
        </w:rPr>
        <w:t>uruchomione następujące formy wsparcia:</w:t>
      </w:r>
    </w:p>
    <w:p w14:paraId="5A3207A8" w14:textId="77777777" w:rsidR="005631A4" w:rsidRPr="005631A4" w:rsidRDefault="005631A4" w:rsidP="005631A4">
      <w:pPr>
        <w:numPr>
          <w:ilvl w:val="0"/>
          <w:numId w:val="30"/>
        </w:numPr>
        <w:suppressAutoHyphens/>
        <w:spacing w:after="60"/>
        <w:ind w:left="1134" w:hanging="283"/>
        <w:jc w:val="both"/>
        <w:textAlignment w:val="baseline"/>
      </w:pPr>
      <w:r w:rsidRPr="005631A4">
        <w:rPr>
          <w:rFonts w:eastAsia="Times New Roman" w:cs="Calibri"/>
          <w:lang w:eastAsia="pl-PL"/>
        </w:rPr>
        <w:lastRenderedPageBreak/>
        <w:t>Dzienna opieka medyczna dla osób z chorobą Alzheimera lub innymi zaburzeniami otępiennymi oraz innymi przewlekłymi chorobami mózgu skutkującymi zaburzeniami pamięci;</w:t>
      </w:r>
    </w:p>
    <w:p w14:paraId="4C5C8EA6" w14:textId="77777777" w:rsidR="005631A4" w:rsidRPr="005631A4" w:rsidRDefault="005631A4" w:rsidP="005631A4">
      <w:pPr>
        <w:numPr>
          <w:ilvl w:val="0"/>
          <w:numId w:val="30"/>
        </w:numPr>
        <w:suppressAutoHyphens/>
        <w:spacing w:after="60"/>
        <w:ind w:left="1134" w:hanging="283"/>
        <w:jc w:val="both"/>
        <w:textAlignment w:val="baseline"/>
      </w:pPr>
      <w:r w:rsidRPr="005631A4">
        <w:rPr>
          <w:rFonts w:eastAsia="Times New Roman" w:cs="Calibri"/>
          <w:lang w:eastAsia="pl-PL"/>
        </w:rPr>
        <w:t>Edukacja opiekunów nieformalnych osób z chorobami otępiennymi albo innymi przewlekłymi chorobami mózgu skutkującymi zaburzeniami pamięci;</w:t>
      </w:r>
    </w:p>
    <w:p w14:paraId="15D94F3F" w14:textId="77777777" w:rsidR="005631A4" w:rsidRPr="005631A4" w:rsidRDefault="005631A4" w:rsidP="005631A4">
      <w:pPr>
        <w:numPr>
          <w:ilvl w:val="0"/>
          <w:numId w:val="30"/>
        </w:numPr>
        <w:suppressAutoHyphens/>
        <w:spacing w:after="60"/>
        <w:ind w:left="1134" w:hanging="283"/>
        <w:jc w:val="both"/>
        <w:textAlignment w:val="baseline"/>
      </w:pPr>
      <w:r w:rsidRPr="005631A4">
        <w:rPr>
          <w:rFonts w:eastAsia="Times New Roman" w:cs="Calibri"/>
          <w:lang w:eastAsia="pl-PL"/>
        </w:rPr>
        <w:t>Wsparcie psychologiczne dla opiekunów nieformalnych osób z chorobami otępiennymi albo innymi przewlekłymi chorobami mózgu skutkującymi zaburzeniami pamięci;</w:t>
      </w:r>
    </w:p>
    <w:p w14:paraId="4CC1EEAA" w14:textId="77777777" w:rsidR="005631A4" w:rsidRPr="005631A4" w:rsidRDefault="005631A4" w:rsidP="005631A4">
      <w:pPr>
        <w:numPr>
          <w:ilvl w:val="0"/>
          <w:numId w:val="30"/>
        </w:numPr>
        <w:suppressAutoHyphens/>
        <w:spacing w:after="60"/>
        <w:ind w:left="1134" w:hanging="283"/>
        <w:jc w:val="both"/>
        <w:textAlignment w:val="baseline"/>
      </w:pPr>
      <w:r w:rsidRPr="005631A4">
        <w:rPr>
          <w:rFonts w:eastAsia="Times New Roman" w:cs="Calibri"/>
          <w:lang w:eastAsia="pl-PL"/>
        </w:rPr>
        <w:t>Wstępne badania przesiewowe dla osób z objawami zaburzeń otępiennych;</w:t>
      </w:r>
    </w:p>
    <w:p w14:paraId="46EDD43D" w14:textId="77777777" w:rsidR="005631A4" w:rsidRPr="005631A4" w:rsidRDefault="005631A4" w:rsidP="005631A4">
      <w:pPr>
        <w:numPr>
          <w:ilvl w:val="0"/>
          <w:numId w:val="30"/>
        </w:numPr>
        <w:suppressAutoHyphens/>
        <w:spacing w:after="120"/>
        <w:ind w:left="1134" w:hanging="283"/>
        <w:jc w:val="both"/>
        <w:textAlignment w:val="baseline"/>
      </w:pPr>
      <w:r w:rsidRPr="005631A4">
        <w:rPr>
          <w:rFonts w:eastAsia="Times New Roman" w:cs="Calibri"/>
          <w:szCs w:val="14"/>
          <w:lang w:eastAsia="pl-PL"/>
        </w:rPr>
        <w:t>Punkt informacji na temat dostępnego wsparcia ze strony pomocy społecznej.</w:t>
      </w:r>
    </w:p>
    <w:p w14:paraId="2CF3F1E4" w14:textId="2920FAAE" w:rsidR="005631A4" w:rsidRPr="005631A4" w:rsidRDefault="005631A4" w:rsidP="005631A4">
      <w:pPr>
        <w:spacing w:after="120"/>
        <w:ind w:left="567"/>
        <w:jc w:val="both"/>
        <w:rPr>
          <w:rFonts w:eastAsia="Times New Roman" w:cs="Calibri"/>
          <w:szCs w:val="14"/>
          <w:lang w:eastAsia="pl-PL"/>
        </w:rPr>
      </w:pPr>
      <w:r w:rsidRPr="005631A4">
        <w:rPr>
          <w:rFonts w:eastAsia="Times New Roman" w:cs="Calibri"/>
          <w:szCs w:val="14"/>
          <w:lang w:eastAsia="pl-PL"/>
        </w:rPr>
        <w:t>DCWP zapewni chorym profesjonalną opiekę w ciągu dnia oraz wsparcie ich opiekunów nieformalnych, a także przyczyni się do poprawy dostępu do wczesnej diagnostyki i</w:t>
      </w:r>
      <w:r w:rsidR="00553468">
        <w:rPr>
          <w:rFonts w:eastAsia="Times New Roman" w:cs="Calibri"/>
          <w:szCs w:val="14"/>
          <w:lang w:eastAsia="pl-PL"/>
        </w:rPr>
        <w:t> </w:t>
      </w:r>
      <w:r w:rsidRPr="005631A4">
        <w:rPr>
          <w:rFonts w:eastAsia="Times New Roman" w:cs="Calibri"/>
          <w:szCs w:val="14"/>
          <w:lang w:eastAsia="pl-PL"/>
        </w:rPr>
        <w:t>wykrywalności zaburzeń otępiennych.</w:t>
      </w:r>
    </w:p>
    <w:p w14:paraId="2593877B" w14:textId="77777777" w:rsidR="005631A4" w:rsidRPr="005631A4" w:rsidRDefault="005631A4" w:rsidP="005631A4">
      <w:pPr>
        <w:numPr>
          <w:ilvl w:val="0"/>
          <w:numId w:val="29"/>
        </w:numPr>
        <w:shd w:val="clear" w:color="auto" w:fill="DEEAF6" w:themeFill="accent1" w:themeFillTint="33"/>
        <w:spacing w:after="120"/>
        <w:ind w:left="567" w:hanging="283"/>
        <w:contextualSpacing/>
        <w:jc w:val="both"/>
        <w:rPr>
          <w:b/>
          <w:bCs/>
        </w:rPr>
      </w:pPr>
      <w:r w:rsidRPr="005631A4">
        <w:rPr>
          <w:rFonts w:eastAsia="Times New Roman" w:cs="Calibri"/>
          <w:b/>
          <w:bCs/>
          <w:lang w:eastAsia="pl-PL"/>
        </w:rPr>
        <w:t>Ewaluacja rezultatów przeprowadzonego pilotażu i analiza możliwości włączenia przetestowanych rozwiązań do systemu świadczeń gwarantowanych w ramach opieki długoterminowej – do końca 2026 r.</w:t>
      </w:r>
    </w:p>
    <w:p w14:paraId="27C13062" w14:textId="2359D893" w:rsidR="005631A4" w:rsidRDefault="005631A4" w:rsidP="005631A4">
      <w:pPr>
        <w:spacing w:after="120"/>
        <w:ind w:left="567"/>
        <w:jc w:val="both"/>
      </w:pPr>
      <w:r w:rsidRPr="005631A4">
        <w:t>Pilotaż wsparcia w DCWP zostanie poddany ewaluacji oraz ocenie, w jaki sposób dane procedury mogą systemowo kwalifikować się do dofinansowania ze środków publicznych, tj. czy cechuje je wystarczająca efektywność i skuteczność kliniczna.</w:t>
      </w:r>
    </w:p>
    <w:p w14:paraId="129D9C6C" w14:textId="43DD65EB" w:rsidR="0025249E" w:rsidRPr="0025249E" w:rsidRDefault="0025249E" w:rsidP="0025249E">
      <w:pPr>
        <w:numPr>
          <w:ilvl w:val="0"/>
          <w:numId w:val="29"/>
        </w:numPr>
        <w:shd w:val="clear" w:color="auto" w:fill="DEEAF6" w:themeFill="accent1" w:themeFillTint="33"/>
        <w:spacing w:after="120"/>
        <w:ind w:left="567" w:hanging="283"/>
        <w:contextualSpacing/>
        <w:jc w:val="both"/>
        <w:rPr>
          <w:b/>
          <w:bCs/>
        </w:rPr>
      </w:pPr>
      <w:r w:rsidRPr="0025249E">
        <w:rPr>
          <w:b/>
          <w:bCs/>
        </w:rPr>
        <w:t xml:space="preserve">Opracowanie założeń </w:t>
      </w:r>
      <w:bookmarkStart w:id="19" w:name="_Hlk47520604"/>
      <w:r w:rsidRPr="0025249E">
        <w:rPr>
          <w:b/>
          <w:bCs/>
        </w:rPr>
        <w:t>konkursów na tworzenie i działalność DCWP w RPO 2021-2030 i</w:t>
      </w:r>
      <w:r w:rsidR="00AB359A">
        <w:rPr>
          <w:b/>
          <w:bCs/>
        </w:rPr>
        <w:t> </w:t>
      </w:r>
      <w:r w:rsidRPr="0025249E">
        <w:rPr>
          <w:b/>
          <w:bCs/>
        </w:rPr>
        <w:t xml:space="preserve">opracowanie założeń włączenia DCWP do systemu świadczeń gwarantowanych </w:t>
      </w:r>
      <w:bookmarkEnd w:id="19"/>
      <w:r w:rsidRPr="0025249E">
        <w:rPr>
          <w:b/>
          <w:bCs/>
        </w:rPr>
        <w:t xml:space="preserve">– 2027 r. </w:t>
      </w:r>
    </w:p>
    <w:p w14:paraId="48D64DC7" w14:textId="65B3CDB4" w:rsidR="0025249E" w:rsidRPr="00553468" w:rsidRDefault="00553468" w:rsidP="005631A4">
      <w:pPr>
        <w:spacing w:after="120"/>
        <w:ind w:left="567"/>
        <w:jc w:val="both"/>
      </w:pPr>
      <w:r>
        <w:t xml:space="preserve">Na podstawie wyników ewaluacji pilotażu zostanie wypracowany ostateczny kształt standardu  </w:t>
      </w:r>
      <w:r w:rsidRPr="00553468">
        <w:t>wsparcia w DCWP</w:t>
      </w:r>
      <w:r>
        <w:t xml:space="preserve">, który zostanie wykorzystany do przygotowania i przeprowadzenia </w:t>
      </w:r>
      <w:r w:rsidRPr="00553468">
        <w:t xml:space="preserve">konkursów </w:t>
      </w:r>
      <w:r>
        <w:t xml:space="preserve">obejmujących </w:t>
      </w:r>
      <w:r w:rsidRPr="00553468">
        <w:t>tworzenie i działalność DCWP w RPO 2021-2030 i włączeni</w:t>
      </w:r>
      <w:r>
        <w:t>e</w:t>
      </w:r>
      <w:r w:rsidRPr="00553468">
        <w:t xml:space="preserve"> DCWP do systemu świadczeń gwarantowanych</w:t>
      </w:r>
      <w:r>
        <w:t>.</w:t>
      </w:r>
    </w:p>
    <w:p w14:paraId="3969EA02" w14:textId="77777777" w:rsidR="005631A4" w:rsidRPr="005631A4" w:rsidRDefault="005631A4" w:rsidP="005631A4">
      <w:pPr>
        <w:numPr>
          <w:ilvl w:val="0"/>
          <w:numId w:val="29"/>
        </w:numPr>
        <w:shd w:val="clear" w:color="auto" w:fill="DEEAF6" w:themeFill="accent1" w:themeFillTint="33"/>
        <w:spacing w:after="120"/>
        <w:ind w:left="567" w:hanging="283"/>
        <w:contextualSpacing/>
        <w:jc w:val="both"/>
        <w:rPr>
          <w:b/>
          <w:bCs/>
        </w:rPr>
      </w:pPr>
      <w:r w:rsidRPr="005631A4">
        <w:rPr>
          <w:b/>
          <w:bCs/>
        </w:rPr>
        <w:t>Tworzenie i finansowanie działalności Dziennych Centrów Wsparcia Pamięci funkcjonujących na podstawie standardu wypracowanego w ramach przeprowadzonego pilotażu – do końca 2030 r.</w:t>
      </w:r>
    </w:p>
    <w:p w14:paraId="2F43105D" w14:textId="72E4CDE1" w:rsidR="005631A4" w:rsidRDefault="005631A4" w:rsidP="005631A4">
      <w:pPr>
        <w:spacing w:after="120"/>
        <w:ind w:left="567"/>
        <w:jc w:val="both"/>
      </w:pPr>
      <w:r w:rsidRPr="005631A4">
        <w:t>Na podstawie przeprowadzonego pilotażu i wypracowanego standardu funkcjonowania Dziennych Centrów Wsparcia Pamięci planuje się tworzenie i finansowanie nowych placówek udzielających wsparcia w tym zakresie na poziomie poszczególnych regionów.</w:t>
      </w:r>
    </w:p>
    <w:p w14:paraId="3AD79E1F" w14:textId="0C94BE13" w:rsidR="005631A4" w:rsidRPr="005631A4" w:rsidRDefault="004620C7" w:rsidP="005631A4">
      <w:pPr>
        <w:numPr>
          <w:ilvl w:val="0"/>
          <w:numId w:val="29"/>
        </w:numPr>
        <w:shd w:val="clear" w:color="auto" w:fill="DEEAF6" w:themeFill="accent1" w:themeFillTint="33"/>
        <w:spacing w:after="120"/>
        <w:ind w:left="567" w:hanging="283"/>
        <w:contextualSpacing/>
        <w:jc w:val="both"/>
        <w:rPr>
          <w:rFonts w:eastAsiaTheme="minorEastAsia"/>
          <w:b/>
          <w:bCs/>
        </w:rPr>
      </w:pPr>
      <w:r>
        <w:rPr>
          <w:rFonts w:eastAsia="Times New Roman" w:cs="Calibri"/>
          <w:b/>
          <w:bCs/>
          <w:lang w:eastAsia="pl-PL"/>
        </w:rPr>
        <w:t>Analiza możliwości</w:t>
      </w:r>
      <w:r w:rsidR="00A4488F">
        <w:rPr>
          <w:rFonts w:eastAsia="Times New Roman" w:cs="Calibri"/>
          <w:b/>
          <w:bCs/>
          <w:lang w:eastAsia="pl-PL"/>
        </w:rPr>
        <w:t xml:space="preserve"> włączenia </w:t>
      </w:r>
      <w:r w:rsidR="005631A4" w:rsidRPr="005631A4">
        <w:rPr>
          <w:b/>
          <w:bCs/>
        </w:rPr>
        <w:t>pozytywnie zwalidowanych form wsparcia do systemu świadczeń gwarantowanych</w:t>
      </w:r>
      <w:r w:rsidR="005631A4" w:rsidRPr="005631A4" w:rsidDel="00554891">
        <w:rPr>
          <w:rFonts w:eastAsia="Times New Roman" w:cs="Calibri"/>
          <w:b/>
          <w:bCs/>
          <w:lang w:eastAsia="pl-PL"/>
        </w:rPr>
        <w:t xml:space="preserve"> </w:t>
      </w:r>
      <w:r w:rsidR="005631A4" w:rsidRPr="005631A4">
        <w:rPr>
          <w:b/>
          <w:bCs/>
        </w:rPr>
        <w:t>do systemu świadczeń gwarantowanych w ramach opieki długoterminowej – do końca 2030 r.</w:t>
      </w:r>
    </w:p>
    <w:p w14:paraId="7CD9D909" w14:textId="719474DD" w:rsidR="005631A4" w:rsidRPr="00C35E38" w:rsidRDefault="005631A4" w:rsidP="005631A4">
      <w:pPr>
        <w:spacing w:after="360"/>
        <w:ind w:left="567"/>
        <w:jc w:val="both"/>
        <w:rPr>
          <w:i/>
          <w:iCs/>
        </w:rPr>
      </w:pPr>
      <w:r w:rsidRPr="005631A4">
        <w:t xml:space="preserve">W przypadku pozytywnych wyników ewaluacji przeprowadzonego pilotażu </w:t>
      </w:r>
      <w:r w:rsidR="004620C7">
        <w:t xml:space="preserve">rozważone zostanie </w:t>
      </w:r>
      <w:r w:rsidRPr="005631A4">
        <w:t>włączenie Dziennych Centrów Wsparcia Pamięci do świadczeń gwarantowanych udzielanych w</w:t>
      </w:r>
      <w:r w:rsidR="00553468">
        <w:t> </w:t>
      </w:r>
      <w:r w:rsidRPr="005631A4">
        <w:t xml:space="preserve">opiece długoterminowej poprzez nowelizację rozporządzenia Ministra Zdrowia </w:t>
      </w:r>
      <w:r w:rsidRPr="00C35E38">
        <w:rPr>
          <w:i/>
          <w:iCs/>
        </w:rPr>
        <w:t>w sprawie świadczeń pielęgnacyjnych i opiekuńczych w ramach opieki długoterminowej.</w:t>
      </w:r>
    </w:p>
    <w:tbl>
      <w:tblPr>
        <w:tblStyle w:val="Tabela-Siatka"/>
        <w:tblW w:w="10358"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560"/>
        <w:gridCol w:w="1139"/>
        <w:gridCol w:w="709"/>
        <w:gridCol w:w="709"/>
        <w:gridCol w:w="727"/>
        <w:gridCol w:w="691"/>
        <w:gridCol w:w="691"/>
        <w:gridCol w:w="691"/>
        <w:gridCol w:w="691"/>
        <w:gridCol w:w="666"/>
        <w:gridCol w:w="693"/>
        <w:gridCol w:w="696"/>
        <w:gridCol w:w="695"/>
      </w:tblGrid>
      <w:tr w:rsidR="005631A4" w:rsidRPr="005631A4" w14:paraId="512B07F7" w14:textId="77777777" w:rsidTr="005631A4">
        <w:trPr>
          <w:jc w:val="center"/>
        </w:trPr>
        <w:tc>
          <w:tcPr>
            <w:tcW w:w="10358" w:type="dxa"/>
            <w:gridSpan w:val="13"/>
            <w:shd w:val="clear" w:color="auto" w:fill="65A2D9"/>
            <w:vAlign w:val="center"/>
          </w:tcPr>
          <w:p w14:paraId="4C681CF0" w14:textId="77777777" w:rsidR="005631A4" w:rsidRPr="005631A4" w:rsidRDefault="005631A4" w:rsidP="005631A4">
            <w:pPr>
              <w:spacing w:before="60" w:after="60"/>
              <w:jc w:val="both"/>
              <w:rPr>
                <w:b/>
                <w:bCs/>
              </w:rPr>
            </w:pPr>
            <w:r w:rsidRPr="005631A4">
              <w:rPr>
                <w:b/>
                <w:bCs/>
                <w:sz w:val="24"/>
                <w:szCs w:val="24"/>
              </w:rPr>
              <w:t>REZULTAT 2</w:t>
            </w:r>
          </w:p>
        </w:tc>
      </w:tr>
      <w:tr w:rsidR="005631A4" w:rsidRPr="005631A4" w14:paraId="71FFA3A3" w14:textId="77777777" w:rsidTr="005631A4">
        <w:trPr>
          <w:jc w:val="center"/>
        </w:trPr>
        <w:tc>
          <w:tcPr>
            <w:tcW w:w="1560" w:type="dxa"/>
            <w:vMerge w:val="restart"/>
            <w:shd w:val="clear" w:color="auto" w:fill="9CC2E5" w:themeFill="accent1" w:themeFillTint="99"/>
            <w:vAlign w:val="center"/>
          </w:tcPr>
          <w:p w14:paraId="7ADD7454" w14:textId="77777777" w:rsidR="005631A4" w:rsidRPr="005631A4" w:rsidRDefault="005631A4" w:rsidP="00CE3D48">
            <w:pPr>
              <w:spacing w:before="60" w:after="60"/>
              <w:jc w:val="center"/>
              <w:rPr>
                <w:b/>
                <w:bCs/>
              </w:rPr>
            </w:pPr>
            <w:r w:rsidRPr="005631A4">
              <w:rPr>
                <w:b/>
                <w:bCs/>
              </w:rPr>
              <w:t>Termin realizacji działań</w:t>
            </w:r>
          </w:p>
        </w:tc>
        <w:tc>
          <w:tcPr>
            <w:tcW w:w="1139" w:type="dxa"/>
            <w:shd w:val="clear" w:color="auto" w:fill="9CC2E5" w:themeFill="accent1" w:themeFillTint="99"/>
            <w:vAlign w:val="center"/>
          </w:tcPr>
          <w:p w14:paraId="1CC4C669" w14:textId="77777777" w:rsidR="005631A4" w:rsidRPr="005631A4" w:rsidRDefault="005631A4" w:rsidP="005631A4">
            <w:pPr>
              <w:spacing w:before="60" w:after="60"/>
              <w:jc w:val="center"/>
            </w:pPr>
            <w:r w:rsidRPr="005631A4">
              <w:t>Nr działania</w:t>
            </w:r>
          </w:p>
        </w:tc>
        <w:tc>
          <w:tcPr>
            <w:tcW w:w="709" w:type="dxa"/>
            <w:shd w:val="clear" w:color="auto" w:fill="9CC2E5" w:themeFill="accent1" w:themeFillTint="99"/>
            <w:vAlign w:val="center"/>
          </w:tcPr>
          <w:p w14:paraId="43FC626A" w14:textId="77777777" w:rsidR="005631A4" w:rsidRPr="005631A4" w:rsidRDefault="005631A4" w:rsidP="005631A4">
            <w:pPr>
              <w:spacing w:before="60" w:after="60"/>
              <w:jc w:val="both"/>
            </w:pPr>
            <w:r w:rsidRPr="005631A4">
              <w:t>2020</w:t>
            </w:r>
          </w:p>
        </w:tc>
        <w:tc>
          <w:tcPr>
            <w:tcW w:w="709" w:type="dxa"/>
            <w:shd w:val="clear" w:color="auto" w:fill="9CC2E5" w:themeFill="accent1" w:themeFillTint="99"/>
            <w:vAlign w:val="center"/>
          </w:tcPr>
          <w:p w14:paraId="44586628" w14:textId="77777777" w:rsidR="005631A4" w:rsidRPr="005631A4" w:rsidRDefault="005631A4" w:rsidP="005631A4">
            <w:pPr>
              <w:spacing w:before="60" w:after="60"/>
              <w:jc w:val="both"/>
            </w:pPr>
            <w:r w:rsidRPr="005631A4">
              <w:t>2021</w:t>
            </w:r>
          </w:p>
        </w:tc>
        <w:tc>
          <w:tcPr>
            <w:tcW w:w="727" w:type="dxa"/>
            <w:shd w:val="clear" w:color="auto" w:fill="9CC2E5" w:themeFill="accent1" w:themeFillTint="99"/>
            <w:vAlign w:val="center"/>
          </w:tcPr>
          <w:p w14:paraId="0E53EAB8" w14:textId="77777777" w:rsidR="005631A4" w:rsidRPr="005631A4" w:rsidRDefault="005631A4" w:rsidP="005631A4">
            <w:pPr>
              <w:spacing w:before="60" w:after="60"/>
              <w:jc w:val="both"/>
            </w:pPr>
            <w:r w:rsidRPr="005631A4">
              <w:t>2022</w:t>
            </w:r>
          </w:p>
        </w:tc>
        <w:tc>
          <w:tcPr>
            <w:tcW w:w="691" w:type="dxa"/>
            <w:shd w:val="clear" w:color="auto" w:fill="9CC2E5" w:themeFill="accent1" w:themeFillTint="99"/>
            <w:vAlign w:val="center"/>
          </w:tcPr>
          <w:p w14:paraId="446054AF" w14:textId="77777777" w:rsidR="005631A4" w:rsidRPr="005631A4" w:rsidRDefault="005631A4" w:rsidP="005631A4">
            <w:pPr>
              <w:spacing w:before="60" w:after="60"/>
              <w:jc w:val="both"/>
            </w:pPr>
            <w:r w:rsidRPr="005631A4">
              <w:t>2023</w:t>
            </w:r>
          </w:p>
        </w:tc>
        <w:tc>
          <w:tcPr>
            <w:tcW w:w="691" w:type="dxa"/>
            <w:shd w:val="clear" w:color="auto" w:fill="9CC2E5" w:themeFill="accent1" w:themeFillTint="99"/>
            <w:vAlign w:val="center"/>
          </w:tcPr>
          <w:p w14:paraId="3E9D8E1F" w14:textId="77777777" w:rsidR="005631A4" w:rsidRPr="005631A4" w:rsidRDefault="005631A4" w:rsidP="005631A4">
            <w:pPr>
              <w:spacing w:before="60" w:after="60"/>
              <w:jc w:val="both"/>
            </w:pPr>
            <w:r w:rsidRPr="005631A4">
              <w:t>2024</w:t>
            </w:r>
          </w:p>
        </w:tc>
        <w:tc>
          <w:tcPr>
            <w:tcW w:w="691" w:type="dxa"/>
            <w:shd w:val="clear" w:color="auto" w:fill="9CC2E5" w:themeFill="accent1" w:themeFillTint="99"/>
            <w:vAlign w:val="center"/>
          </w:tcPr>
          <w:p w14:paraId="3D621F37" w14:textId="77777777" w:rsidR="005631A4" w:rsidRPr="005631A4" w:rsidRDefault="005631A4" w:rsidP="005631A4">
            <w:pPr>
              <w:spacing w:before="60" w:after="60"/>
              <w:jc w:val="both"/>
            </w:pPr>
            <w:r w:rsidRPr="005631A4">
              <w:t>2025</w:t>
            </w:r>
          </w:p>
        </w:tc>
        <w:tc>
          <w:tcPr>
            <w:tcW w:w="691" w:type="dxa"/>
            <w:shd w:val="clear" w:color="auto" w:fill="9CC2E5" w:themeFill="accent1" w:themeFillTint="99"/>
            <w:vAlign w:val="center"/>
          </w:tcPr>
          <w:p w14:paraId="785466A8" w14:textId="77777777" w:rsidR="005631A4" w:rsidRPr="005631A4" w:rsidRDefault="005631A4" w:rsidP="005631A4">
            <w:pPr>
              <w:spacing w:before="60" w:after="60"/>
              <w:jc w:val="both"/>
            </w:pPr>
            <w:r w:rsidRPr="005631A4">
              <w:t>2026</w:t>
            </w:r>
          </w:p>
        </w:tc>
        <w:tc>
          <w:tcPr>
            <w:tcW w:w="666" w:type="dxa"/>
            <w:shd w:val="clear" w:color="auto" w:fill="9CC2E5" w:themeFill="accent1" w:themeFillTint="99"/>
            <w:vAlign w:val="center"/>
          </w:tcPr>
          <w:p w14:paraId="58F32787" w14:textId="77777777" w:rsidR="005631A4" w:rsidRPr="005631A4" w:rsidRDefault="005631A4" w:rsidP="005631A4">
            <w:pPr>
              <w:spacing w:before="60" w:after="60"/>
              <w:jc w:val="both"/>
            </w:pPr>
            <w:r w:rsidRPr="005631A4">
              <w:t>2027</w:t>
            </w:r>
          </w:p>
        </w:tc>
        <w:tc>
          <w:tcPr>
            <w:tcW w:w="693" w:type="dxa"/>
            <w:shd w:val="clear" w:color="auto" w:fill="9CC2E5" w:themeFill="accent1" w:themeFillTint="99"/>
            <w:vAlign w:val="center"/>
          </w:tcPr>
          <w:p w14:paraId="0340407C" w14:textId="77777777" w:rsidR="005631A4" w:rsidRPr="005631A4" w:rsidRDefault="005631A4" w:rsidP="005631A4">
            <w:pPr>
              <w:spacing w:before="60" w:after="60"/>
              <w:jc w:val="both"/>
            </w:pPr>
            <w:r w:rsidRPr="005631A4">
              <w:t>2028</w:t>
            </w:r>
          </w:p>
        </w:tc>
        <w:tc>
          <w:tcPr>
            <w:tcW w:w="696" w:type="dxa"/>
            <w:shd w:val="clear" w:color="auto" w:fill="9CC2E5" w:themeFill="accent1" w:themeFillTint="99"/>
            <w:vAlign w:val="center"/>
          </w:tcPr>
          <w:p w14:paraId="52F691BD" w14:textId="77777777" w:rsidR="005631A4" w:rsidRPr="005631A4" w:rsidRDefault="005631A4" w:rsidP="005631A4">
            <w:pPr>
              <w:spacing w:before="60" w:after="60"/>
              <w:jc w:val="both"/>
            </w:pPr>
            <w:r w:rsidRPr="005631A4">
              <w:t>2029</w:t>
            </w:r>
          </w:p>
        </w:tc>
        <w:tc>
          <w:tcPr>
            <w:tcW w:w="695" w:type="dxa"/>
            <w:shd w:val="clear" w:color="auto" w:fill="9CC2E5" w:themeFill="accent1" w:themeFillTint="99"/>
            <w:vAlign w:val="center"/>
          </w:tcPr>
          <w:p w14:paraId="5841DE72" w14:textId="77777777" w:rsidR="005631A4" w:rsidRPr="005631A4" w:rsidRDefault="005631A4" w:rsidP="005631A4">
            <w:pPr>
              <w:spacing w:before="60" w:after="60"/>
              <w:jc w:val="both"/>
            </w:pPr>
            <w:r w:rsidRPr="005631A4">
              <w:t>2030</w:t>
            </w:r>
          </w:p>
        </w:tc>
      </w:tr>
      <w:tr w:rsidR="005631A4" w:rsidRPr="005631A4" w14:paraId="12434E98" w14:textId="77777777" w:rsidTr="005631A4">
        <w:trPr>
          <w:jc w:val="center"/>
        </w:trPr>
        <w:tc>
          <w:tcPr>
            <w:tcW w:w="1560" w:type="dxa"/>
            <w:vMerge/>
            <w:vAlign w:val="center"/>
          </w:tcPr>
          <w:p w14:paraId="77359774" w14:textId="77777777" w:rsidR="005631A4" w:rsidRPr="005631A4" w:rsidRDefault="005631A4" w:rsidP="00CE3D48">
            <w:pPr>
              <w:spacing w:before="60" w:after="60"/>
              <w:jc w:val="center"/>
              <w:rPr>
                <w:b/>
                <w:bCs/>
              </w:rPr>
            </w:pPr>
          </w:p>
        </w:tc>
        <w:tc>
          <w:tcPr>
            <w:tcW w:w="1139" w:type="dxa"/>
            <w:shd w:val="clear" w:color="auto" w:fill="BDD6EE" w:themeFill="accent1" w:themeFillTint="66"/>
            <w:vAlign w:val="center"/>
          </w:tcPr>
          <w:p w14:paraId="5E002511" w14:textId="77777777" w:rsidR="005631A4" w:rsidRPr="005631A4" w:rsidRDefault="005631A4" w:rsidP="005631A4">
            <w:pPr>
              <w:spacing w:before="60" w:after="60"/>
              <w:jc w:val="center"/>
            </w:pPr>
            <w:r w:rsidRPr="005631A4">
              <w:t>1.</w:t>
            </w:r>
          </w:p>
        </w:tc>
        <w:tc>
          <w:tcPr>
            <w:tcW w:w="709" w:type="dxa"/>
            <w:shd w:val="clear" w:color="auto" w:fill="DEEAF6" w:themeFill="accent1" w:themeFillTint="33"/>
            <w:vAlign w:val="center"/>
          </w:tcPr>
          <w:p w14:paraId="469AD49E" w14:textId="77777777" w:rsidR="005631A4" w:rsidRPr="00F96E0C" w:rsidRDefault="005631A4" w:rsidP="005631A4">
            <w:pPr>
              <w:spacing w:before="60" w:after="60"/>
              <w:jc w:val="center"/>
              <w:rPr>
                <w:rFonts w:asciiTheme="minorHAnsi" w:hAnsiTheme="minorHAnsi" w:cstheme="minorHAnsi"/>
                <w:sz w:val="16"/>
                <w:szCs w:val="16"/>
              </w:rPr>
            </w:pPr>
          </w:p>
        </w:tc>
        <w:tc>
          <w:tcPr>
            <w:tcW w:w="709" w:type="dxa"/>
            <w:shd w:val="clear" w:color="auto" w:fill="BDD6EE" w:themeFill="accent1" w:themeFillTint="66"/>
            <w:vAlign w:val="center"/>
          </w:tcPr>
          <w:p w14:paraId="3CDB8A44" w14:textId="1663DAB2" w:rsidR="005631A4" w:rsidRPr="00F96E0C" w:rsidRDefault="005631A4" w:rsidP="005631A4">
            <w:pPr>
              <w:spacing w:before="60" w:after="60"/>
              <w:jc w:val="center"/>
              <w:rPr>
                <w:rFonts w:asciiTheme="minorHAnsi" w:hAnsiTheme="minorHAnsi" w:cstheme="minorHAnsi"/>
                <w:sz w:val="16"/>
                <w:szCs w:val="16"/>
              </w:rPr>
            </w:pPr>
          </w:p>
        </w:tc>
        <w:tc>
          <w:tcPr>
            <w:tcW w:w="727" w:type="dxa"/>
            <w:shd w:val="clear" w:color="auto" w:fill="BDD6EE" w:themeFill="accent1" w:themeFillTint="66"/>
            <w:vAlign w:val="center"/>
          </w:tcPr>
          <w:p w14:paraId="4D541683" w14:textId="0FC9AA0C" w:rsidR="005631A4" w:rsidRPr="00F96E0C" w:rsidRDefault="005631A4" w:rsidP="005631A4">
            <w:pPr>
              <w:spacing w:before="60" w:after="60"/>
              <w:jc w:val="center"/>
              <w:rPr>
                <w:rFonts w:asciiTheme="minorHAnsi" w:hAnsiTheme="minorHAnsi" w:cstheme="minorHAnsi"/>
                <w:sz w:val="16"/>
                <w:szCs w:val="16"/>
              </w:rPr>
            </w:pPr>
          </w:p>
        </w:tc>
        <w:tc>
          <w:tcPr>
            <w:tcW w:w="691" w:type="dxa"/>
            <w:shd w:val="clear" w:color="auto" w:fill="DEEAF6" w:themeFill="accent1" w:themeFillTint="33"/>
            <w:vAlign w:val="center"/>
          </w:tcPr>
          <w:p w14:paraId="2DF08831" w14:textId="77777777" w:rsidR="005631A4" w:rsidRPr="00F96E0C" w:rsidRDefault="005631A4" w:rsidP="005631A4">
            <w:pPr>
              <w:spacing w:before="60" w:after="60"/>
              <w:jc w:val="center"/>
              <w:rPr>
                <w:rFonts w:asciiTheme="minorHAnsi" w:hAnsiTheme="minorHAnsi" w:cstheme="minorHAnsi"/>
                <w:sz w:val="16"/>
                <w:szCs w:val="16"/>
              </w:rPr>
            </w:pPr>
          </w:p>
        </w:tc>
        <w:tc>
          <w:tcPr>
            <w:tcW w:w="691" w:type="dxa"/>
            <w:shd w:val="clear" w:color="auto" w:fill="DEEAF6" w:themeFill="accent1" w:themeFillTint="33"/>
            <w:vAlign w:val="center"/>
          </w:tcPr>
          <w:p w14:paraId="7FA58927" w14:textId="77777777" w:rsidR="005631A4" w:rsidRPr="00F96E0C" w:rsidRDefault="005631A4" w:rsidP="005631A4">
            <w:pPr>
              <w:spacing w:before="60" w:after="60"/>
              <w:jc w:val="center"/>
              <w:rPr>
                <w:rFonts w:asciiTheme="minorHAnsi" w:hAnsiTheme="minorHAnsi" w:cstheme="minorHAnsi"/>
                <w:sz w:val="16"/>
                <w:szCs w:val="16"/>
              </w:rPr>
            </w:pPr>
          </w:p>
        </w:tc>
        <w:tc>
          <w:tcPr>
            <w:tcW w:w="691" w:type="dxa"/>
            <w:shd w:val="clear" w:color="auto" w:fill="DEEAF6" w:themeFill="accent1" w:themeFillTint="33"/>
            <w:vAlign w:val="center"/>
          </w:tcPr>
          <w:p w14:paraId="0C8B96B5" w14:textId="77777777" w:rsidR="005631A4" w:rsidRPr="00F96E0C" w:rsidRDefault="005631A4" w:rsidP="005631A4">
            <w:pPr>
              <w:spacing w:before="60" w:after="60"/>
              <w:jc w:val="center"/>
              <w:rPr>
                <w:rFonts w:asciiTheme="minorHAnsi" w:hAnsiTheme="minorHAnsi" w:cstheme="minorHAnsi"/>
                <w:sz w:val="16"/>
                <w:szCs w:val="16"/>
              </w:rPr>
            </w:pPr>
          </w:p>
        </w:tc>
        <w:tc>
          <w:tcPr>
            <w:tcW w:w="691" w:type="dxa"/>
            <w:shd w:val="clear" w:color="auto" w:fill="DEEAF6" w:themeFill="accent1" w:themeFillTint="33"/>
            <w:vAlign w:val="center"/>
          </w:tcPr>
          <w:p w14:paraId="622142D7" w14:textId="77777777" w:rsidR="005631A4" w:rsidRPr="00F96E0C" w:rsidRDefault="005631A4" w:rsidP="005631A4">
            <w:pPr>
              <w:spacing w:before="60" w:after="60"/>
              <w:jc w:val="center"/>
              <w:rPr>
                <w:rFonts w:asciiTheme="minorHAnsi" w:hAnsiTheme="minorHAnsi" w:cstheme="minorHAnsi"/>
                <w:sz w:val="16"/>
                <w:szCs w:val="16"/>
              </w:rPr>
            </w:pPr>
          </w:p>
        </w:tc>
        <w:tc>
          <w:tcPr>
            <w:tcW w:w="666" w:type="dxa"/>
            <w:shd w:val="clear" w:color="auto" w:fill="DEEAF6" w:themeFill="accent1" w:themeFillTint="33"/>
          </w:tcPr>
          <w:p w14:paraId="310E2EF0" w14:textId="77777777" w:rsidR="005631A4" w:rsidRPr="00F96E0C" w:rsidRDefault="005631A4" w:rsidP="005631A4">
            <w:pPr>
              <w:spacing w:before="60" w:after="60"/>
              <w:jc w:val="center"/>
              <w:rPr>
                <w:rFonts w:asciiTheme="minorHAnsi" w:hAnsiTheme="minorHAnsi" w:cstheme="minorHAnsi"/>
                <w:sz w:val="16"/>
                <w:szCs w:val="16"/>
              </w:rPr>
            </w:pPr>
          </w:p>
        </w:tc>
        <w:tc>
          <w:tcPr>
            <w:tcW w:w="693" w:type="dxa"/>
            <w:shd w:val="clear" w:color="auto" w:fill="DEEAF6" w:themeFill="accent1" w:themeFillTint="33"/>
          </w:tcPr>
          <w:p w14:paraId="082B7832" w14:textId="77777777" w:rsidR="005631A4" w:rsidRPr="00F96E0C" w:rsidRDefault="005631A4" w:rsidP="005631A4">
            <w:pPr>
              <w:spacing w:before="60" w:after="60"/>
              <w:jc w:val="center"/>
              <w:rPr>
                <w:rFonts w:asciiTheme="minorHAnsi" w:hAnsiTheme="minorHAnsi" w:cstheme="minorHAnsi"/>
                <w:sz w:val="16"/>
                <w:szCs w:val="16"/>
              </w:rPr>
            </w:pPr>
          </w:p>
        </w:tc>
        <w:tc>
          <w:tcPr>
            <w:tcW w:w="696" w:type="dxa"/>
            <w:shd w:val="clear" w:color="auto" w:fill="DEEAF6" w:themeFill="accent1" w:themeFillTint="33"/>
          </w:tcPr>
          <w:p w14:paraId="06AEC2D3" w14:textId="77777777" w:rsidR="005631A4" w:rsidRPr="00F96E0C" w:rsidRDefault="005631A4" w:rsidP="005631A4">
            <w:pPr>
              <w:spacing w:before="60" w:after="60"/>
              <w:jc w:val="center"/>
              <w:rPr>
                <w:rFonts w:asciiTheme="minorHAnsi" w:hAnsiTheme="minorHAnsi" w:cstheme="minorHAnsi"/>
                <w:sz w:val="16"/>
                <w:szCs w:val="16"/>
              </w:rPr>
            </w:pPr>
          </w:p>
        </w:tc>
        <w:tc>
          <w:tcPr>
            <w:tcW w:w="695" w:type="dxa"/>
            <w:shd w:val="clear" w:color="auto" w:fill="DEEAF6" w:themeFill="accent1" w:themeFillTint="33"/>
          </w:tcPr>
          <w:p w14:paraId="7974D604" w14:textId="77777777" w:rsidR="005631A4" w:rsidRPr="00F96E0C" w:rsidRDefault="005631A4" w:rsidP="005631A4">
            <w:pPr>
              <w:spacing w:before="60" w:after="60"/>
              <w:jc w:val="center"/>
              <w:rPr>
                <w:rFonts w:asciiTheme="minorHAnsi" w:hAnsiTheme="minorHAnsi" w:cstheme="minorHAnsi"/>
                <w:sz w:val="16"/>
                <w:szCs w:val="16"/>
              </w:rPr>
            </w:pPr>
          </w:p>
        </w:tc>
      </w:tr>
      <w:tr w:rsidR="005631A4" w:rsidRPr="005631A4" w14:paraId="3148E70B" w14:textId="77777777" w:rsidTr="005631A4">
        <w:trPr>
          <w:jc w:val="center"/>
        </w:trPr>
        <w:tc>
          <w:tcPr>
            <w:tcW w:w="1560" w:type="dxa"/>
            <w:vMerge/>
            <w:vAlign w:val="center"/>
          </w:tcPr>
          <w:p w14:paraId="3B2AC981" w14:textId="77777777" w:rsidR="005631A4" w:rsidRPr="005631A4" w:rsidRDefault="005631A4" w:rsidP="00CE3D48">
            <w:pPr>
              <w:spacing w:before="60" w:after="60"/>
              <w:jc w:val="center"/>
              <w:rPr>
                <w:b/>
                <w:bCs/>
              </w:rPr>
            </w:pPr>
          </w:p>
        </w:tc>
        <w:tc>
          <w:tcPr>
            <w:tcW w:w="1139" w:type="dxa"/>
            <w:shd w:val="clear" w:color="auto" w:fill="BDD6EE" w:themeFill="accent1" w:themeFillTint="66"/>
            <w:vAlign w:val="center"/>
          </w:tcPr>
          <w:p w14:paraId="73811AC0" w14:textId="77777777" w:rsidR="005631A4" w:rsidRPr="005631A4" w:rsidRDefault="005631A4" w:rsidP="005631A4">
            <w:pPr>
              <w:spacing w:before="60" w:after="60"/>
              <w:jc w:val="center"/>
            </w:pPr>
            <w:r w:rsidRPr="005631A4">
              <w:t>2.</w:t>
            </w:r>
          </w:p>
        </w:tc>
        <w:tc>
          <w:tcPr>
            <w:tcW w:w="709" w:type="dxa"/>
            <w:shd w:val="clear" w:color="auto" w:fill="DEEAF6" w:themeFill="accent1" w:themeFillTint="33"/>
            <w:vAlign w:val="center"/>
          </w:tcPr>
          <w:p w14:paraId="3AEC1D21" w14:textId="77777777" w:rsidR="005631A4" w:rsidRPr="00F96E0C" w:rsidRDefault="005631A4" w:rsidP="005631A4">
            <w:pPr>
              <w:spacing w:before="60" w:after="60"/>
              <w:jc w:val="center"/>
              <w:rPr>
                <w:rFonts w:asciiTheme="minorHAnsi" w:hAnsiTheme="minorHAnsi" w:cstheme="minorHAnsi"/>
                <w:sz w:val="16"/>
                <w:szCs w:val="16"/>
              </w:rPr>
            </w:pPr>
          </w:p>
        </w:tc>
        <w:tc>
          <w:tcPr>
            <w:tcW w:w="709" w:type="dxa"/>
            <w:shd w:val="clear" w:color="auto" w:fill="DEEAF6" w:themeFill="accent1" w:themeFillTint="33"/>
            <w:vAlign w:val="center"/>
          </w:tcPr>
          <w:p w14:paraId="0F264BB0" w14:textId="77777777" w:rsidR="005631A4" w:rsidRPr="00F96E0C" w:rsidRDefault="005631A4" w:rsidP="005631A4">
            <w:pPr>
              <w:spacing w:before="60" w:after="60"/>
              <w:jc w:val="center"/>
              <w:rPr>
                <w:rFonts w:asciiTheme="minorHAnsi" w:hAnsiTheme="minorHAnsi" w:cstheme="minorHAnsi"/>
                <w:sz w:val="16"/>
                <w:szCs w:val="16"/>
              </w:rPr>
            </w:pPr>
          </w:p>
        </w:tc>
        <w:tc>
          <w:tcPr>
            <w:tcW w:w="727" w:type="dxa"/>
            <w:shd w:val="clear" w:color="auto" w:fill="DEEAF6" w:themeFill="accent1" w:themeFillTint="33"/>
            <w:vAlign w:val="center"/>
          </w:tcPr>
          <w:p w14:paraId="4B326A77" w14:textId="77777777" w:rsidR="005631A4" w:rsidRPr="00F96E0C" w:rsidRDefault="005631A4" w:rsidP="005631A4">
            <w:pPr>
              <w:spacing w:before="60" w:after="60"/>
              <w:jc w:val="center"/>
              <w:rPr>
                <w:rFonts w:asciiTheme="minorHAnsi" w:hAnsiTheme="minorHAnsi" w:cstheme="minorHAnsi"/>
                <w:sz w:val="16"/>
                <w:szCs w:val="16"/>
              </w:rPr>
            </w:pPr>
          </w:p>
        </w:tc>
        <w:tc>
          <w:tcPr>
            <w:tcW w:w="691" w:type="dxa"/>
            <w:shd w:val="clear" w:color="auto" w:fill="BDD6EE" w:themeFill="accent1" w:themeFillTint="66"/>
            <w:vAlign w:val="center"/>
          </w:tcPr>
          <w:p w14:paraId="682B34AA" w14:textId="468D377F" w:rsidR="005631A4" w:rsidRPr="00F96E0C" w:rsidRDefault="005631A4" w:rsidP="005631A4">
            <w:pPr>
              <w:spacing w:before="60" w:after="60"/>
              <w:jc w:val="center"/>
              <w:rPr>
                <w:rFonts w:asciiTheme="minorHAnsi" w:hAnsiTheme="minorHAnsi" w:cstheme="minorHAnsi"/>
                <w:sz w:val="16"/>
                <w:szCs w:val="16"/>
              </w:rPr>
            </w:pPr>
          </w:p>
        </w:tc>
        <w:tc>
          <w:tcPr>
            <w:tcW w:w="691" w:type="dxa"/>
            <w:shd w:val="clear" w:color="auto" w:fill="BDD6EE" w:themeFill="accent1" w:themeFillTint="66"/>
            <w:vAlign w:val="center"/>
          </w:tcPr>
          <w:p w14:paraId="5C904B00" w14:textId="3296D243" w:rsidR="005631A4" w:rsidRPr="00F96E0C" w:rsidRDefault="005631A4" w:rsidP="005631A4">
            <w:pPr>
              <w:spacing w:before="60" w:after="60"/>
              <w:jc w:val="center"/>
              <w:rPr>
                <w:rFonts w:asciiTheme="minorHAnsi" w:hAnsiTheme="minorHAnsi" w:cstheme="minorHAnsi"/>
                <w:sz w:val="16"/>
                <w:szCs w:val="16"/>
              </w:rPr>
            </w:pPr>
          </w:p>
        </w:tc>
        <w:tc>
          <w:tcPr>
            <w:tcW w:w="691" w:type="dxa"/>
            <w:shd w:val="clear" w:color="auto" w:fill="BDD6EE" w:themeFill="accent1" w:themeFillTint="66"/>
            <w:vAlign w:val="center"/>
          </w:tcPr>
          <w:p w14:paraId="269A38C3" w14:textId="5F0D26FC" w:rsidR="005631A4" w:rsidRPr="00F96E0C" w:rsidRDefault="005631A4" w:rsidP="005631A4">
            <w:pPr>
              <w:spacing w:before="60" w:after="60"/>
              <w:jc w:val="center"/>
              <w:rPr>
                <w:rFonts w:asciiTheme="minorHAnsi" w:hAnsiTheme="minorHAnsi" w:cstheme="minorHAnsi"/>
                <w:sz w:val="16"/>
                <w:szCs w:val="16"/>
              </w:rPr>
            </w:pPr>
          </w:p>
        </w:tc>
        <w:tc>
          <w:tcPr>
            <w:tcW w:w="691" w:type="dxa"/>
            <w:shd w:val="clear" w:color="auto" w:fill="DEEAF6" w:themeFill="accent1" w:themeFillTint="33"/>
            <w:vAlign w:val="center"/>
          </w:tcPr>
          <w:p w14:paraId="05804AB0" w14:textId="77777777" w:rsidR="005631A4" w:rsidRPr="00F96E0C" w:rsidRDefault="005631A4" w:rsidP="005631A4">
            <w:pPr>
              <w:spacing w:before="60" w:after="60"/>
              <w:jc w:val="center"/>
              <w:rPr>
                <w:rFonts w:asciiTheme="minorHAnsi" w:hAnsiTheme="minorHAnsi" w:cstheme="minorHAnsi"/>
                <w:sz w:val="16"/>
                <w:szCs w:val="16"/>
              </w:rPr>
            </w:pPr>
          </w:p>
        </w:tc>
        <w:tc>
          <w:tcPr>
            <w:tcW w:w="666" w:type="dxa"/>
            <w:shd w:val="clear" w:color="auto" w:fill="DEEAF6" w:themeFill="accent1" w:themeFillTint="33"/>
          </w:tcPr>
          <w:p w14:paraId="25BDFE1B" w14:textId="77777777" w:rsidR="005631A4" w:rsidRPr="00F96E0C" w:rsidRDefault="005631A4" w:rsidP="005631A4">
            <w:pPr>
              <w:spacing w:before="60" w:after="60"/>
              <w:jc w:val="center"/>
              <w:rPr>
                <w:rFonts w:asciiTheme="minorHAnsi" w:hAnsiTheme="minorHAnsi" w:cstheme="minorHAnsi"/>
                <w:sz w:val="16"/>
                <w:szCs w:val="16"/>
              </w:rPr>
            </w:pPr>
          </w:p>
        </w:tc>
        <w:tc>
          <w:tcPr>
            <w:tcW w:w="693" w:type="dxa"/>
            <w:shd w:val="clear" w:color="auto" w:fill="DEEAF6" w:themeFill="accent1" w:themeFillTint="33"/>
          </w:tcPr>
          <w:p w14:paraId="04CA262F" w14:textId="77777777" w:rsidR="005631A4" w:rsidRPr="00F96E0C" w:rsidRDefault="005631A4" w:rsidP="005631A4">
            <w:pPr>
              <w:spacing w:before="60" w:after="60"/>
              <w:jc w:val="center"/>
              <w:rPr>
                <w:rFonts w:asciiTheme="minorHAnsi" w:hAnsiTheme="minorHAnsi" w:cstheme="minorHAnsi"/>
                <w:sz w:val="16"/>
                <w:szCs w:val="16"/>
              </w:rPr>
            </w:pPr>
          </w:p>
        </w:tc>
        <w:tc>
          <w:tcPr>
            <w:tcW w:w="696" w:type="dxa"/>
            <w:shd w:val="clear" w:color="auto" w:fill="DEEAF6" w:themeFill="accent1" w:themeFillTint="33"/>
          </w:tcPr>
          <w:p w14:paraId="5A277A6B" w14:textId="77777777" w:rsidR="005631A4" w:rsidRPr="00F96E0C" w:rsidRDefault="005631A4" w:rsidP="005631A4">
            <w:pPr>
              <w:spacing w:before="60" w:after="60"/>
              <w:jc w:val="center"/>
              <w:rPr>
                <w:rFonts w:asciiTheme="minorHAnsi" w:hAnsiTheme="minorHAnsi" w:cstheme="minorHAnsi"/>
                <w:sz w:val="16"/>
                <w:szCs w:val="16"/>
              </w:rPr>
            </w:pPr>
          </w:p>
        </w:tc>
        <w:tc>
          <w:tcPr>
            <w:tcW w:w="695" w:type="dxa"/>
            <w:shd w:val="clear" w:color="auto" w:fill="DEEAF6" w:themeFill="accent1" w:themeFillTint="33"/>
          </w:tcPr>
          <w:p w14:paraId="37902E31" w14:textId="77777777" w:rsidR="005631A4" w:rsidRPr="00F96E0C" w:rsidRDefault="005631A4" w:rsidP="005631A4">
            <w:pPr>
              <w:spacing w:before="60" w:after="60"/>
              <w:jc w:val="center"/>
              <w:rPr>
                <w:rFonts w:asciiTheme="minorHAnsi" w:hAnsiTheme="minorHAnsi" w:cstheme="minorHAnsi"/>
                <w:sz w:val="16"/>
                <w:szCs w:val="16"/>
              </w:rPr>
            </w:pPr>
          </w:p>
        </w:tc>
      </w:tr>
      <w:tr w:rsidR="005631A4" w:rsidRPr="005631A4" w14:paraId="7C6166B1" w14:textId="77777777" w:rsidTr="00E07D64">
        <w:trPr>
          <w:trHeight w:val="461"/>
          <w:jc w:val="center"/>
        </w:trPr>
        <w:tc>
          <w:tcPr>
            <w:tcW w:w="1560" w:type="dxa"/>
            <w:vMerge/>
            <w:vAlign w:val="center"/>
          </w:tcPr>
          <w:p w14:paraId="54D45149" w14:textId="77777777" w:rsidR="005631A4" w:rsidRPr="005631A4" w:rsidRDefault="005631A4" w:rsidP="00CE3D48">
            <w:pPr>
              <w:spacing w:before="60" w:after="60"/>
              <w:jc w:val="center"/>
              <w:rPr>
                <w:b/>
                <w:bCs/>
              </w:rPr>
            </w:pPr>
          </w:p>
        </w:tc>
        <w:tc>
          <w:tcPr>
            <w:tcW w:w="1139" w:type="dxa"/>
            <w:shd w:val="clear" w:color="auto" w:fill="BDD6EE" w:themeFill="accent1" w:themeFillTint="66"/>
            <w:vAlign w:val="center"/>
          </w:tcPr>
          <w:p w14:paraId="703F3183" w14:textId="77777777" w:rsidR="005631A4" w:rsidRPr="005631A4" w:rsidRDefault="005631A4" w:rsidP="005631A4">
            <w:pPr>
              <w:spacing w:before="60" w:after="60"/>
              <w:jc w:val="center"/>
            </w:pPr>
            <w:r w:rsidRPr="005631A4">
              <w:t>3.</w:t>
            </w:r>
          </w:p>
        </w:tc>
        <w:tc>
          <w:tcPr>
            <w:tcW w:w="709" w:type="dxa"/>
            <w:shd w:val="clear" w:color="auto" w:fill="DEEAF6" w:themeFill="accent1" w:themeFillTint="33"/>
            <w:vAlign w:val="center"/>
          </w:tcPr>
          <w:p w14:paraId="435B602E" w14:textId="77777777" w:rsidR="005631A4" w:rsidRPr="00F96E0C" w:rsidRDefault="005631A4" w:rsidP="005631A4">
            <w:pPr>
              <w:spacing w:before="60" w:after="60"/>
              <w:jc w:val="center"/>
              <w:rPr>
                <w:rFonts w:asciiTheme="minorHAnsi" w:hAnsiTheme="minorHAnsi" w:cstheme="minorHAnsi"/>
                <w:sz w:val="16"/>
                <w:szCs w:val="16"/>
              </w:rPr>
            </w:pPr>
          </w:p>
        </w:tc>
        <w:tc>
          <w:tcPr>
            <w:tcW w:w="709" w:type="dxa"/>
            <w:shd w:val="clear" w:color="auto" w:fill="DEEAF6" w:themeFill="accent1" w:themeFillTint="33"/>
            <w:vAlign w:val="center"/>
          </w:tcPr>
          <w:p w14:paraId="2385ACA3" w14:textId="77777777" w:rsidR="005631A4" w:rsidRPr="00F96E0C" w:rsidRDefault="005631A4" w:rsidP="005631A4">
            <w:pPr>
              <w:spacing w:before="60" w:after="60"/>
              <w:jc w:val="center"/>
              <w:rPr>
                <w:rFonts w:asciiTheme="minorHAnsi" w:hAnsiTheme="minorHAnsi" w:cstheme="minorHAnsi"/>
                <w:sz w:val="16"/>
                <w:szCs w:val="16"/>
              </w:rPr>
            </w:pPr>
          </w:p>
        </w:tc>
        <w:tc>
          <w:tcPr>
            <w:tcW w:w="727" w:type="dxa"/>
            <w:shd w:val="clear" w:color="auto" w:fill="DEEAF6" w:themeFill="accent1" w:themeFillTint="33"/>
            <w:vAlign w:val="center"/>
          </w:tcPr>
          <w:p w14:paraId="5A3CC094" w14:textId="77777777" w:rsidR="005631A4" w:rsidRPr="00F96E0C" w:rsidRDefault="005631A4" w:rsidP="005631A4">
            <w:pPr>
              <w:spacing w:before="60" w:after="60"/>
              <w:jc w:val="center"/>
              <w:rPr>
                <w:rFonts w:asciiTheme="minorHAnsi" w:hAnsiTheme="minorHAnsi" w:cstheme="minorHAnsi"/>
                <w:sz w:val="16"/>
                <w:szCs w:val="16"/>
              </w:rPr>
            </w:pPr>
          </w:p>
        </w:tc>
        <w:tc>
          <w:tcPr>
            <w:tcW w:w="691" w:type="dxa"/>
            <w:shd w:val="clear" w:color="auto" w:fill="DEEAF6" w:themeFill="accent1" w:themeFillTint="33"/>
            <w:vAlign w:val="center"/>
          </w:tcPr>
          <w:p w14:paraId="67B4E606" w14:textId="77777777" w:rsidR="005631A4" w:rsidRPr="00F96E0C" w:rsidRDefault="005631A4" w:rsidP="005631A4">
            <w:pPr>
              <w:spacing w:before="60" w:after="60"/>
              <w:jc w:val="center"/>
              <w:rPr>
                <w:rFonts w:asciiTheme="minorHAnsi" w:hAnsiTheme="minorHAnsi" w:cstheme="minorHAnsi"/>
                <w:sz w:val="16"/>
                <w:szCs w:val="16"/>
              </w:rPr>
            </w:pPr>
          </w:p>
        </w:tc>
        <w:tc>
          <w:tcPr>
            <w:tcW w:w="691" w:type="dxa"/>
            <w:shd w:val="clear" w:color="auto" w:fill="DEEAF6" w:themeFill="accent1" w:themeFillTint="33"/>
            <w:vAlign w:val="center"/>
          </w:tcPr>
          <w:p w14:paraId="21E9627A" w14:textId="77777777" w:rsidR="005631A4" w:rsidRPr="00F96E0C" w:rsidRDefault="005631A4" w:rsidP="005631A4">
            <w:pPr>
              <w:spacing w:before="60" w:after="60"/>
              <w:jc w:val="center"/>
              <w:rPr>
                <w:rFonts w:asciiTheme="minorHAnsi" w:hAnsiTheme="minorHAnsi" w:cstheme="minorHAnsi"/>
                <w:sz w:val="16"/>
                <w:szCs w:val="16"/>
              </w:rPr>
            </w:pPr>
          </w:p>
        </w:tc>
        <w:tc>
          <w:tcPr>
            <w:tcW w:w="691" w:type="dxa"/>
            <w:shd w:val="clear" w:color="auto" w:fill="DEEAF6" w:themeFill="accent1" w:themeFillTint="33"/>
            <w:vAlign w:val="center"/>
          </w:tcPr>
          <w:p w14:paraId="1173A42F" w14:textId="77777777" w:rsidR="005631A4" w:rsidRPr="00F96E0C" w:rsidRDefault="005631A4" w:rsidP="005631A4">
            <w:pPr>
              <w:spacing w:before="60" w:after="60"/>
              <w:jc w:val="center"/>
              <w:rPr>
                <w:rFonts w:asciiTheme="minorHAnsi" w:hAnsiTheme="minorHAnsi" w:cstheme="minorHAnsi"/>
                <w:sz w:val="16"/>
                <w:szCs w:val="16"/>
              </w:rPr>
            </w:pPr>
          </w:p>
        </w:tc>
        <w:tc>
          <w:tcPr>
            <w:tcW w:w="691" w:type="dxa"/>
            <w:shd w:val="clear" w:color="auto" w:fill="BDD6EE" w:themeFill="accent1" w:themeFillTint="66"/>
            <w:vAlign w:val="center"/>
          </w:tcPr>
          <w:p w14:paraId="1C6E6BF4" w14:textId="169D78CD" w:rsidR="005631A4" w:rsidRPr="00F96E0C" w:rsidRDefault="005631A4" w:rsidP="005631A4">
            <w:pPr>
              <w:spacing w:before="60" w:after="60"/>
              <w:jc w:val="center"/>
              <w:rPr>
                <w:rFonts w:asciiTheme="minorHAnsi" w:hAnsiTheme="minorHAnsi" w:cstheme="minorHAnsi"/>
                <w:sz w:val="16"/>
                <w:szCs w:val="16"/>
              </w:rPr>
            </w:pPr>
          </w:p>
        </w:tc>
        <w:tc>
          <w:tcPr>
            <w:tcW w:w="666" w:type="dxa"/>
            <w:shd w:val="clear" w:color="auto" w:fill="DEEAF6" w:themeFill="accent1" w:themeFillTint="33"/>
          </w:tcPr>
          <w:p w14:paraId="5330310D" w14:textId="77777777" w:rsidR="005631A4" w:rsidRPr="00F96E0C" w:rsidRDefault="005631A4" w:rsidP="005631A4">
            <w:pPr>
              <w:spacing w:before="60" w:after="60"/>
              <w:jc w:val="center"/>
              <w:rPr>
                <w:rFonts w:asciiTheme="minorHAnsi" w:hAnsiTheme="minorHAnsi" w:cstheme="minorHAnsi"/>
                <w:sz w:val="16"/>
                <w:szCs w:val="16"/>
              </w:rPr>
            </w:pPr>
          </w:p>
        </w:tc>
        <w:tc>
          <w:tcPr>
            <w:tcW w:w="693" w:type="dxa"/>
            <w:shd w:val="clear" w:color="auto" w:fill="DEEAF6" w:themeFill="accent1" w:themeFillTint="33"/>
          </w:tcPr>
          <w:p w14:paraId="7AD6AF83" w14:textId="77777777" w:rsidR="005631A4" w:rsidRPr="00F96E0C" w:rsidRDefault="005631A4" w:rsidP="005631A4">
            <w:pPr>
              <w:spacing w:before="60" w:after="60"/>
              <w:jc w:val="center"/>
              <w:rPr>
                <w:rFonts w:asciiTheme="minorHAnsi" w:hAnsiTheme="minorHAnsi" w:cstheme="minorHAnsi"/>
                <w:sz w:val="16"/>
                <w:szCs w:val="16"/>
              </w:rPr>
            </w:pPr>
          </w:p>
        </w:tc>
        <w:tc>
          <w:tcPr>
            <w:tcW w:w="696" w:type="dxa"/>
            <w:shd w:val="clear" w:color="auto" w:fill="DEEAF6" w:themeFill="accent1" w:themeFillTint="33"/>
          </w:tcPr>
          <w:p w14:paraId="19183518" w14:textId="77777777" w:rsidR="005631A4" w:rsidRPr="00F96E0C" w:rsidRDefault="005631A4" w:rsidP="005631A4">
            <w:pPr>
              <w:spacing w:before="60" w:after="60"/>
              <w:jc w:val="center"/>
              <w:rPr>
                <w:rFonts w:asciiTheme="minorHAnsi" w:hAnsiTheme="minorHAnsi" w:cstheme="minorHAnsi"/>
                <w:sz w:val="16"/>
                <w:szCs w:val="16"/>
              </w:rPr>
            </w:pPr>
          </w:p>
        </w:tc>
        <w:tc>
          <w:tcPr>
            <w:tcW w:w="695" w:type="dxa"/>
            <w:shd w:val="clear" w:color="auto" w:fill="DEEAF6" w:themeFill="accent1" w:themeFillTint="33"/>
          </w:tcPr>
          <w:p w14:paraId="50B9A0FA" w14:textId="77777777" w:rsidR="005631A4" w:rsidRPr="00F96E0C" w:rsidRDefault="005631A4" w:rsidP="005631A4">
            <w:pPr>
              <w:spacing w:before="60" w:after="60"/>
              <w:jc w:val="center"/>
              <w:rPr>
                <w:rFonts w:asciiTheme="minorHAnsi" w:hAnsiTheme="minorHAnsi" w:cstheme="minorHAnsi"/>
                <w:sz w:val="16"/>
                <w:szCs w:val="16"/>
              </w:rPr>
            </w:pPr>
          </w:p>
        </w:tc>
      </w:tr>
      <w:tr w:rsidR="0025249E" w:rsidRPr="005631A4" w14:paraId="12C414DC" w14:textId="77777777" w:rsidTr="0025249E">
        <w:trPr>
          <w:trHeight w:val="461"/>
          <w:jc w:val="center"/>
        </w:trPr>
        <w:tc>
          <w:tcPr>
            <w:tcW w:w="1560" w:type="dxa"/>
            <w:vMerge/>
            <w:vAlign w:val="center"/>
          </w:tcPr>
          <w:p w14:paraId="5B075A02" w14:textId="77777777" w:rsidR="0025249E" w:rsidRPr="005631A4" w:rsidRDefault="0025249E" w:rsidP="00CE3D48">
            <w:pPr>
              <w:spacing w:before="60" w:after="60"/>
              <w:jc w:val="center"/>
              <w:rPr>
                <w:b/>
                <w:bCs/>
              </w:rPr>
            </w:pPr>
          </w:p>
        </w:tc>
        <w:tc>
          <w:tcPr>
            <w:tcW w:w="1139" w:type="dxa"/>
            <w:shd w:val="clear" w:color="auto" w:fill="BDD6EE" w:themeFill="accent1" w:themeFillTint="66"/>
            <w:vAlign w:val="center"/>
          </w:tcPr>
          <w:p w14:paraId="4414F809" w14:textId="057362E2" w:rsidR="0025249E" w:rsidRPr="005631A4" w:rsidRDefault="0025249E" w:rsidP="005631A4">
            <w:pPr>
              <w:spacing w:before="60" w:after="60"/>
              <w:jc w:val="center"/>
            </w:pPr>
            <w:r>
              <w:t>4.</w:t>
            </w:r>
          </w:p>
        </w:tc>
        <w:tc>
          <w:tcPr>
            <w:tcW w:w="709" w:type="dxa"/>
            <w:shd w:val="clear" w:color="auto" w:fill="DEEAF6" w:themeFill="accent1" w:themeFillTint="33"/>
            <w:vAlign w:val="center"/>
          </w:tcPr>
          <w:p w14:paraId="737C4E07" w14:textId="77777777" w:rsidR="0025249E" w:rsidRPr="00F96E0C" w:rsidRDefault="0025249E" w:rsidP="005631A4">
            <w:pPr>
              <w:spacing w:before="60" w:after="60"/>
              <w:jc w:val="center"/>
              <w:rPr>
                <w:rFonts w:cstheme="minorHAnsi"/>
                <w:sz w:val="16"/>
                <w:szCs w:val="16"/>
              </w:rPr>
            </w:pPr>
          </w:p>
        </w:tc>
        <w:tc>
          <w:tcPr>
            <w:tcW w:w="709" w:type="dxa"/>
            <w:shd w:val="clear" w:color="auto" w:fill="DEEAF6" w:themeFill="accent1" w:themeFillTint="33"/>
            <w:vAlign w:val="center"/>
          </w:tcPr>
          <w:p w14:paraId="02CA5DCE" w14:textId="77777777" w:rsidR="0025249E" w:rsidRPr="00F96E0C" w:rsidRDefault="0025249E" w:rsidP="005631A4">
            <w:pPr>
              <w:spacing w:before="60" w:after="60"/>
              <w:jc w:val="center"/>
              <w:rPr>
                <w:rFonts w:cstheme="minorHAnsi"/>
                <w:sz w:val="16"/>
                <w:szCs w:val="16"/>
              </w:rPr>
            </w:pPr>
          </w:p>
        </w:tc>
        <w:tc>
          <w:tcPr>
            <w:tcW w:w="727" w:type="dxa"/>
            <w:shd w:val="clear" w:color="auto" w:fill="DEEAF6" w:themeFill="accent1" w:themeFillTint="33"/>
            <w:vAlign w:val="center"/>
          </w:tcPr>
          <w:p w14:paraId="287D53AC" w14:textId="77777777" w:rsidR="0025249E" w:rsidRPr="00F96E0C" w:rsidRDefault="0025249E" w:rsidP="005631A4">
            <w:pPr>
              <w:spacing w:before="60" w:after="60"/>
              <w:jc w:val="center"/>
              <w:rPr>
                <w:rFonts w:cstheme="minorHAnsi"/>
                <w:sz w:val="16"/>
                <w:szCs w:val="16"/>
              </w:rPr>
            </w:pPr>
          </w:p>
        </w:tc>
        <w:tc>
          <w:tcPr>
            <w:tcW w:w="691" w:type="dxa"/>
            <w:shd w:val="clear" w:color="auto" w:fill="DEEAF6" w:themeFill="accent1" w:themeFillTint="33"/>
            <w:vAlign w:val="center"/>
          </w:tcPr>
          <w:p w14:paraId="6AFFAAED" w14:textId="77777777" w:rsidR="0025249E" w:rsidRPr="00F96E0C" w:rsidRDefault="0025249E" w:rsidP="005631A4">
            <w:pPr>
              <w:spacing w:before="60" w:after="60"/>
              <w:jc w:val="center"/>
              <w:rPr>
                <w:rFonts w:cstheme="minorHAnsi"/>
                <w:sz w:val="16"/>
                <w:szCs w:val="16"/>
              </w:rPr>
            </w:pPr>
          </w:p>
        </w:tc>
        <w:tc>
          <w:tcPr>
            <w:tcW w:w="691" w:type="dxa"/>
            <w:shd w:val="clear" w:color="auto" w:fill="DEEAF6" w:themeFill="accent1" w:themeFillTint="33"/>
            <w:vAlign w:val="center"/>
          </w:tcPr>
          <w:p w14:paraId="6D4D34D7" w14:textId="77777777" w:rsidR="0025249E" w:rsidRPr="00F96E0C" w:rsidRDefault="0025249E" w:rsidP="005631A4">
            <w:pPr>
              <w:spacing w:before="60" w:after="60"/>
              <w:jc w:val="center"/>
              <w:rPr>
                <w:rFonts w:cstheme="minorHAnsi"/>
                <w:sz w:val="16"/>
                <w:szCs w:val="16"/>
              </w:rPr>
            </w:pPr>
          </w:p>
        </w:tc>
        <w:tc>
          <w:tcPr>
            <w:tcW w:w="691" w:type="dxa"/>
            <w:shd w:val="clear" w:color="auto" w:fill="DEEAF6" w:themeFill="accent1" w:themeFillTint="33"/>
            <w:vAlign w:val="center"/>
          </w:tcPr>
          <w:p w14:paraId="45F107ED" w14:textId="77777777" w:rsidR="0025249E" w:rsidRPr="00F96E0C" w:rsidRDefault="0025249E" w:rsidP="005631A4">
            <w:pPr>
              <w:spacing w:before="60" w:after="60"/>
              <w:jc w:val="center"/>
              <w:rPr>
                <w:rFonts w:cstheme="minorHAnsi"/>
                <w:sz w:val="16"/>
                <w:szCs w:val="16"/>
              </w:rPr>
            </w:pPr>
          </w:p>
        </w:tc>
        <w:tc>
          <w:tcPr>
            <w:tcW w:w="691" w:type="dxa"/>
            <w:shd w:val="clear" w:color="auto" w:fill="DEEAF6" w:themeFill="accent1" w:themeFillTint="33"/>
            <w:vAlign w:val="center"/>
          </w:tcPr>
          <w:p w14:paraId="4AC9F79F" w14:textId="77777777" w:rsidR="0025249E" w:rsidRPr="00F96E0C" w:rsidRDefault="0025249E" w:rsidP="005631A4">
            <w:pPr>
              <w:spacing w:before="60" w:after="60"/>
              <w:jc w:val="center"/>
              <w:rPr>
                <w:rFonts w:cstheme="minorHAnsi"/>
                <w:sz w:val="16"/>
                <w:szCs w:val="16"/>
              </w:rPr>
            </w:pPr>
          </w:p>
        </w:tc>
        <w:tc>
          <w:tcPr>
            <w:tcW w:w="666" w:type="dxa"/>
            <w:shd w:val="clear" w:color="auto" w:fill="BDD6EE" w:themeFill="accent1" w:themeFillTint="66"/>
          </w:tcPr>
          <w:p w14:paraId="412D7783" w14:textId="77777777" w:rsidR="0025249E" w:rsidRPr="00F96E0C" w:rsidRDefault="0025249E" w:rsidP="005631A4">
            <w:pPr>
              <w:spacing w:before="60" w:after="60"/>
              <w:jc w:val="center"/>
              <w:rPr>
                <w:rFonts w:cstheme="minorHAnsi"/>
                <w:sz w:val="16"/>
                <w:szCs w:val="16"/>
              </w:rPr>
            </w:pPr>
          </w:p>
        </w:tc>
        <w:tc>
          <w:tcPr>
            <w:tcW w:w="693" w:type="dxa"/>
            <w:shd w:val="clear" w:color="auto" w:fill="DEEAF6" w:themeFill="accent1" w:themeFillTint="33"/>
          </w:tcPr>
          <w:p w14:paraId="084EB3E3" w14:textId="77777777" w:rsidR="0025249E" w:rsidRPr="00F96E0C" w:rsidRDefault="0025249E" w:rsidP="005631A4">
            <w:pPr>
              <w:spacing w:before="60" w:after="60"/>
              <w:jc w:val="center"/>
              <w:rPr>
                <w:rFonts w:cstheme="minorHAnsi"/>
                <w:sz w:val="16"/>
                <w:szCs w:val="16"/>
              </w:rPr>
            </w:pPr>
          </w:p>
        </w:tc>
        <w:tc>
          <w:tcPr>
            <w:tcW w:w="696" w:type="dxa"/>
            <w:shd w:val="clear" w:color="auto" w:fill="DEEAF6" w:themeFill="accent1" w:themeFillTint="33"/>
          </w:tcPr>
          <w:p w14:paraId="4E57B008" w14:textId="77777777" w:rsidR="0025249E" w:rsidRPr="00F96E0C" w:rsidRDefault="0025249E" w:rsidP="005631A4">
            <w:pPr>
              <w:spacing w:before="60" w:after="60"/>
              <w:jc w:val="center"/>
              <w:rPr>
                <w:rFonts w:cstheme="minorHAnsi"/>
                <w:sz w:val="16"/>
                <w:szCs w:val="16"/>
              </w:rPr>
            </w:pPr>
          </w:p>
        </w:tc>
        <w:tc>
          <w:tcPr>
            <w:tcW w:w="695" w:type="dxa"/>
            <w:shd w:val="clear" w:color="auto" w:fill="DEEAF6" w:themeFill="accent1" w:themeFillTint="33"/>
          </w:tcPr>
          <w:p w14:paraId="1508EEF6" w14:textId="77777777" w:rsidR="0025249E" w:rsidRPr="00F96E0C" w:rsidRDefault="0025249E" w:rsidP="005631A4">
            <w:pPr>
              <w:spacing w:before="60" w:after="60"/>
              <w:jc w:val="center"/>
              <w:rPr>
                <w:rFonts w:cstheme="minorHAnsi"/>
                <w:sz w:val="16"/>
                <w:szCs w:val="16"/>
              </w:rPr>
            </w:pPr>
          </w:p>
        </w:tc>
      </w:tr>
      <w:tr w:rsidR="005631A4" w:rsidRPr="005631A4" w14:paraId="4223D55B" w14:textId="77777777" w:rsidTr="0025249E">
        <w:trPr>
          <w:jc w:val="center"/>
        </w:trPr>
        <w:tc>
          <w:tcPr>
            <w:tcW w:w="1560" w:type="dxa"/>
            <w:vMerge/>
            <w:vAlign w:val="center"/>
          </w:tcPr>
          <w:p w14:paraId="3FAD8644" w14:textId="77777777" w:rsidR="005631A4" w:rsidRPr="005631A4" w:rsidRDefault="005631A4" w:rsidP="00CE3D48">
            <w:pPr>
              <w:spacing w:before="60" w:after="60"/>
              <w:jc w:val="center"/>
              <w:rPr>
                <w:b/>
                <w:bCs/>
              </w:rPr>
            </w:pPr>
          </w:p>
        </w:tc>
        <w:tc>
          <w:tcPr>
            <w:tcW w:w="1139" w:type="dxa"/>
            <w:shd w:val="clear" w:color="auto" w:fill="BDD6EE" w:themeFill="accent1" w:themeFillTint="66"/>
            <w:vAlign w:val="center"/>
          </w:tcPr>
          <w:p w14:paraId="7F04C32E" w14:textId="78C2273A" w:rsidR="005631A4" w:rsidRPr="005631A4" w:rsidRDefault="0025249E" w:rsidP="005631A4">
            <w:pPr>
              <w:spacing w:before="60" w:after="60"/>
              <w:jc w:val="center"/>
            </w:pPr>
            <w:r>
              <w:t>5</w:t>
            </w:r>
            <w:r w:rsidR="005631A4" w:rsidRPr="005631A4">
              <w:t>.</w:t>
            </w:r>
          </w:p>
        </w:tc>
        <w:tc>
          <w:tcPr>
            <w:tcW w:w="709" w:type="dxa"/>
            <w:shd w:val="clear" w:color="auto" w:fill="DEEAF6" w:themeFill="accent1" w:themeFillTint="33"/>
            <w:vAlign w:val="center"/>
          </w:tcPr>
          <w:p w14:paraId="74C0ABCD" w14:textId="77777777" w:rsidR="005631A4" w:rsidRPr="00F96E0C" w:rsidRDefault="005631A4" w:rsidP="005631A4">
            <w:pPr>
              <w:spacing w:before="60" w:after="60"/>
              <w:jc w:val="center"/>
              <w:rPr>
                <w:rFonts w:asciiTheme="minorHAnsi" w:hAnsiTheme="minorHAnsi" w:cstheme="minorHAnsi"/>
                <w:sz w:val="16"/>
                <w:szCs w:val="16"/>
              </w:rPr>
            </w:pPr>
          </w:p>
        </w:tc>
        <w:tc>
          <w:tcPr>
            <w:tcW w:w="709" w:type="dxa"/>
            <w:shd w:val="clear" w:color="auto" w:fill="DEEAF6" w:themeFill="accent1" w:themeFillTint="33"/>
            <w:vAlign w:val="center"/>
          </w:tcPr>
          <w:p w14:paraId="1E8BCD7D" w14:textId="77777777" w:rsidR="005631A4" w:rsidRPr="00F96E0C" w:rsidRDefault="005631A4" w:rsidP="005631A4">
            <w:pPr>
              <w:spacing w:before="60" w:after="60"/>
              <w:jc w:val="center"/>
              <w:rPr>
                <w:rFonts w:asciiTheme="minorHAnsi" w:hAnsiTheme="minorHAnsi" w:cstheme="minorHAnsi"/>
                <w:sz w:val="16"/>
                <w:szCs w:val="16"/>
              </w:rPr>
            </w:pPr>
          </w:p>
        </w:tc>
        <w:tc>
          <w:tcPr>
            <w:tcW w:w="727" w:type="dxa"/>
            <w:shd w:val="clear" w:color="auto" w:fill="DEEAF6" w:themeFill="accent1" w:themeFillTint="33"/>
            <w:vAlign w:val="center"/>
          </w:tcPr>
          <w:p w14:paraId="7456EB2E" w14:textId="77777777" w:rsidR="005631A4" w:rsidRPr="00F96E0C" w:rsidRDefault="005631A4" w:rsidP="005631A4">
            <w:pPr>
              <w:spacing w:before="60" w:after="60"/>
              <w:jc w:val="center"/>
              <w:rPr>
                <w:rFonts w:asciiTheme="minorHAnsi" w:hAnsiTheme="minorHAnsi" w:cstheme="minorHAnsi"/>
                <w:sz w:val="16"/>
                <w:szCs w:val="16"/>
              </w:rPr>
            </w:pPr>
          </w:p>
        </w:tc>
        <w:tc>
          <w:tcPr>
            <w:tcW w:w="691" w:type="dxa"/>
            <w:shd w:val="clear" w:color="auto" w:fill="DEEAF6" w:themeFill="accent1" w:themeFillTint="33"/>
            <w:vAlign w:val="center"/>
          </w:tcPr>
          <w:p w14:paraId="45893B72" w14:textId="77777777" w:rsidR="005631A4" w:rsidRPr="00F96E0C" w:rsidRDefault="005631A4" w:rsidP="005631A4">
            <w:pPr>
              <w:spacing w:before="60" w:after="60"/>
              <w:jc w:val="center"/>
              <w:rPr>
                <w:rFonts w:asciiTheme="minorHAnsi" w:hAnsiTheme="minorHAnsi" w:cstheme="minorHAnsi"/>
                <w:sz w:val="16"/>
                <w:szCs w:val="16"/>
              </w:rPr>
            </w:pPr>
          </w:p>
        </w:tc>
        <w:tc>
          <w:tcPr>
            <w:tcW w:w="691" w:type="dxa"/>
            <w:shd w:val="clear" w:color="auto" w:fill="DEEAF6" w:themeFill="accent1" w:themeFillTint="33"/>
            <w:vAlign w:val="center"/>
          </w:tcPr>
          <w:p w14:paraId="3CBA6872" w14:textId="77777777" w:rsidR="005631A4" w:rsidRPr="00F96E0C" w:rsidRDefault="005631A4" w:rsidP="005631A4">
            <w:pPr>
              <w:spacing w:before="60" w:after="60"/>
              <w:jc w:val="center"/>
              <w:rPr>
                <w:rFonts w:asciiTheme="minorHAnsi" w:hAnsiTheme="minorHAnsi" w:cstheme="minorHAnsi"/>
                <w:sz w:val="16"/>
                <w:szCs w:val="16"/>
              </w:rPr>
            </w:pPr>
          </w:p>
        </w:tc>
        <w:tc>
          <w:tcPr>
            <w:tcW w:w="691" w:type="dxa"/>
            <w:shd w:val="clear" w:color="auto" w:fill="DEEAF6" w:themeFill="accent1" w:themeFillTint="33"/>
            <w:vAlign w:val="center"/>
          </w:tcPr>
          <w:p w14:paraId="5645A3B2" w14:textId="77777777" w:rsidR="005631A4" w:rsidRPr="00F96E0C" w:rsidRDefault="005631A4" w:rsidP="005631A4">
            <w:pPr>
              <w:spacing w:before="60" w:after="60"/>
              <w:jc w:val="center"/>
              <w:rPr>
                <w:rFonts w:asciiTheme="minorHAnsi" w:hAnsiTheme="minorHAnsi" w:cstheme="minorHAnsi"/>
                <w:sz w:val="16"/>
                <w:szCs w:val="16"/>
              </w:rPr>
            </w:pPr>
          </w:p>
        </w:tc>
        <w:tc>
          <w:tcPr>
            <w:tcW w:w="691" w:type="dxa"/>
            <w:shd w:val="clear" w:color="auto" w:fill="DEEAF6" w:themeFill="accent1" w:themeFillTint="33"/>
            <w:vAlign w:val="center"/>
          </w:tcPr>
          <w:p w14:paraId="48A5CC0A" w14:textId="77777777" w:rsidR="005631A4" w:rsidRPr="00F96E0C" w:rsidRDefault="005631A4" w:rsidP="005631A4">
            <w:pPr>
              <w:spacing w:before="60" w:after="60"/>
              <w:jc w:val="center"/>
              <w:rPr>
                <w:rFonts w:asciiTheme="minorHAnsi" w:hAnsiTheme="minorHAnsi" w:cstheme="minorHAnsi"/>
                <w:sz w:val="16"/>
                <w:szCs w:val="16"/>
              </w:rPr>
            </w:pPr>
          </w:p>
        </w:tc>
        <w:tc>
          <w:tcPr>
            <w:tcW w:w="666" w:type="dxa"/>
            <w:shd w:val="clear" w:color="auto" w:fill="DEEAF6" w:themeFill="accent1" w:themeFillTint="33"/>
          </w:tcPr>
          <w:p w14:paraId="1B917673" w14:textId="77777777" w:rsidR="005631A4" w:rsidRPr="00F96E0C" w:rsidRDefault="005631A4" w:rsidP="005631A4">
            <w:pPr>
              <w:spacing w:before="60" w:after="60"/>
              <w:jc w:val="center"/>
              <w:rPr>
                <w:rFonts w:asciiTheme="minorHAnsi" w:hAnsiTheme="minorHAnsi" w:cstheme="minorHAnsi"/>
                <w:sz w:val="16"/>
                <w:szCs w:val="16"/>
              </w:rPr>
            </w:pPr>
          </w:p>
        </w:tc>
        <w:tc>
          <w:tcPr>
            <w:tcW w:w="693" w:type="dxa"/>
            <w:shd w:val="clear" w:color="auto" w:fill="BDD6EE" w:themeFill="accent1" w:themeFillTint="66"/>
          </w:tcPr>
          <w:p w14:paraId="3679D2F3" w14:textId="32300F7D" w:rsidR="005631A4" w:rsidRPr="00F96E0C" w:rsidRDefault="005631A4" w:rsidP="005631A4">
            <w:pPr>
              <w:spacing w:before="60" w:after="60"/>
              <w:jc w:val="center"/>
              <w:rPr>
                <w:rFonts w:asciiTheme="minorHAnsi" w:hAnsiTheme="minorHAnsi" w:cstheme="minorHAnsi"/>
                <w:sz w:val="16"/>
                <w:szCs w:val="16"/>
              </w:rPr>
            </w:pPr>
          </w:p>
        </w:tc>
        <w:tc>
          <w:tcPr>
            <w:tcW w:w="696" w:type="dxa"/>
            <w:shd w:val="clear" w:color="auto" w:fill="BDD6EE" w:themeFill="accent1" w:themeFillTint="66"/>
          </w:tcPr>
          <w:p w14:paraId="7A9E7E74" w14:textId="78CEFF08" w:rsidR="005631A4" w:rsidRPr="00F96E0C" w:rsidRDefault="005631A4" w:rsidP="005631A4">
            <w:pPr>
              <w:spacing w:before="60" w:after="60"/>
              <w:jc w:val="center"/>
              <w:rPr>
                <w:rFonts w:asciiTheme="minorHAnsi" w:hAnsiTheme="minorHAnsi" w:cstheme="minorHAnsi"/>
                <w:sz w:val="16"/>
                <w:szCs w:val="16"/>
              </w:rPr>
            </w:pPr>
          </w:p>
        </w:tc>
        <w:tc>
          <w:tcPr>
            <w:tcW w:w="695" w:type="dxa"/>
            <w:shd w:val="clear" w:color="auto" w:fill="BDD6EE" w:themeFill="accent1" w:themeFillTint="66"/>
          </w:tcPr>
          <w:p w14:paraId="2D66219A" w14:textId="381AC0D4" w:rsidR="005631A4" w:rsidRPr="00F96E0C" w:rsidRDefault="005631A4" w:rsidP="005631A4">
            <w:pPr>
              <w:spacing w:before="60" w:after="60"/>
              <w:jc w:val="center"/>
              <w:rPr>
                <w:rFonts w:asciiTheme="minorHAnsi" w:hAnsiTheme="minorHAnsi" w:cstheme="minorHAnsi"/>
                <w:sz w:val="16"/>
                <w:szCs w:val="16"/>
              </w:rPr>
            </w:pPr>
          </w:p>
        </w:tc>
      </w:tr>
      <w:tr w:rsidR="005631A4" w:rsidRPr="005631A4" w14:paraId="6A4285CB" w14:textId="77777777" w:rsidTr="0025249E">
        <w:trPr>
          <w:jc w:val="center"/>
        </w:trPr>
        <w:tc>
          <w:tcPr>
            <w:tcW w:w="1560" w:type="dxa"/>
            <w:vMerge/>
            <w:vAlign w:val="center"/>
          </w:tcPr>
          <w:p w14:paraId="73BCD7AD" w14:textId="77777777" w:rsidR="005631A4" w:rsidRPr="005631A4" w:rsidRDefault="005631A4" w:rsidP="00CE3D48">
            <w:pPr>
              <w:spacing w:before="60" w:after="60"/>
              <w:jc w:val="center"/>
              <w:rPr>
                <w:b/>
                <w:bCs/>
              </w:rPr>
            </w:pPr>
          </w:p>
        </w:tc>
        <w:tc>
          <w:tcPr>
            <w:tcW w:w="1139" w:type="dxa"/>
            <w:shd w:val="clear" w:color="auto" w:fill="BDD6EE" w:themeFill="accent1" w:themeFillTint="66"/>
            <w:vAlign w:val="center"/>
          </w:tcPr>
          <w:p w14:paraId="2EAAFCF6" w14:textId="03AFD65A" w:rsidR="005631A4" w:rsidRPr="005631A4" w:rsidRDefault="0025249E" w:rsidP="005631A4">
            <w:pPr>
              <w:spacing w:before="60" w:after="60"/>
              <w:jc w:val="center"/>
            </w:pPr>
            <w:r>
              <w:t>6</w:t>
            </w:r>
            <w:r w:rsidR="005631A4" w:rsidRPr="005631A4">
              <w:t>.</w:t>
            </w:r>
          </w:p>
        </w:tc>
        <w:tc>
          <w:tcPr>
            <w:tcW w:w="709" w:type="dxa"/>
            <w:shd w:val="clear" w:color="auto" w:fill="DEEAF6" w:themeFill="accent1" w:themeFillTint="33"/>
            <w:vAlign w:val="center"/>
          </w:tcPr>
          <w:p w14:paraId="70B73F9B" w14:textId="77777777" w:rsidR="005631A4" w:rsidRPr="00F96E0C" w:rsidRDefault="005631A4" w:rsidP="005631A4">
            <w:pPr>
              <w:spacing w:before="60" w:after="60"/>
              <w:jc w:val="center"/>
              <w:rPr>
                <w:rFonts w:asciiTheme="minorHAnsi" w:hAnsiTheme="minorHAnsi" w:cstheme="minorHAnsi"/>
                <w:sz w:val="16"/>
                <w:szCs w:val="16"/>
              </w:rPr>
            </w:pPr>
          </w:p>
        </w:tc>
        <w:tc>
          <w:tcPr>
            <w:tcW w:w="709" w:type="dxa"/>
            <w:shd w:val="clear" w:color="auto" w:fill="DEEAF6" w:themeFill="accent1" w:themeFillTint="33"/>
            <w:vAlign w:val="center"/>
          </w:tcPr>
          <w:p w14:paraId="41102022" w14:textId="77777777" w:rsidR="005631A4" w:rsidRPr="00F96E0C" w:rsidRDefault="005631A4" w:rsidP="005631A4">
            <w:pPr>
              <w:spacing w:before="60" w:after="60"/>
              <w:jc w:val="center"/>
              <w:rPr>
                <w:rFonts w:asciiTheme="minorHAnsi" w:hAnsiTheme="minorHAnsi" w:cstheme="minorHAnsi"/>
                <w:sz w:val="16"/>
                <w:szCs w:val="16"/>
              </w:rPr>
            </w:pPr>
          </w:p>
        </w:tc>
        <w:tc>
          <w:tcPr>
            <w:tcW w:w="727" w:type="dxa"/>
            <w:shd w:val="clear" w:color="auto" w:fill="DEEAF6" w:themeFill="accent1" w:themeFillTint="33"/>
            <w:vAlign w:val="center"/>
          </w:tcPr>
          <w:p w14:paraId="22AD97E3" w14:textId="77777777" w:rsidR="005631A4" w:rsidRPr="00F96E0C" w:rsidRDefault="005631A4" w:rsidP="005631A4">
            <w:pPr>
              <w:spacing w:before="60" w:after="60"/>
              <w:jc w:val="center"/>
              <w:rPr>
                <w:rFonts w:asciiTheme="minorHAnsi" w:hAnsiTheme="minorHAnsi" w:cstheme="minorHAnsi"/>
                <w:sz w:val="16"/>
                <w:szCs w:val="16"/>
              </w:rPr>
            </w:pPr>
          </w:p>
        </w:tc>
        <w:tc>
          <w:tcPr>
            <w:tcW w:w="691" w:type="dxa"/>
            <w:shd w:val="clear" w:color="auto" w:fill="DEEAF6" w:themeFill="accent1" w:themeFillTint="33"/>
            <w:vAlign w:val="center"/>
          </w:tcPr>
          <w:p w14:paraId="78A8A9A4" w14:textId="77777777" w:rsidR="005631A4" w:rsidRPr="00F96E0C" w:rsidRDefault="005631A4" w:rsidP="005631A4">
            <w:pPr>
              <w:spacing w:before="60" w:after="60"/>
              <w:jc w:val="center"/>
              <w:rPr>
                <w:rFonts w:asciiTheme="minorHAnsi" w:hAnsiTheme="minorHAnsi" w:cstheme="minorHAnsi"/>
                <w:sz w:val="16"/>
                <w:szCs w:val="16"/>
              </w:rPr>
            </w:pPr>
          </w:p>
        </w:tc>
        <w:tc>
          <w:tcPr>
            <w:tcW w:w="691" w:type="dxa"/>
            <w:shd w:val="clear" w:color="auto" w:fill="DEEAF6" w:themeFill="accent1" w:themeFillTint="33"/>
            <w:vAlign w:val="center"/>
          </w:tcPr>
          <w:p w14:paraId="7980F209" w14:textId="77777777" w:rsidR="005631A4" w:rsidRPr="00F96E0C" w:rsidRDefault="005631A4" w:rsidP="005631A4">
            <w:pPr>
              <w:spacing w:before="60" w:after="60"/>
              <w:jc w:val="center"/>
              <w:rPr>
                <w:rFonts w:asciiTheme="minorHAnsi" w:hAnsiTheme="minorHAnsi" w:cstheme="minorHAnsi"/>
                <w:sz w:val="16"/>
                <w:szCs w:val="16"/>
              </w:rPr>
            </w:pPr>
          </w:p>
        </w:tc>
        <w:tc>
          <w:tcPr>
            <w:tcW w:w="691" w:type="dxa"/>
            <w:shd w:val="clear" w:color="auto" w:fill="DEEAF6" w:themeFill="accent1" w:themeFillTint="33"/>
            <w:vAlign w:val="center"/>
          </w:tcPr>
          <w:p w14:paraId="62D22E0A" w14:textId="77777777" w:rsidR="005631A4" w:rsidRPr="00F96E0C" w:rsidRDefault="005631A4" w:rsidP="005631A4">
            <w:pPr>
              <w:spacing w:before="60" w:after="60"/>
              <w:jc w:val="center"/>
              <w:rPr>
                <w:rFonts w:asciiTheme="minorHAnsi" w:hAnsiTheme="minorHAnsi" w:cstheme="minorHAnsi"/>
                <w:sz w:val="16"/>
                <w:szCs w:val="16"/>
              </w:rPr>
            </w:pPr>
          </w:p>
        </w:tc>
        <w:tc>
          <w:tcPr>
            <w:tcW w:w="691" w:type="dxa"/>
            <w:shd w:val="clear" w:color="auto" w:fill="DEEAF6" w:themeFill="accent1" w:themeFillTint="33"/>
            <w:vAlign w:val="center"/>
          </w:tcPr>
          <w:p w14:paraId="343D2FB1" w14:textId="77777777" w:rsidR="005631A4" w:rsidRPr="00F96E0C" w:rsidRDefault="005631A4" w:rsidP="005631A4">
            <w:pPr>
              <w:spacing w:before="60" w:after="60"/>
              <w:jc w:val="center"/>
              <w:rPr>
                <w:rFonts w:asciiTheme="minorHAnsi" w:hAnsiTheme="minorHAnsi" w:cstheme="minorHAnsi"/>
                <w:sz w:val="16"/>
                <w:szCs w:val="16"/>
              </w:rPr>
            </w:pPr>
          </w:p>
        </w:tc>
        <w:tc>
          <w:tcPr>
            <w:tcW w:w="666" w:type="dxa"/>
            <w:shd w:val="clear" w:color="auto" w:fill="DEEAF6" w:themeFill="accent1" w:themeFillTint="33"/>
          </w:tcPr>
          <w:p w14:paraId="2A5B6F05" w14:textId="77777777" w:rsidR="005631A4" w:rsidRPr="00F96E0C" w:rsidRDefault="005631A4" w:rsidP="005631A4">
            <w:pPr>
              <w:spacing w:before="60" w:after="60"/>
              <w:jc w:val="center"/>
              <w:rPr>
                <w:rFonts w:asciiTheme="minorHAnsi" w:hAnsiTheme="minorHAnsi" w:cstheme="minorHAnsi"/>
                <w:sz w:val="16"/>
                <w:szCs w:val="16"/>
              </w:rPr>
            </w:pPr>
          </w:p>
        </w:tc>
        <w:tc>
          <w:tcPr>
            <w:tcW w:w="693" w:type="dxa"/>
            <w:shd w:val="clear" w:color="auto" w:fill="BDD6EE" w:themeFill="accent1" w:themeFillTint="66"/>
          </w:tcPr>
          <w:p w14:paraId="10BEE4DE" w14:textId="756466A5" w:rsidR="005631A4" w:rsidRPr="00F96E0C" w:rsidRDefault="005631A4" w:rsidP="005631A4">
            <w:pPr>
              <w:spacing w:before="60" w:after="60"/>
              <w:jc w:val="center"/>
              <w:rPr>
                <w:rFonts w:asciiTheme="minorHAnsi" w:hAnsiTheme="minorHAnsi" w:cstheme="minorHAnsi"/>
                <w:sz w:val="16"/>
                <w:szCs w:val="16"/>
              </w:rPr>
            </w:pPr>
          </w:p>
        </w:tc>
        <w:tc>
          <w:tcPr>
            <w:tcW w:w="696" w:type="dxa"/>
            <w:shd w:val="clear" w:color="auto" w:fill="BDD6EE" w:themeFill="accent1" w:themeFillTint="66"/>
          </w:tcPr>
          <w:p w14:paraId="065EC828" w14:textId="27C2BBC8" w:rsidR="005631A4" w:rsidRPr="00F96E0C" w:rsidRDefault="005631A4" w:rsidP="005631A4">
            <w:pPr>
              <w:spacing w:before="60" w:after="60"/>
              <w:jc w:val="center"/>
              <w:rPr>
                <w:rFonts w:asciiTheme="minorHAnsi" w:hAnsiTheme="minorHAnsi" w:cstheme="minorHAnsi"/>
                <w:sz w:val="16"/>
                <w:szCs w:val="16"/>
              </w:rPr>
            </w:pPr>
          </w:p>
        </w:tc>
        <w:tc>
          <w:tcPr>
            <w:tcW w:w="695" w:type="dxa"/>
            <w:shd w:val="clear" w:color="auto" w:fill="BDD6EE" w:themeFill="accent1" w:themeFillTint="66"/>
          </w:tcPr>
          <w:p w14:paraId="7D316026" w14:textId="74AABA99" w:rsidR="005631A4" w:rsidRPr="00F96E0C" w:rsidRDefault="005631A4" w:rsidP="005631A4">
            <w:pPr>
              <w:spacing w:before="60" w:after="60"/>
              <w:jc w:val="center"/>
              <w:rPr>
                <w:rFonts w:asciiTheme="minorHAnsi" w:hAnsiTheme="minorHAnsi" w:cstheme="minorHAnsi"/>
                <w:sz w:val="16"/>
                <w:szCs w:val="16"/>
              </w:rPr>
            </w:pPr>
          </w:p>
        </w:tc>
      </w:tr>
      <w:tr w:rsidR="005631A4" w:rsidRPr="005631A4" w14:paraId="2479AB1B" w14:textId="77777777" w:rsidTr="005631A4">
        <w:trPr>
          <w:jc w:val="center"/>
        </w:trPr>
        <w:tc>
          <w:tcPr>
            <w:tcW w:w="1560" w:type="dxa"/>
            <w:shd w:val="clear" w:color="auto" w:fill="9CC2E5" w:themeFill="accent1" w:themeFillTint="99"/>
            <w:vAlign w:val="center"/>
          </w:tcPr>
          <w:p w14:paraId="15139D7B" w14:textId="77777777" w:rsidR="005631A4" w:rsidRPr="005631A4" w:rsidRDefault="005631A4" w:rsidP="00CE3D48">
            <w:pPr>
              <w:spacing w:before="60" w:after="60"/>
              <w:jc w:val="center"/>
              <w:rPr>
                <w:b/>
                <w:bCs/>
              </w:rPr>
            </w:pPr>
            <w:r w:rsidRPr="005631A4">
              <w:rPr>
                <w:b/>
                <w:bCs/>
              </w:rPr>
              <w:t>Indykatywne źródła finansowania</w:t>
            </w:r>
          </w:p>
        </w:tc>
        <w:tc>
          <w:tcPr>
            <w:tcW w:w="8798" w:type="dxa"/>
            <w:gridSpan w:val="12"/>
            <w:shd w:val="clear" w:color="auto" w:fill="DEEAF6" w:themeFill="accent1" w:themeFillTint="33"/>
            <w:vAlign w:val="center"/>
          </w:tcPr>
          <w:p w14:paraId="2C8D3E44" w14:textId="0BF1403B" w:rsidR="005631A4" w:rsidRPr="005631A4" w:rsidRDefault="005B77E7" w:rsidP="00A545BB">
            <w:pPr>
              <w:numPr>
                <w:ilvl w:val="1"/>
                <w:numId w:val="34"/>
              </w:numPr>
              <w:ind w:left="306" w:hanging="306"/>
              <w:jc w:val="both"/>
            </w:pPr>
            <w:r w:rsidRPr="005B77E7">
              <w:t>Finansowanie ze środków Europejskich</w:t>
            </w:r>
          </w:p>
          <w:p w14:paraId="0BCB0D33" w14:textId="4C4705C5" w:rsidR="005B77E7" w:rsidRPr="005B77E7" w:rsidRDefault="005B77E7" w:rsidP="005B77E7">
            <w:pPr>
              <w:numPr>
                <w:ilvl w:val="1"/>
                <w:numId w:val="34"/>
              </w:numPr>
              <w:ind w:left="306" w:hanging="306"/>
              <w:jc w:val="both"/>
            </w:pPr>
            <w:r w:rsidRPr="005B77E7">
              <w:t>Finansowanie ze środków Europejskich</w:t>
            </w:r>
          </w:p>
          <w:p w14:paraId="62432F2F" w14:textId="62C065C0" w:rsidR="005631A4" w:rsidRPr="005B77E7" w:rsidRDefault="005B77E7" w:rsidP="005B77E7">
            <w:pPr>
              <w:numPr>
                <w:ilvl w:val="1"/>
                <w:numId w:val="34"/>
              </w:numPr>
              <w:ind w:left="306" w:hanging="306"/>
              <w:jc w:val="both"/>
            </w:pPr>
            <w:r w:rsidRPr="005B77E7">
              <w:t>Finansowanie ze środków Europejskich</w:t>
            </w:r>
          </w:p>
          <w:p w14:paraId="6C2967C6" w14:textId="1BD323C5" w:rsidR="0025249E" w:rsidRPr="005631A4" w:rsidRDefault="0025249E" w:rsidP="00A545BB">
            <w:pPr>
              <w:numPr>
                <w:ilvl w:val="1"/>
                <w:numId w:val="34"/>
              </w:numPr>
              <w:ind w:left="306" w:hanging="306"/>
              <w:jc w:val="both"/>
            </w:pPr>
            <w:r>
              <w:t>Działanie bezkosztowe</w:t>
            </w:r>
          </w:p>
          <w:p w14:paraId="5BB540C2" w14:textId="77777777" w:rsidR="005B77E7" w:rsidRPr="005631A4" w:rsidRDefault="005B77E7" w:rsidP="005B77E7">
            <w:pPr>
              <w:numPr>
                <w:ilvl w:val="1"/>
                <w:numId w:val="34"/>
              </w:numPr>
              <w:ind w:left="306" w:hanging="306"/>
              <w:jc w:val="both"/>
            </w:pPr>
            <w:r w:rsidRPr="005B77E7">
              <w:t>Finansowanie ze środków Europejskich</w:t>
            </w:r>
          </w:p>
          <w:p w14:paraId="37C89144" w14:textId="77777777" w:rsidR="005631A4" w:rsidRPr="005631A4" w:rsidRDefault="005631A4" w:rsidP="00A545BB">
            <w:pPr>
              <w:numPr>
                <w:ilvl w:val="1"/>
                <w:numId w:val="34"/>
              </w:numPr>
              <w:ind w:left="306" w:hanging="306"/>
              <w:jc w:val="both"/>
            </w:pPr>
            <w:r w:rsidRPr="005631A4">
              <w:t>Budżet NFZ</w:t>
            </w:r>
          </w:p>
        </w:tc>
      </w:tr>
      <w:tr w:rsidR="005631A4" w:rsidRPr="005631A4" w14:paraId="4A7E9FFA" w14:textId="77777777" w:rsidTr="005631A4">
        <w:trPr>
          <w:trHeight w:val="518"/>
          <w:jc w:val="center"/>
        </w:trPr>
        <w:tc>
          <w:tcPr>
            <w:tcW w:w="1560" w:type="dxa"/>
            <w:shd w:val="clear" w:color="auto" w:fill="9CC2E5" w:themeFill="accent1" w:themeFillTint="99"/>
            <w:vAlign w:val="center"/>
          </w:tcPr>
          <w:p w14:paraId="6AA5F6A2" w14:textId="77777777" w:rsidR="005631A4" w:rsidRPr="005631A4" w:rsidRDefault="005631A4" w:rsidP="00CE3D48">
            <w:pPr>
              <w:spacing w:before="60" w:after="60"/>
              <w:jc w:val="center"/>
              <w:rPr>
                <w:b/>
                <w:bCs/>
              </w:rPr>
            </w:pPr>
            <w:r w:rsidRPr="005631A4">
              <w:rPr>
                <w:b/>
                <w:bCs/>
              </w:rPr>
              <w:t>Koordynacja</w:t>
            </w:r>
          </w:p>
        </w:tc>
        <w:tc>
          <w:tcPr>
            <w:tcW w:w="8798" w:type="dxa"/>
            <w:gridSpan w:val="12"/>
            <w:shd w:val="clear" w:color="auto" w:fill="DEEAF6" w:themeFill="accent1" w:themeFillTint="33"/>
            <w:vAlign w:val="center"/>
          </w:tcPr>
          <w:p w14:paraId="7BF39E28" w14:textId="77777777" w:rsidR="005631A4" w:rsidRPr="005631A4" w:rsidRDefault="005631A4" w:rsidP="00A545BB">
            <w:pPr>
              <w:numPr>
                <w:ilvl w:val="1"/>
                <w:numId w:val="33"/>
              </w:numPr>
              <w:ind w:left="306" w:hanging="306"/>
              <w:jc w:val="both"/>
            </w:pPr>
            <w:r w:rsidRPr="005631A4">
              <w:t>MZ</w:t>
            </w:r>
          </w:p>
          <w:p w14:paraId="4C0767A8" w14:textId="77777777" w:rsidR="005631A4" w:rsidRPr="005631A4" w:rsidRDefault="005631A4" w:rsidP="00A545BB">
            <w:pPr>
              <w:numPr>
                <w:ilvl w:val="1"/>
                <w:numId w:val="33"/>
              </w:numPr>
              <w:ind w:left="306" w:hanging="306"/>
              <w:jc w:val="both"/>
            </w:pPr>
            <w:r w:rsidRPr="005631A4">
              <w:t>MZ</w:t>
            </w:r>
          </w:p>
          <w:p w14:paraId="53206D13" w14:textId="4FA4E5EC" w:rsidR="005631A4" w:rsidRDefault="005631A4" w:rsidP="00A545BB">
            <w:pPr>
              <w:numPr>
                <w:ilvl w:val="1"/>
                <w:numId w:val="33"/>
              </w:numPr>
              <w:ind w:left="306" w:hanging="306"/>
              <w:jc w:val="both"/>
            </w:pPr>
            <w:r w:rsidRPr="005631A4">
              <w:t>MZ</w:t>
            </w:r>
          </w:p>
          <w:p w14:paraId="0415752A" w14:textId="5D68E7DC" w:rsidR="006411C8" w:rsidRPr="005631A4" w:rsidRDefault="006411C8" w:rsidP="00A545BB">
            <w:pPr>
              <w:numPr>
                <w:ilvl w:val="1"/>
                <w:numId w:val="33"/>
              </w:numPr>
              <w:ind w:left="306" w:hanging="306"/>
              <w:jc w:val="both"/>
            </w:pPr>
            <w:r w:rsidRPr="006411C8">
              <w:t xml:space="preserve">IZ RPO, </w:t>
            </w:r>
            <w:r>
              <w:t>MZ</w:t>
            </w:r>
          </w:p>
          <w:p w14:paraId="1E0551F6" w14:textId="77777777" w:rsidR="005631A4" w:rsidRPr="005631A4" w:rsidRDefault="005631A4" w:rsidP="00A545BB">
            <w:pPr>
              <w:numPr>
                <w:ilvl w:val="1"/>
                <w:numId w:val="33"/>
              </w:numPr>
              <w:ind w:left="306" w:hanging="306"/>
              <w:jc w:val="both"/>
            </w:pPr>
            <w:r w:rsidRPr="005631A4">
              <w:t>IZ RPO, MZ</w:t>
            </w:r>
          </w:p>
          <w:p w14:paraId="4D261EF6" w14:textId="77777777" w:rsidR="005631A4" w:rsidRPr="005631A4" w:rsidRDefault="005631A4" w:rsidP="00A545BB">
            <w:pPr>
              <w:numPr>
                <w:ilvl w:val="1"/>
                <w:numId w:val="33"/>
              </w:numPr>
              <w:ind w:left="306" w:hanging="306"/>
              <w:jc w:val="both"/>
            </w:pPr>
            <w:r w:rsidRPr="005631A4">
              <w:t>MZ we współpracy z NFZ</w:t>
            </w:r>
          </w:p>
        </w:tc>
      </w:tr>
    </w:tbl>
    <w:p w14:paraId="11066A72" w14:textId="2385A17B" w:rsidR="005631A4" w:rsidRDefault="005631A4" w:rsidP="00B76A9E">
      <w:pPr>
        <w:pStyle w:val="Akapitzlist"/>
        <w:numPr>
          <w:ilvl w:val="0"/>
          <w:numId w:val="24"/>
        </w:numPr>
        <w:spacing w:after="120"/>
        <w:ind w:left="426" w:hanging="426"/>
        <w:jc w:val="both"/>
      </w:pPr>
      <w:r w:rsidRPr="005631A4">
        <w:br w:type="page"/>
      </w:r>
    </w:p>
    <w:p w14:paraId="233E281C" w14:textId="1701E021" w:rsidR="00B76A9E" w:rsidRPr="00B76A9E" w:rsidRDefault="00B76A9E" w:rsidP="00B76A9E">
      <w:pPr>
        <w:pStyle w:val="Nagwek2"/>
        <w:numPr>
          <w:ilvl w:val="1"/>
          <w:numId w:val="26"/>
        </w:numPr>
        <w:shd w:val="clear" w:color="auto" w:fill="FFDDEE"/>
        <w:tabs>
          <w:tab w:val="clear" w:pos="1080"/>
          <w:tab w:val="num" w:pos="1418"/>
        </w:tabs>
        <w:ind w:left="426" w:hanging="426"/>
        <w:rPr>
          <w:color w:val="FF0066"/>
        </w:rPr>
      </w:pPr>
      <w:r w:rsidRPr="00B76A9E">
        <w:rPr>
          <w:color w:val="FF0066"/>
        </w:rPr>
        <w:lastRenderedPageBreak/>
        <w:t>ROZWÓJ FORM OPIEKI DOMOWEJ</w:t>
      </w:r>
    </w:p>
    <w:p w14:paraId="3E2E4D4A" w14:textId="77777777" w:rsidR="005631A4" w:rsidRPr="005631A4" w:rsidRDefault="005631A4" w:rsidP="005631A4">
      <w:pPr>
        <w:keepNext/>
        <w:keepLines/>
        <w:shd w:val="clear" w:color="auto" w:fill="BDD6EE" w:themeFill="accent1" w:themeFillTint="66"/>
        <w:spacing w:before="240" w:after="120"/>
        <w:ind w:left="426"/>
        <w:jc w:val="both"/>
        <w:outlineLvl w:val="3"/>
        <w:rPr>
          <w:rFonts w:asciiTheme="majorHAnsi" w:eastAsiaTheme="majorEastAsia" w:hAnsiTheme="majorHAnsi" w:cstheme="majorBidi"/>
          <w:b/>
          <w:iCs/>
          <w:color w:val="0070C0"/>
          <w:sz w:val="24"/>
        </w:rPr>
      </w:pPr>
      <w:r w:rsidRPr="005631A4">
        <w:rPr>
          <w:rFonts w:asciiTheme="majorHAnsi" w:eastAsiaTheme="majorEastAsia" w:hAnsiTheme="majorHAnsi" w:cstheme="majorBidi"/>
          <w:b/>
          <w:iCs/>
          <w:color w:val="0070C0"/>
          <w:sz w:val="24"/>
        </w:rPr>
        <w:t>CEL SZCZEGÓŁOWY: Zwiększenie dostępu do opieki długoterminowej oraz opieki paliatywnej i hospicyjnej udzielanej w warunkach domowych</w:t>
      </w:r>
    </w:p>
    <w:p w14:paraId="1157DA5D" w14:textId="77777777" w:rsidR="005631A4" w:rsidRPr="005631A4" w:rsidRDefault="005631A4" w:rsidP="005631A4">
      <w:pPr>
        <w:keepNext/>
        <w:keepLines/>
        <w:spacing w:before="240" w:after="120"/>
        <w:jc w:val="both"/>
        <w:outlineLvl w:val="4"/>
        <w:rPr>
          <w:rFonts w:asciiTheme="majorHAnsi" w:eastAsiaTheme="majorEastAsia" w:hAnsiTheme="majorHAnsi" w:cstheme="majorBidi"/>
          <w:i/>
          <w:color w:val="2E74B5" w:themeColor="accent1" w:themeShade="BF"/>
          <w:sz w:val="23"/>
        </w:rPr>
      </w:pPr>
      <w:r w:rsidRPr="005631A4">
        <w:rPr>
          <w:rFonts w:asciiTheme="majorHAnsi" w:eastAsiaTheme="majorEastAsia" w:hAnsiTheme="majorHAnsi" w:cstheme="majorBidi"/>
          <w:i/>
          <w:color w:val="2E74B5" w:themeColor="accent1" w:themeShade="BF"/>
          <w:sz w:val="23"/>
        </w:rPr>
        <w:t>Diagnoza</w:t>
      </w:r>
    </w:p>
    <w:p w14:paraId="7260EA63" w14:textId="77777777" w:rsidR="005631A4" w:rsidRPr="005631A4" w:rsidRDefault="005631A4" w:rsidP="005631A4">
      <w:pPr>
        <w:spacing w:after="120"/>
        <w:jc w:val="both"/>
        <w:rPr>
          <w:szCs w:val="20"/>
          <w:lang w:eastAsia="pl-PL"/>
        </w:rPr>
      </w:pPr>
      <w:r w:rsidRPr="005631A4">
        <w:rPr>
          <w:szCs w:val="20"/>
          <w:lang w:eastAsia="pl-PL"/>
        </w:rPr>
        <w:t>Mimo, że liczba świadczeniodawców opieki długoterminowej domowej w ostatnich latach sukcesywnie spada, to liczba udzielanych świadczeń pielęgnacyjno-opiekuńczych udzielonych w warunkach domowych, w tym w szczególności w ramach opieki pielęgniarskiej, wykazuje tendencję wzrostową. Należy zwrócić uwagę na dane wskazujące, iż liczba świadczeniobiorców korzystających z opieki długoterminowej domowej jest wyższa niż liczba świadczeniobiorców korzystających z opieki długoterminowej instytucjonalnej.</w:t>
      </w:r>
    </w:p>
    <w:p w14:paraId="0B0CD88C" w14:textId="0E32C451" w:rsidR="005631A4" w:rsidRPr="005631A4" w:rsidRDefault="005631A4" w:rsidP="005631A4">
      <w:pPr>
        <w:spacing w:after="120"/>
        <w:jc w:val="both"/>
      </w:pPr>
      <w:r w:rsidRPr="005631A4">
        <w:rPr>
          <w:szCs w:val="20"/>
          <w:lang w:eastAsia="pl-PL"/>
        </w:rPr>
        <w:t>Rozwój opieki i wsparcia udzielanego w warunkach pozainstytucjonalnych, w środowisku lokalnym, w</w:t>
      </w:r>
      <w:r w:rsidR="00874582">
        <w:rPr>
          <w:szCs w:val="20"/>
          <w:lang w:eastAsia="pl-PL"/>
        </w:rPr>
        <w:t> </w:t>
      </w:r>
      <w:r w:rsidRPr="005631A4">
        <w:rPr>
          <w:szCs w:val="20"/>
          <w:lang w:eastAsia="pl-PL"/>
        </w:rPr>
        <w:t>miarę możliwości w domu pacjenta lub jego rodziny, jest jednym z głównych kierunków rozwoju opieki zdrowotnej nad osobami starszymi. Niemniej jednak znaczącym ograniczeniem w tym procesie są kurczące się zasoby profesjonalnego personelu medycznego, w szczególności kadry pielęgniarskiej, która jest podstawą opieki udzielanej w warunkach domowych. Ograniczenia kadrowe, przy jednoczesnym wzroście zapotrzebowania na usługi opiekuńcze dla tej grupy pacjentów, stanowią ogromne wyzwanie dla systemu ochrony zdrowia. Perspektywa zaprojektowania odpowiednich rozwiązań w tym zakresie wymaga bowiem uwzględnienia zarówno potrzeb i oczekiwań zdrowotnych pacjentów, jak też aktualnych zasobów i możliwości organizacyjnych systemu.</w:t>
      </w:r>
    </w:p>
    <w:p w14:paraId="06DC1AA6" w14:textId="77777777" w:rsidR="005631A4" w:rsidRPr="005631A4" w:rsidRDefault="005631A4" w:rsidP="005631A4">
      <w:pPr>
        <w:spacing w:after="120"/>
        <w:jc w:val="both"/>
      </w:pPr>
      <w:r w:rsidRPr="005631A4">
        <w:t>Biorąc pod uwagę zakres wsparcia udzielanego pacjentom ze względu na stan zdrowia, w szczególności w warunkach domowych, warto zauważyć, że duża część tych osób wymaga ze strony personelu medycznego przede wszystkim bieżącej pomocy i wsparcia w zakresie zaspokojenia podstawowych potrzeb biologicznych, utrzymania lub przywrócenia samodzielności i codziennej aktywności, zapewniania bieżącego bezpieczeństwa i higieny czy też pomocy w przyswajaniu zachowań prozdrowotnych.</w:t>
      </w:r>
    </w:p>
    <w:p w14:paraId="44F71717" w14:textId="77777777" w:rsidR="005631A4" w:rsidRPr="005631A4" w:rsidRDefault="005631A4" w:rsidP="005631A4">
      <w:pPr>
        <w:spacing w:after="120"/>
        <w:jc w:val="both"/>
      </w:pPr>
      <w:r w:rsidRPr="005631A4">
        <w:t>Również dla dużej części pacjentów z nieuleczalnymi i postępującymi chorobami codzienna opieka zdrowotna realizowana w ramach hospicjum domowego – poza zapobieganiem bólowi i innym objawom somatycznym oraz ich uśmierzaniem – opiera się w znaczącym stopniu na codziennej pomocy w wykonywaniu podstawowych czynności takich jak czynności higieniczno-pielęgnacyjne, profilaktyce przeciwodleżynowej oraz wsparciu w użytkowaniu przedmiotów ortopedycznych i sprzętu rehabilitacyjnego.</w:t>
      </w:r>
    </w:p>
    <w:p w14:paraId="563D9D74" w14:textId="1CC35016" w:rsidR="005631A4" w:rsidRDefault="005631A4" w:rsidP="005631A4">
      <w:pPr>
        <w:suppressAutoHyphens/>
        <w:autoSpaceDN w:val="0"/>
        <w:spacing w:after="120"/>
        <w:jc w:val="both"/>
        <w:textAlignment w:val="baseline"/>
        <w:rPr>
          <w:rFonts w:ascii="Calibri" w:hAnsi="Calibri"/>
        </w:rPr>
      </w:pPr>
      <w:r w:rsidRPr="005631A4">
        <w:rPr>
          <w:rFonts w:ascii="Calibri" w:eastAsia="Calibri" w:hAnsi="Calibri" w:cs="F"/>
        </w:rPr>
        <w:t xml:space="preserve">W obu powyższych przypadkach wymienione obowiązki w dużej mierze pokrywają się z zakresem czynności przewidzianych </w:t>
      </w:r>
      <w:r w:rsidRPr="005631A4">
        <w:rPr>
          <w:rFonts w:ascii="Calibri" w:hAnsi="Calibri"/>
        </w:rPr>
        <w:t>do realizacji przez</w:t>
      </w:r>
      <w:r w:rsidRPr="005631A4">
        <w:rPr>
          <w:rFonts w:ascii="Calibri" w:eastAsia="Calibri" w:hAnsi="Calibri" w:cs="F"/>
        </w:rPr>
        <w:t xml:space="preserve"> opiekunów medycznych. </w:t>
      </w:r>
      <w:r w:rsidRPr="005631A4">
        <w:rPr>
          <w:rFonts w:ascii="Calibri" w:hAnsi="Calibri"/>
        </w:rPr>
        <w:t xml:space="preserve">Należy jednak zaznaczyć, że opiekunowie medyczni są obecnie zaangażowani jedynie w realizację świadczeń </w:t>
      </w:r>
      <w:r w:rsidR="00902487">
        <w:rPr>
          <w:rFonts w:ascii="Calibri" w:hAnsi="Calibri"/>
        </w:rPr>
        <w:t xml:space="preserve">opieki długoterminowej oraz opieki paliatywnej i hospicyjnej </w:t>
      </w:r>
      <w:r w:rsidRPr="005631A4">
        <w:rPr>
          <w:rFonts w:ascii="Calibri" w:hAnsi="Calibri"/>
        </w:rPr>
        <w:t xml:space="preserve">realizowanych w </w:t>
      </w:r>
      <w:r w:rsidR="00902487">
        <w:rPr>
          <w:rFonts w:ascii="Calibri" w:hAnsi="Calibri"/>
        </w:rPr>
        <w:t>warunkach stacjonarnych (w ZOL/ZPO i hospicjach stacjonarnych)</w:t>
      </w:r>
      <w:r w:rsidRPr="005631A4">
        <w:rPr>
          <w:rFonts w:ascii="Calibri" w:hAnsi="Calibri"/>
        </w:rPr>
        <w:t xml:space="preserve">, nie uczestniczą natomiast w udzielaniu </w:t>
      </w:r>
      <w:r w:rsidR="00902487">
        <w:rPr>
          <w:rFonts w:ascii="Calibri" w:hAnsi="Calibri"/>
        </w:rPr>
        <w:t xml:space="preserve">tych zakresów </w:t>
      </w:r>
      <w:r w:rsidRPr="005631A4">
        <w:rPr>
          <w:rFonts w:ascii="Calibri" w:hAnsi="Calibri"/>
        </w:rPr>
        <w:t xml:space="preserve">świadczeń </w:t>
      </w:r>
      <w:r w:rsidR="00902487">
        <w:rPr>
          <w:rFonts w:ascii="Calibri" w:hAnsi="Calibri"/>
        </w:rPr>
        <w:t xml:space="preserve">w warunkach </w:t>
      </w:r>
      <w:r w:rsidRPr="005631A4">
        <w:rPr>
          <w:rFonts w:ascii="Calibri" w:hAnsi="Calibri"/>
        </w:rPr>
        <w:t>domow</w:t>
      </w:r>
      <w:r w:rsidR="00902487">
        <w:rPr>
          <w:rFonts w:ascii="Calibri" w:hAnsi="Calibri"/>
        </w:rPr>
        <w:t>ych</w:t>
      </w:r>
      <w:r w:rsidRPr="005631A4">
        <w:rPr>
          <w:rFonts w:ascii="Calibri" w:hAnsi="Calibri"/>
        </w:rPr>
        <w:t>.</w:t>
      </w:r>
    </w:p>
    <w:p w14:paraId="750BBD86" w14:textId="42595E6A" w:rsidR="004620C7" w:rsidRPr="004620C7" w:rsidRDefault="004620C7" w:rsidP="004620C7">
      <w:pPr>
        <w:suppressAutoHyphens/>
        <w:autoSpaceDN w:val="0"/>
        <w:spacing w:after="120"/>
        <w:jc w:val="both"/>
        <w:textAlignment w:val="baseline"/>
        <w:rPr>
          <w:rFonts w:ascii="Calibri" w:hAnsi="Calibri"/>
          <w:b/>
        </w:rPr>
      </w:pPr>
      <w:r w:rsidRPr="004620C7">
        <w:rPr>
          <w:rFonts w:ascii="Calibri" w:hAnsi="Calibri"/>
          <w:b/>
        </w:rPr>
        <w:t xml:space="preserve">Sukcesywne zwiększanie się liczby opiekunów medycznych daje możliwość wykorzystania ich potencjału – po odpowiednim przeszkoleniu – w realizacji świadczeń </w:t>
      </w:r>
      <w:bookmarkStart w:id="20" w:name="_Hlk47520707"/>
      <w:r w:rsidRPr="004620C7">
        <w:rPr>
          <w:rFonts w:ascii="Calibri" w:hAnsi="Calibri"/>
          <w:b/>
        </w:rPr>
        <w:t>opie</w:t>
      </w:r>
      <w:r w:rsidR="00B24A99">
        <w:rPr>
          <w:rFonts w:ascii="Calibri" w:hAnsi="Calibri"/>
          <w:b/>
        </w:rPr>
        <w:t>ki</w:t>
      </w:r>
      <w:r w:rsidRPr="004620C7">
        <w:rPr>
          <w:rFonts w:ascii="Calibri" w:hAnsi="Calibri"/>
          <w:b/>
        </w:rPr>
        <w:t xml:space="preserve"> długoterminowej </w:t>
      </w:r>
      <w:r w:rsidR="00B24A99">
        <w:rPr>
          <w:rFonts w:ascii="Calibri" w:hAnsi="Calibri"/>
          <w:b/>
        </w:rPr>
        <w:t xml:space="preserve">oraz opieki paliatywnej i hospicyjnej w warunkach </w:t>
      </w:r>
      <w:r w:rsidRPr="004620C7">
        <w:rPr>
          <w:rFonts w:ascii="Calibri" w:hAnsi="Calibri"/>
          <w:b/>
        </w:rPr>
        <w:t>domow</w:t>
      </w:r>
      <w:r w:rsidR="00B24A99">
        <w:rPr>
          <w:rFonts w:ascii="Calibri" w:hAnsi="Calibri"/>
          <w:b/>
        </w:rPr>
        <w:t>ych</w:t>
      </w:r>
      <w:bookmarkEnd w:id="20"/>
      <w:r w:rsidRPr="004620C7">
        <w:rPr>
          <w:rFonts w:ascii="Calibri" w:hAnsi="Calibri"/>
          <w:b/>
        </w:rPr>
        <w:t xml:space="preserve">. Podniesienie kompetencji niemal połowy z ogółu (3 000 z 7 500 osób) przedstawicieli tej grupy zawodowej, zatrudnionych w placówkach ochrony zdrowia, z zakresu opieki nad pacjentami wymagającymi </w:t>
      </w:r>
      <w:r w:rsidR="00B24A99">
        <w:rPr>
          <w:rFonts w:ascii="Calibri" w:hAnsi="Calibri"/>
          <w:b/>
        </w:rPr>
        <w:t xml:space="preserve">ww. </w:t>
      </w:r>
      <w:r w:rsidRPr="004620C7">
        <w:rPr>
          <w:rFonts w:ascii="Calibri" w:hAnsi="Calibri"/>
          <w:b/>
        </w:rPr>
        <w:t xml:space="preserve">świadczeń, potencjalnie </w:t>
      </w:r>
      <w:r w:rsidRPr="004620C7">
        <w:rPr>
          <w:rFonts w:ascii="Calibri" w:hAnsi="Calibri"/>
          <w:b/>
        </w:rPr>
        <w:lastRenderedPageBreak/>
        <w:t>stanowić może istotne wsparcie dla personelu pielęgniarskiego udzielającego świadczeń w</w:t>
      </w:r>
      <w:r w:rsidR="00874582">
        <w:rPr>
          <w:rFonts w:ascii="Calibri" w:hAnsi="Calibri"/>
          <w:b/>
        </w:rPr>
        <w:t> </w:t>
      </w:r>
      <w:r w:rsidR="00B24A99">
        <w:rPr>
          <w:rFonts w:ascii="Calibri" w:hAnsi="Calibri"/>
          <w:b/>
        </w:rPr>
        <w:t>przedmiotowych</w:t>
      </w:r>
      <w:r w:rsidRPr="004620C7">
        <w:rPr>
          <w:rFonts w:ascii="Calibri" w:hAnsi="Calibri"/>
          <w:b/>
        </w:rPr>
        <w:t xml:space="preserve"> zakres</w:t>
      </w:r>
      <w:r w:rsidR="00B24A99">
        <w:rPr>
          <w:rFonts w:ascii="Calibri" w:hAnsi="Calibri"/>
          <w:b/>
        </w:rPr>
        <w:t>ach</w:t>
      </w:r>
      <w:r w:rsidRPr="004620C7">
        <w:rPr>
          <w:rFonts w:ascii="Calibri" w:hAnsi="Calibri"/>
          <w:b/>
        </w:rPr>
        <w:t>.</w:t>
      </w:r>
    </w:p>
    <w:p w14:paraId="14CE4BA7" w14:textId="77777777" w:rsidR="005631A4" w:rsidRPr="005631A4" w:rsidRDefault="005631A4" w:rsidP="005631A4">
      <w:pPr>
        <w:keepNext/>
        <w:keepLines/>
        <w:spacing w:before="240" w:after="120"/>
        <w:jc w:val="both"/>
        <w:outlineLvl w:val="4"/>
        <w:rPr>
          <w:rFonts w:asciiTheme="majorHAnsi" w:eastAsiaTheme="majorEastAsia" w:hAnsiTheme="majorHAnsi" w:cstheme="majorBidi"/>
          <w:i/>
          <w:color w:val="0070C0"/>
          <w:sz w:val="23"/>
        </w:rPr>
      </w:pPr>
      <w:r w:rsidRPr="005631A4">
        <w:rPr>
          <w:rFonts w:asciiTheme="majorHAnsi" w:eastAsiaTheme="majorEastAsia" w:hAnsiTheme="majorHAnsi" w:cstheme="majorBidi"/>
          <w:i/>
          <w:color w:val="0070C0"/>
          <w:sz w:val="23"/>
        </w:rPr>
        <w:t>Rezultat 1</w:t>
      </w:r>
    </w:p>
    <w:p w14:paraId="4938F758" w14:textId="5B9A42A1" w:rsidR="005631A4" w:rsidRPr="00C35E38" w:rsidRDefault="005631A4">
      <w:pPr>
        <w:keepNext/>
        <w:keepLines/>
        <w:shd w:val="clear" w:color="auto" w:fill="BDD6EE" w:themeFill="accent1" w:themeFillTint="66"/>
        <w:spacing w:before="180" w:after="120"/>
        <w:ind w:left="284"/>
        <w:jc w:val="both"/>
        <w:outlineLvl w:val="5"/>
        <w:rPr>
          <w:rFonts w:eastAsiaTheme="minorEastAsia"/>
          <w:b/>
          <w:bCs/>
        </w:rPr>
      </w:pPr>
      <w:r w:rsidRPr="00C35E38">
        <w:rPr>
          <w:rFonts w:eastAsiaTheme="majorEastAsia" w:cstheme="majorBidi"/>
          <w:b/>
        </w:rPr>
        <w:t>Zwiększenie liczby świadczeń gwarantowanych w ramach opieki długoterminowej oraz opieki paliatywnej i hospicyjnej udzielanych przez opiekunów medycznych w warunkach domowych – od początku 2023 r.</w:t>
      </w:r>
    </w:p>
    <w:p w14:paraId="2975D538" w14:textId="77777777" w:rsidR="005631A4" w:rsidRPr="005631A4" w:rsidRDefault="005631A4" w:rsidP="005631A4">
      <w:pPr>
        <w:keepNext/>
        <w:keepLines/>
        <w:spacing w:before="240" w:after="120"/>
        <w:jc w:val="both"/>
        <w:outlineLvl w:val="4"/>
        <w:rPr>
          <w:rFonts w:asciiTheme="majorHAnsi" w:eastAsiaTheme="majorEastAsia" w:hAnsiTheme="majorHAnsi" w:cstheme="majorBidi"/>
          <w:i/>
          <w:color w:val="2E74B5" w:themeColor="accent1" w:themeShade="BF"/>
          <w:sz w:val="23"/>
        </w:rPr>
      </w:pPr>
      <w:r w:rsidRPr="005631A4">
        <w:rPr>
          <w:rFonts w:asciiTheme="majorHAnsi" w:eastAsiaTheme="majorEastAsia" w:hAnsiTheme="majorHAnsi" w:cstheme="majorBidi"/>
          <w:i/>
          <w:color w:val="2E74B5" w:themeColor="accent1" w:themeShade="BF"/>
          <w:sz w:val="23"/>
        </w:rPr>
        <w:t>Działania</w:t>
      </w:r>
    </w:p>
    <w:p w14:paraId="28818E8D" w14:textId="231EAF74" w:rsidR="005631A4" w:rsidRPr="002C44D0" w:rsidRDefault="005631A4" w:rsidP="002C44D0">
      <w:pPr>
        <w:pStyle w:val="Akapitzlist"/>
        <w:keepNext/>
        <w:keepLines/>
        <w:numPr>
          <w:ilvl w:val="6"/>
          <w:numId w:val="29"/>
        </w:numPr>
        <w:shd w:val="clear" w:color="auto" w:fill="DEEAF6" w:themeFill="accent1" w:themeFillTint="33"/>
        <w:spacing w:before="180" w:after="120"/>
        <w:ind w:left="567" w:hanging="283"/>
        <w:jc w:val="both"/>
        <w:outlineLvl w:val="5"/>
        <w:rPr>
          <w:rFonts w:eastAsiaTheme="minorEastAsia" w:cstheme="majorBidi"/>
          <w:b/>
        </w:rPr>
      </w:pPr>
      <w:r w:rsidRPr="002C44D0">
        <w:rPr>
          <w:rFonts w:eastAsiaTheme="majorEastAsia" w:cstheme="majorBidi"/>
          <w:b/>
        </w:rPr>
        <w:t>Włączenie opiekunów medycznych do personelu udzielającego świadczeń gwarantowanych w</w:t>
      </w:r>
      <w:r w:rsidR="00874582">
        <w:rPr>
          <w:rFonts w:eastAsiaTheme="majorEastAsia" w:cstheme="majorBidi"/>
          <w:b/>
        </w:rPr>
        <w:t> </w:t>
      </w:r>
      <w:r w:rsidRPr="002C44D0">
        <w:rPr>
          <w:rFonts w:eastAsiaTheme="majorEastAsia" w:cstheme="majorBidi"/>
          <w:b/>
        </w:rPr>
        <w:t>ramach opieki długoterminowej oraz opieki paliatywnej i hospicyjnej udzielanych w</w:t>
      </w:r>
      <w:r w:rsidR="00874582">
        <w:rPr>
          <w:rFonts w:eastAsiaTheme="majorEastAsia" w:cstheme="majorBidi"/>
          <w:b/>
        </w:rPr>
        <w:t> </w:t>
      </w:r>
      <w:r w:rsidRPr="002C44D0">
        <w:rPr>
          <w:rFonts w:eastAsiaTheme="majorEastAsia" w:cstheme="majorBidi"/>
          <w:b/>
        </w:rPr>
        <w:t>warunkach domowych – do końca 2022 r.</w:t>
      </w:r>
    </w:p>
    <w:p w14:paraId="0D467C76" w14:textId="39439282" w:rsidR="005631A4" w:rsidRPr="005631A4" w:rsidRDefault="005631A4" w:rsidP="005631A4">
      <w:pPr>
        <w:spacing w:after="120"/>
        <w:ind w:left="567"/>
        <w:jc w:val="both"/>
      </w:pPr>
      <w:r w:rsidRPr="00B24A99">
        <w:t>W celu poprawy dostępu do usług opieki długoterminowej oraz opieki paliatywnej hospicyjnej udzielanych w warunkach domowych, a także optymalizacji organizacji udzielania tychże świadczeń planuje się większe włączenie opiekunów medycznych do realizacji świadczeń opieki zdrowotnej w ramach opieki długoterminowej oraz hospicjum</w:t>
      </w:r>
      <w:r w:rsidRPr="005631A4">
        <w:t xml:space="preserve"> poprzez stosowne zmiany w</w:t>
      </w:r>
      <w:r w:rsidR="00874582">
        <w:t> </w:t>
      </w:r>
      <w:r w:rsidRPr="005631A4">
        <w:t>zakresie wymogów kadrowych w przepisach prawnych dotyczących poszczególnych świadczeń.</w:t>
      </w:r>
    </w:p>
    <w:p w14:paraId="6421680C" w14:textId="63B1B2A6" w:rsidR="005631A4" w:rsidRPr="005631A4" w:rsidRDefault="007878AF" w:rsidP="005631A4">
      <w:pPr>
        <w:spacing w:after="360"/>
        <w:ind w:left="567"/>
        <w:jc w:val="both"/>
      </w:pPr>
      <w:r>
        <w:t>Zgodnie z założeniami dla ww. zmian, o</w:t>
      </w:r>
      <w:r w:rsidR="005631A4" w:rsidRPr="005631A4">
        <w:t xml:space="preserve">piekun medyczny </w:t>
      </w:r>
      <w:r>
        <w:t>przejmie</w:t>
      </w:r>
      <w:r w:rsidRPr="005631A4">
        <w:t xml:space="preserve"> </w:t>
      </w:r>
      <w:r w:rsidR="005631A4" w:rsidRPr="005631A4">
        <w:t>przeprowadzanie prostych czynności pielęgnacyjnych i opiekuńczych. Pozwoli to zagospodarować aktualne zasoby kadrowe opiekunów medycznych oraz odciążyć dotychczasowy personel pielęgniarski w przeważającej mierze udzielający tychże świadczeń. Jest to szczególnie istotne ze względu na rosnące niedobory personelu pielęgniarskiego w Polsce oraz zmniejszający się potencjał zastępowalności pokoleniowej wśród tych kadr.</w:t>
      </w:r>
    </w:p>
    <w:tbl>
      <w:tblPr>
        <w:tblStyle w:val="Tabela-Siatka"/>
        <w:tblW w:w="10358"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560"/>
        <w:gridCol w:w="1139"/>
        <w:gridCol w:w="709"/>
        <w:gridCol w:w="709"/>
        <w:gridCol w:w="727"/>
        <w:gridCol w:w="691"/>
        <w:gridCol w:w="691"/>
        <w:gridCol w:w="691"/>
        <w:gridCol w:w="691"/>
        <w:gridCol w:w="666"/>
        <w:gridCol w:w="693"/>
        <w:gridCol w:w="696"/>
        <w:gridCol w:w="695"/>
      </w:tblGrid>
      <w:tr w:rsidR="005631A4" w:rsidRPr="005631A4" w14:paraId="7F186926" w14:textId="77777777" w:rsidTr="005631A4">
        <w:trPr>
          <w:jc w:val="center"/>
        </w:trPr>
        <w:tc>
          <w:tcPr>
            <w:tcW w:w="10358" w:type="dxa"/>
            <w:gridSpan w:val="13"/>
            <w:shd w:val="clear" w:color="auto" w:fill="65A2D9"/>
            <w:vAlign w:val="center"/>
          </w:tcPr>
          <w:p w14:paraId="70A18280" w14:textId="77777777" w:rsidR="005631A4" w:rsidRPr="005631A4" w:rsidRDefault="005631A4" w:rsidP="005631A4">
            <w:pPr>
              <w:spacing w:before="60" w:after="60"/>
              <w:jc w:val="both"/>
              <w:rPr>
                <w:b/>
                <w:bCs/>
              </w:rPr>
            </w:pPr>
            <w:r w:rsidRPr="005631A4">
              <w:rPr>
                <w:b/>
                <w:bCs/>
                <w:sz w:val="24"/>
                <w:szCs w:val="24"/>
              </w:rPr>
              <w:t>REZULTAT 1</w:t>
            </w:r>
          </w:p>
        </w:tc>
      </w:tr>
      <w:tr w:rsidR="005631A4" w:rsidRPr="005631A4" w14:paraId="23F7F418" w14:textId="77777777" w:rsidTr="009E373B">
        <w:trPr>
          <w:jc w:val="center"/>
        </w:trPr>
        <w:tc>
          <w:tcPr>
            <w:tcW w:w="1560" w:type="dxa"/>
            <w:vMerge w:val="restart"/>
            <w:shd w:val="clear" w:color="auto" w:fill="9CC2E5" w:themeFill="accent1" w:themeFillTint="99"/>
            <w:vAlign w:val="center"/>
          </w:tcPr>
          <w:p w14:paraId="6686D25C" w14:textId="77777777" w:rsidR="005631A4" w:rsidRPr="005631A4" w:rsidRDefault="005631A4" w:rsidP="00CE3D48">
            <w:pPr>
              <w:spacing w:before="60" w:after="60"/>
              <w:jc w:val="center"/>
              <w:rPr>
                <w:b/>
                <w:bCs/>
              </w:rPr>
            </w:pPr>
            <w:r w:rsidRPr="005631A4">
              <w:rPr>
                <w:b/>
                <w:bCs/>
              </w:rPr>
              <w:t>Termin realizacji działań</w:t>
            </w:r>
          </w:p>
        </w:tc>
        <w:tc>
          <w:tcPr>
            <w:tcW w:w="1139" w:type="dxa"/>
            <w:shd w:val="clear" w:color="auto" w:fill="9CC2E5" w:themeFill="accent1" w:themeFillTint="99"/>
            <w:vAlign w:val="center"/>
          </w:tcPr>
          <w:p w14:paraId="5D41017D" w14:textId="77777777" w:rsidR="005631A4" w:rsidRPr="005631A4" w:rsidRDefault="005631A4" w:rsidP="005631A4">
            <w:pPr>
              <w:spacing w:before="60" w:after="60"/>
              <w:jc w:val="center"/>
            </w:pPr>
            <w:r w:rsidRPr="005631A4">
              <w:t>Nr działania</w:t>
            </w:r>
          </w:p>
        </w:tc>
        <w:tc>
          <w:tcPr>
            <w:tcW w:w="709" w:type="dxa"/>
            <w:tcBorders>
              <w:bottom w:val="single" w:sz="4" w:space="0" w:color="FFFFFF" w:themeColor="background1"/>
            </w:tcBorders>
            <w:shd w:val="clear" w:color="auto" w:fill="9CC2E5" w:themeFill="accent1" w:themeFillTint="99"/>
            <w:vAlign w:val="center"/>
          </w:tcPr>
          <w:p w14:paraId="21E31219" w14:textId="77777777" w:rsidR="005631A4" w:rsidRPr="005631A4" w:rsidRDefault="005631A4" w:rsidP="005631A4">
            <w:pPr>
              <w:spacing w:before="60" w:after="60"/>
              <w:jc w:val="both"/>
            </w:pPr>
            <w:r w:rsidRPr="005631A4">
              <w:t>2020</w:t>
            </w:r>
          </w:p>
        </w:tc>
        <w:tc>
          <w:tcPr>
            <w:tcW w:w="709" w:type="dxa"/>
            <w:tcBorders>
              <w:bottom w:val="single" w:sz="4" w:space="0" w:color="FFFFFF" w:themeColor="background1"/>
            </w:tcBorders>
            <w:shd w:val="clear" w:color="auto" w:fill="9CC2E5" w:themeFill="accent1" w:themeFillTint="99"/>
            <w:vAlign w:val="center"/>
          </w:tcPr>
          <w:p w14:paraId="1F39FBF6" w14:textId="77777777" w:rsidR="005631A4" w:rsidRPr="005631A4" w:rsidRDefault="005631A4" w:rsidP="005631A4">
            <w:pPr>
              <w:spacing w:before="60" w:after="60"/>
              <w:jc w:val="both"/>
            </w:pPr>
            <w:r w:rsidRPr="005631A4">
              <w:t>2021</w:t>
            </w:r>
          </w:p>
        </w:tc>
        <w:tc>
          <w:tcPr>
            <w:tcW w:w="727" w:type="dxa"/>
            <w:tcBorders>
              <w:bottom w:val="single" w:sz="4" w:space="0" w:color="FFFFFF" w:themeColor="background1"/>
            </w:tcBorders>
            <w:shd w:val="clear" w:color="auto" w:fill="9CC2E5" w:themeFill="accent1" w:themeFillTint="99"/>
            <w:vAlign w:val="center"/>
          </w:tcPr>
          <w:p w14:paraId="0E83CCA9" w14:textId="77777777" w:rsidR="005631A4" w:rsidRPr="005631A4" w:rsidRDefault="005631A4" w:rsidP="005631A4">
            <w:pPr>
              <w:spacing w:before="60" w:after="60"/>
              <w:jc w:val="both"/>
            </w:pPr>
            <w:r w:rsidRPr="005631A4">
              <w:t>2022</w:t>
            </w:r>
          </w:p>
        </w:tc>
        <w:tc>
          <w:tcPr>
            <w:tcW w:w="691" w:type="dxa"/>
            <w:tcBorders>
              <w:bottom w:val="single" w:sz="4" w:space="0" w:color="FFFFFF" w:themeColor="background1"/>
            </w:tcBorders>
            <w:shd w:val="clear" w:color="auto" w:fill="9CC2E5" w:themeFill="accent1" w:themeFillTint="99"/>
            <w:vAlign w:val="center"/>
          </w:tcPr>
          <w:p w14:paraId="714F1D06" w14:textId="77777777" w:rsidR="005631A4" w:rsidRPr="005631A4" w:rsidRDefault="005631A4" w:rsidP="005631A4">
            <w:pPr>
              <w:spacing w:before="60" w:after="60"/>
              <w:jc w:val="both"/>
            </w:pPr>
            <w:r w:rsidRPr="005631A4">
              <w:t>2023</w:t>
            </w:r>
          </w:p>
        </w:tc>
        <w:tc>
          <w:tcPr>
            <w:tcW w:w="691" w:type="dxa"/>
            <w:tcBorders>
              <w:bottom w:val="single" w:sz="4" w:space="0" w:color="FFFFFF" w:themeColor="background1"/>
            </w:tcBorders>
            <w:shd w:val="clear" w:color="auto" w:fill="9CC2E5" w:themeFill="accent1" w:themeFillTint="99"/>
            <w:vAlign w:val="center"/>
          </w:tcPr>
          <w:p w14:paraId="031960C6" w14:textId="77777777" w:rsidR="005631A4" w:rsidRPr="005631A4" w:rsidRDefault="005631A4" w:rsidP="005631A4">
            <w:pPr>
              <w:spacing w:before="60" w:after="60"/>
              <w:jc w:val="both"/>
            </w:pPr>
            <w:r w:rsidRPr="005631A4">
              <w:t>2024</w:t>
            </w:r>
          </w:p>
        </w:tc>
        <w:tc>
          <w:tcPr>
            <w:tcW w:w="691" w:type="dxa"/>
            <w:tcBorders>
              <w:bottom w:val="single" w:sz="4" w:space="0" w:color="FFFFFF" w:themeColor="background1"/>
            </w:tcBorders>
            <w:shd w:val="clear" w:color="auto" w:fill="9CC2E5" w:themeFill="accent1" w:themeFillTint="99"/>
            <w:vAlign w:val="center"/>
          </w:tcPr>
          <w:p w14:paraId="7FA24D7D" w14:textId="77777777" w:rsidR="005631A4" w:rsidRPr="005631A4" w:rsidRDefault="005631A4" w:rsidP="005631A4">
            <w:pPr>
              <w:spacing w:before="60" w:after="60"/>
              <w:jc w:val="both"/>
            </w:pPr>
            <w:r w:rsidRPr="005631A4">
              <w:t>2025</w:t>
            </w:r>
          </w:p>
        </w:tc>
        <w:tc>
          <w:tcPr>
            <w:tcW w:w="691" w:type="dxa"/>
            <w:tcBorders>
              <w:bottom w:val="single" w:sz="4" w:space="0" w:color="FFFFFF" w:themeColor="background1"/>
            </w:tcBorders>
            <w:shd w:val="clear" w:color="auto" w:fill="9CC2E5" w:themeFill="accent1" w:themeFillTint="99"/>
            <w:vAlign w:val="center"/>
          </w:tcPr>
          <w:p w14:paraId="1083B225" w14:textId="77777777" w:rsidR="005631A4" w:rsidRPr="005631A4" w:rsidRDefault="005631A4" w:rsidP="005631A4">
            <w:pPr>
              <w:spacing w:before="60" w:after="60"/>
              <w:jc w:val="both"/>
            </w:pPr>
            <w:r w:rsidRPr="005631A4">
              <w:t>2026</w:t>
            </w:r>
          </w:p>
        </w:tc>
        <w:tc>
          <w:tcPr>
            <w:tcW w:w="666" w:type="dxa"/>
            <w:tcBorders>
              <w:bottom w:val="single" w:sz="4" w:space="0" w:color="FFFFFF" w:themeColor="background1"/>
            </w:tcBorders>
            <w:shd w:val="clear" w:color="auto" w:fill="9CC2E5" w:themeFill="accent1" w:themeFillTint="99"/>
            <w:vAlign w:val="center"/>
          </w:tcPr>
          <w:p w14:paraId="2755F80E" w14:textId="77777777" w:rsidR="005631A4" w:rsidRPr="005631A4" w:rsidRDefault="005631A4" w:rsidP="005631A4">
            <w:pPr>
              <w:spacing w:before="60" w:after="60"/>
              <w:jc w:val="both"/>
            </w:pPr>
            <w:r w:rsidRPr="005631A4">
              <w:t>2027</w:t>
            </w:r>
          </w:p>
        </w:tc>
        <w:tc>
          <w:tcPr>
            <w:tcW w:w="693" w:type="dxa"/>
            <w:tcBorders>
              <w:bottom w:val="single" w:sz="4" w:space="0" w:color="FFFFFF" w:themeColor="background1"/>
            </w:tcBorders>
            <w:shd w:val="clear" w:color="auto" w:fill="9CC2E5" w:themeFill="accent1" w:themeFillTint="99"/>
            <w:vAlign w:val="center"/>
          </w:tcPr>
          <w:p w14:paraId="2819F6EC" w14:textId="77777777" w:rsidR="005631A4" w:rsidRPr="005631A4" w:rsidRDefault="005631A4" w:rsidP="005631A4">
            <w:pPr>
              <w:spacing w:before="60" w:after="60"/>
              <w:jc w:val="both"/>
            </w:pPr>
            <w:r w:rsidRPr="005631A4">
              <w:t>2028</w:t>
            </w:r>
          </w:p>
        </w:tc>
        <w:tc>
          <w:tcPr>
            <w:tcW w:w="696" w:type="dxa"/>
            <w:tcBorders>
              <w:bottom w:val="single" w:sz="4" w:space="0" w:color="FFFFFF" w:themeColor="background1"/>
            </w:tcBorders>
            <w:shd w:val="clear" w:color="auto" w:fill="9CC2E5" w:themeFill="accent1" w:themeFillTint="99"/>
            <w:vAlign w:val="center"/>
          </w:tcPr>
          <w:p w14:paraId="07227A4E" w14:textId="77777777" w:rsidR="005631A4" w:rsidRPr="005631A4" w:rsidRDefault="005631A4" w:rsidP="005631A4">
            <w:pPr>
              <w:spacing w:before="60" w:after="60"/>
              <w:jc w:val="both"/>
            </w:pPr>
            <w:r w:rsidRPr="005631A4">
              <w:t>2029</w:t>
            </w:r>
          </w:p>
        </w:tc>
        <w:tc>
          <w:tcPr>
            <w:tcW w:w="695" w:type="dxa"/>
            <w:tcBorders>
              <w:bottom w:val="single" w:sz="4" w:space="0" w:color="FFFFFF" w:themeColor="background1"/>
            </w:tcBorders>
            <w:shd w:val="clear" w:color="auto" w:fill="9CC2E5" w:themeFill="accent1" w:themeFillTint="99"/>
            <w:vAlign w:val="center"/>
          </w:tcPr>
          <w:p w14:paraId="50BAA926" w14:textId="77777777" w:rsidR="005631A4" w:rsidRPr="005631A4" w:rsidRDefault="005631A4" w:rsidP="005631A4">
            <w:pPr>
              <w:spacing w:before="60" w:after="60"/>
              <w:jc w:val="both"/>
            </w:pPr>
            <w:r w:rsidRPr="005631A4">
              <w:t>2030</w:t>
            </w:r>
          </w:p>
        </w:tc>
      </w:tr>
      <w:tr w:rsidR="005631A4" w:rsidRPr="005631A4" w14:paraId="6D96C4DC" w14:textId="77777777" w:rsidTr="005631A4">
        <w:trPr>
          <w:jc w:val="center"/>
        </w:trPr>
        <w:tc>
          <w:tcPr>
            <w:tcW w:w="1560" w:type="dxa"/>
            <w:vMerge/>
            <w:vAlign w:val="center"/>
          </w:tcPr>
          <w:p w14:paraId="7A5BF5A9" w14:textId="77777777" w:rsidR="005631A4" w:rsidRPr="005631A4" w:rsidRDefault="005631A4" w:rsidP="00CE3D48">
            <w:pPr>
              <w:spacing w:before="60" w:after="60"/>
              <w:jc w:val="center"/>
              <w:rPr>
                <w:b/>
                <w:bCs/>
              </w:rPr>
            </w:pPr>
          </w:p>
        </w:tc>
        <w:tc>
          <w:tcPr>
            <w:tcW w:w="1139" w:type="dxa"/>
            <w:shd w:val="clear" w:color="auto" w:fill="BDD6EE" w:themeFill="accent1" w:themeFillTint="66"/>
            <w:vAlign w:val="center"/>
          </w:tcPr>
          <w:p w14:paraId="34EC5665" w14:textId="77777777" w:rsidR="005631A4" w:rsidRPr="005631A4" w:rsidRDefault="005631A4" w:rsidP="005631A4">
            <w:pPr>
              <w:spacing w:before="60" w:after="60"/>
              <w:jc w:val="center"/>
            </w:pPr>
            <w:r w:rsidRPr="005631A4">
              <w:t>1.</w:t>
            </w:r>
          </w:p>
        </w:tc>
        <w:tc>
          <w:tcPr>
            <w:tcW w:w="709" w:type="dxa"/>
            <w:shd w:val="clear" w:color="auto" w:fill="BDD6EE" w:themeFill="accent1" w:themeFillTint="66"/>
            <w:vAlign w:val="center"/>
          </w:tcPr>
          <w:p w14:paraId="69BB4039" w14:textId="77777777" w:rsidR="005631A4" w:rsidRPr="005631A4" w:rsidRDefault="005631A4" w:rsidP="005631A4">
            <w:pPr>
              <w:spacing w:before="60" w:after="60"/>
              <w:jc w:val="center"/>
            </w:pPr>
          </w:p>
        </w:tc>
        <w:tc>
          <w:tcPr>
            <w:tcW w:w="709" w:type="dxa"/>
            <w:shd w:val="clear" w:color="auto" w:fill="BDD6EE" w:themeFill="accent1" w:themeFillTint="66"/>
            <w:vAlign w:val="center"/>
          </w:tcPr>
          <w:p w14:paraId="4F9BBB40" w14:textId="77777777" w:rsidR="005631A4" w:rsidRPr="005631A4" w:rsidRDefault="005631A4" w:rsidP="005631A4">
            <w:pPr>
              <w:spacing w:before="60" w:after="60"/>
              <w:jc w:val="center"/>
            </w:pPr>
          </w:p>
        </w:tc>
        <w:tc>
          <w:tcPr>
            <w:tcW w:w="727" w:type="dxa"/>
            <w:shd w:val="clear" w:color="auto" w:fill="BDD6EE" w:themeFill="accent1" w:themeFillTint="66"/>
            <w:vAlign w:val="center"/>
          </w:tcPr>
          <w:p w14:paraId="246B5959" w14:textId="77777777" w:rsidR="005631A4" w:rsidRPr="005631A4" w:rsidRDefault="005631A4" w:rsidP="005631A4">
            <w:pPr>
              <w:spacing w:before="60" w:after="60"/>
              <w:jc w:val="center"/>
            </w:pPr>
          </w:p>
        </w:tc>
        <w:tc>
          <w:tcPr>
            <w:tcW w:w="691" w:type="dxa"/>
            <w:shd w:val="clear" w:color="auto" w:fill="DEEAF6" w:themeFill="accent1" w:themeFillTint="33"/>
            <w:vAlign w:val="center"/>
          </w:tcPr>
          <w:p w14:paraId="454F6FAB" w14:textId="77777777" w:rsidR="005631A4" w:rsidRPr="005631A4" w:rsidRDefault="005631A4" w:rsidP="005631A4">
            <w:pPr>
              <w:spacing w:before="60" w:after="60"/>
              <w:jc w:val="center"/>
            </w:pPr>
          </w:p>
        </w:tc>
        <w:tc>
          <w:tcPr>
            <w:tcW w:w="691" w:type="dxa"/>
            <w:shd w:val="clear" w:color="auto" w:fill="DEEAF6" w:themeFill="accent1" w:themeFillTint="33"/>
            <w:vAlign w:val="center"/>
          </w:tcPr>
          <w:p w14:paraId="137BBFC7" w14:textId="77777777" w:rsidR="005631A4" w:rsidRPr="005631A4" w:rsidRDefault="005631A4" w:rsidP="005631A4">
            <w:pPr>
              <w:spacing w:before="60" w:after="60"/>
              <w:jc w:val="center"/>
            </w:pPr>
          </w:p>
        </w:tc>
        <w:tc>
          <w:tcPr>
            <w:tcW w:w="691" w:type="dxa"/>
            <w:shd w:val="clear" w:color="auto" w:fill="DEEAF6" w:themeFill="accent1" w:themeFillTint="33"/>
            <w:vAlign w:val="center"/>
          </w:tcPr>
          <w:p w14:paraId="0D78E1CE" w14:textId="77777777" w:rsidR="005631A4" w:rsidRPr="005631A4" w:rsidRDefault="005631A4" w:rsidP="005631A4">
            <w:pPr>
              <w:spacing w:before="60" w:after="60"/>
              <w:jc w:val="center"/>
            </w:pPr>
          </w:p>
        </w:tc>
        <w:tc>
          <w:tcPr>
            <w:tcW w:w="691" w:type="dxa"/>
            <w:shd w:val="clear" w:color="auto" w:fill="DEEAF6" w:themeFill="accent1" w:themeFillTint="33"/>
            <w:vAlign w:val="center"/>
          </w:tcPr>
          <w:p w14:paraId="717B4B43" w14:textId="77777777" w:rsidR="005631A4" w:rsidRPr="005631A4" w:rsidRDefault="005631A4" w:rsidP="005631A4">
            <w:pPr>
              <w:spacing w:before="60" w:after="60"/>
              <w:jc w:val="center"/>
            </w:pPr>
          </w:p>
        </w:tc>
        <w:tc>
          <w:tcPr>
            <w:tcW w:w="666" w:type="dxa"/>
            <w:shd w:val="clear" w:color="auto" w:fill="DEEAF6" w:themeFill="accent1" w:themeFillTint="33"/>
          </w:tcPr>
          <w:p w14:paraId="220348B8" w14:textId="77777777" w:rsidR="005631A4" w:rsidRPr="005631A4" w:rsidRDefault="005631A4" w:rsidP="005631A4">
            <w:pPr>
              <w:spacing w:before="60" w:after="60"/>
              <w:jc w:val="center"/>
            </w:pPr>
          </w:p>
        </w:tc>
        <w:tc>
          <w:tcPr>
            <w:tcW w:w="693" w:type="dxa"/>
            <w:shd w:val="clear" w:color="auto" w:fill="DEEAF6" w:themeFill="accent1" w:themeFillTint="33"/>
          </w:tcPr>
          <w:p w14:paraId="73098C96" w14:textId="77777777" w:rsidR="005631A4" w:rsidRPr="005631A4" w:rsidRDefault="005631A4" w:rsidP="005631A4">
            <w:pPr>
              <w:spacing w:before="60" w:after="60"/>
              <w:jc w:val="center"/>
            </w:pPr>
          </w:p>
        </w:tc>
        <w:tc>
          <w:tcPr>
            <w:tcW w:w="696" w:type="dxa"/>
            <w:shd w:val="clear" w:color="auto" w:fill="DEEAF6" w:themeFill="accent1" w:themeFillTint="33"/>
          </w:tcPr>
          <w:p w14:paraId="50635D36" w14:textId="77777777" w:rsidR="005631A4" w:rsidRPr="005631A4" w:rsidRDefault="005631A4" w:rsidP="005631A4">
            <w:pPr>
              <w:spacing w:before="60" w:after="60"/>
              <w:jc w:val="center"/>
            </w:pPr>
          </w:p>
        </w:tc>
        <w:tc>
          <w:tcPr>
            <w:tcW w:w="695" w:type="dxa"/>
            <w:shd w:val="clear" w:color="auto" w:fill="DEEAF6" w:themeFill="accent1" w:themeFillTint="33"/>
          </w:tcPr>
          <w:p w14:paraId="0EFBD13D" w14:textId="77777777" w:rsidR="005631A4" w:rsidRPr="005631A4" w:rsidRDefault="005631A4" w:rsidP="005631A4">
            <w:pPr>
              <w:spacing w:before="60" w:after="60"/>
              <w:jc w:val="center"/>
            </w:pPr>
          </w:p>
        </w:tc>
      </w:tr>
      <w:tr w:rsidR="005631A4" w:rsidRPr="005631A4" w14:paraId="03FF3B44" w14:textId="77777777" w:rsidTr="005631A4">
        <w:trPr>
          <w:jc w:val="center"/>
        </w:trPr>
        <w:tc>
          <w:tcPr>
            <w:tcW w:w="1560" w:type="dxa"/>
            <w:shd w:val="clear" w:color="auto" w:fill="9CC2E5" w:themeFill="accent1" w:themeFillTint="99"/>
            <w:vAlign w:val="center"/>
          </w:tcPr>
          <w:p w14:paraId="4C0B1280" w14:textId="77777777" w:rsidR="005631A4" w:rsidRPr="005631A4" w:rsidRDefault="005631A4" w:rsidP="00CE3D48">
            <w:pPr>
              <w:spacing w:before="60" w:after="60"/>
              <w:jc w:val="center"/>
              <w:rPr>
                <w:b/>
                <w:bCs/>
              </w:rPr>
            </w:pPr>
            <w:r w:rsidRPr="005631A4">
              <w:rPr>
                <w:b/>
                <w:bCs/>
              </w:rPr>
              <w:t>Indykatywne źródła finansowania</w:t>
            </w:r>
          </w:p>
        </w:tc>
        <w:tc>
          <w:tcPr>
            <w:tcW w:w="8798" w:type="dxa"/>
            <w:gridSpan w:val="12"/>
            <w:shd w:val="clear" w:color="auto" w:fill="DEEAF6" w:themeFill="accent1" w:themeFillTint="33"/>
            <w:vAlign w:val="center"/>
          </w:tcPr>
          <w:p w14:paraId="5FD18599" w14:textId="77777777" w:rsidR="005631A4" w:rsidRPr="005631A4" w:rsidRDefault="005631A4" w:rsidP="00A545BB">
            <w:pPr>
              <w:numPr>
                <w:ilvl w:val="6"/>
                <w:numId w:val="29"/>
              </w:numPr>
              <w:ind w:left="306" w:hanging="306"/>
              <w:jc w:val="both"/>
            </w:pPr>
            <w:r w:rsidRPr="005631A4">
              <w:t>Budżet NFZ</w:t>
            </w:r>
          </w:p>
        </w:tc>
      </w:tr>
      <w:tr w:rsidR="005631A4" w:rsidRPr="005631A4" w14:paraId="63DEC425" w14:textId="77777777" w:rsidTr="005631A4">
        <w:trPr>
          <w:trHeight w:val="518"/>
          <w:jc w:val="center"/>
        </w:trPr>
        <w:tc>
          <w:tcPr>
            <w:tcW w:w="1560" w:type="dxa"/>
            <w:shd w:val="clear" w:color="auto" w:fill="9CC2E5" w:themeFill="accent1" w:themeFillTint="99"/>
            <w:vAlign w:val="center"/>
          </w:tcPr>
          <w:p w14:paraId="71915CC4" w14:textId="77777777" w:rsidR="005631A4" w:rsidRPr="005631A4" w:rsidRDefault="005631A4" w:rsidP="00CE3D48">
            <w:pPr>
              <w:spacing w:before="60" w:after="60"/>
              <w:jc w:val="center"/>
              <w:rPr>
                <w:b/>
                <w:bCs/>
              </w:rPr>
            </w:pPr>
            <w:r w:rsidRPr="005631A4">
              <w:rPr>
                <w:b/>
                <w:bCs/>
              </w:rPr>
              <w:t>Koordynacja</w:t>
            </w:r>
          </w:p>
        </w:tc>
        <w:tc>
          <w:tcPr>
            <w:tcW w:w="8798" w:type="dxa"/>
            <w:gridSpan w:val="12"/>
            <w:shd w:val="clear" w:color="auto" w:fill="DEEAF6" w:themeFill="accent1" w:themeFillTint="33"/>
            <w:vAlign w:val="center"/>
          </w:tcPr>
          <w:p w14:paraId="70A0CCD4" w14:textId="77777777" w:rsidR="005631A4" w:rsidRPr="005631A4" w:rsidRDefault="005631A4" w:rsidP="00A545BB">
            <w:pPr>
              <w:numPr>
                <w:ilvl w:val="0"/>
                <w:numId w:val="37"/>
              </w:numPr>
              <w:ind w:left="306" w:hanging="306"/>
              <w:jc w:val="both"/>
            </w:pPr>
            <w:r w:rsidRPr="005631A4">
              <w:t>MZ we współpracy z NFZ</w:t>
            </w:r>
          </w:p>
        </w:tc>
      </w:tr>
    </w:tbl>
    <w:p w14:paraId="7417A544" w14:textId="77777777" w:rsidR="005631A4" w:rsidRPr="005631A4" w:rsidRDefault="005631A4" w:rsidP="005631A4">
      <w:pPr>
        <w:spacing w:after="120"/>
        <w:jc w:val="both"/>
      </w:pPr>
      <w:r w:rsidRPr="005631A4">
        <w:br w:type="page"/>
      </w:r>
    </w:p>
    <w:p w14:paraId="4A2C1C23" w14:textId="3F076736" w:rsidR="005631A4" w:rsidRPr="003F0EEA" w:rsidRDefault="005631A4" w:rsidP="003F0EEA">
      <w:pPr>
        <w:pStyle w:val="Nagwek2"/>
        <w:numPr>
          <w:ilvl w:val="1"/>
          <w:numId w:val="26"/>
        </w:numPr>
        <w:shd w:val="clear" w:color="auto" w:fill="FFDDEE"/>
        <w:tabs>
          <w:tab w:val="clear" w:pos="1080"/>
        </w:tabs>
        <w:ind w:left="426" w:hanging="426"/>
        <w:rPr>
          <w:color w:val="FF0066"/>
        </w:rPr>
      </w:pPr>
      <w:r w:rsidRPr="003F0EEA">
        <w:rPr>
          <w:color w:val="FF0066"/>
        </w:rPr>
        <w:lastRenderedPageBreak/>
        <w:t>ROZWÓJ INNOWACYJNYCH FORM OPIEKI</w:t>
      </w:r>
    </w:p>
    <w:p w14:paraId="19403D10" w14:textId="2178F59B" w:rsidR="005631A4" w:rsidRPr="005631A4" w:rsidRDefault="005631A4" w:rsidP="005631A4">
      <w:pPr>
        <w:keepNext/>
        <w:keepLines/>
        <w:shd w:val="clear" w:color="auto" w:fill="BDD6EE" w:themeFill="accent1" w:themeFillTint="66"/>
        <w:spacing w:before="240" w:after="120"/>
        <w:ind w:left="426"/>
        <w:jc w:val="both"/>
        <w:outlineLvl w:val="3"/>
        <w:rPr>
          <w:rFonts w:asciiTheme="majorHAnsi" w:eastAsiaTheme="majorEastAsia" w:hAnsiTheme="majorHAnsi" w:cstheme="majorBidi"/>
          <w:b/>
          <w:iCs/>
          <w:color w:val="0070C0"/>
          <w:sz w:val="24"/>
        </w:rPr>
      </w:pPr>
      <w:r w:rsidRPr="005631A4">
        <w:rPr>
          <w:rFonts w:asciiTheme="majorHAnsi" w:eastAsiaTheme="majorEastAsia" w:hAnsiTheme="majorHAnsi" w:cstheme="majorBidi"/>
          <w:b/>
          <w:iCs/>
          <w:color w:val="0070C0"/>
          <w:sz w:val="24"/>
        </w:rPr>
        <w:t>CEL SZCZEGÓŁOWY: Zwiększenie dostępności usług z zakresu telemedycyny, w</w:t>
      </w:r>
      <w:r w:rsidR="00874582">
        <w:rPr>
          <w:rFonts w:asciiTheme="majorHAnsi" w:eastAsiaTheme="majorEastAsia" w:hAnsiTheme="majorHAnsi" w:cstheme="majorBidi"/>
          <w:b/>
          <w:iCs/>
          <w:color w:val="0070C0"/>
          <w:sz w:val="24"/>
        </w:rPr>
        <w:t> </w:t>
      </w:r>
      <w:r w:rsidRPr="005631A4">
        <w:rPr>
          <w:rFonts w:asciiTheme="majorHAnsi" w:eastAsiaTheme="majorEastAsia" w:hAnsiTheme="majorHAnsi" w:cstheme="majorBidi"/>
          <w:b/>
          <w:iCs/>
          <w:color w:val="0070C0"/>
          <w:sz w:val="24"/>
        </w:rPr>
        <w:t>sz</w:t>
      </w:r>
      <w:r w:rsidR="000A6C07">
        <w:rPr>
          <w:rFonts w:asciiTheme="majorHAnsi" w:eastAsiaTheme="majorEastAsia" w:hAnsiTheme="majorHAnsi" w:cstheme="majorBidi"/>
          <w:b/>
          <w:iCs/>
          <w:color w:val="0070C0"/>
          <w:sz w:val="24"/>
        </w:rPr>
        <w:t>czególności dla osób starszych oraz</w:t>
      </w:r>
      <w:r w:rsidRPr="005631A4">
        <w:rPr>
          <w:rFonts w:asciiTheme="majorHAnsi" w:eastAsiaTheme="majorEastAsia" w:hAnsiTheme="majorHAnsi" w:cstheme="majorBidi"/>
          <w:b/>
          <w:iCs/>
          <w:color w:val="0070C0"/>
          <w:sz w:val="24"/>
        </w:rPr>
        <w:t xml:space="preserve"> innych osób </w:t>
      </w:r>
      <w:r w:rsidR="001A16F0">
        <w:rPr>
          <w:rFonts w:asciiTheme="majorHAnsi" w:eastAsiaTheme="majorEastAsia" w:hAnsiTheme="majorHAnsi" w:cstheme="majorBidi"/>
          <w:b/>
          <w:iCs/>
          <w:color w:val="0070C0"/>
          <w:sz w:val="24"/>
        </w:rPr>
        <w:t>w</w:t>
      </w:r>
      <w:r w:rsidR="001A16F0" w:rsidRPr="001A16F0">
        <w:rPr>
          <w:rFonts w:asciiTheme="majorHAnsi" w:eastAsiaTheme="majorEastAsia" w:hAnsiTheme="majorHAnsi" w:cstheme="majorBidi"/>
          <w:b/>
          <w:iCs/>
          <w:color w:val="0070C0"/>
          <w:sz w:val="24"/>
        </w:rPr>
        <w:t>ymagających wsparcia w</w:t>
      </w:r>
      <w:r w:rsidR="00874582">
        <w:rPr>
          <w:rFonts w:asciiTheme="majorHAnsi" w:eastAsiaTheme="majorEastAsia" w:hAnsiTheme="majorHAnsi" w:cstheme="majorBidi"/>
          <w:b/>
          <w:iCs/>
          <w:color w:val="0070C0"/>
          <w:sz w:val="24"/>
        </w:rPr>
        <w:t> </w:t>
      </w:r>
      <w:r w:rsidR="001A16F0" w:rsidRPr="001A16F0">
        <w:rPr>
          <w:rFonts w:asciiTheme="majorHAnsi" w:eastAsiaTheme="majorEastAsia" w:hAnsiTheme="majorHAnsi" w:cstheme="majorBidi"/>
          <w:b/>
          <w:iCs/>
          <w:color w:val="0070C0"/>
          <w:sz w:val="24"/>
        </w:rPr>
        <w:t>codziennym funkcjonowaniu</w:t>
      </w:r>
    </w:p>
    <w:p w14:paraId="50735A31" w14:textId="77777777" w:rsidR="005631A4" w:rsidRPr="005631A4" w:rsidRDefault="005631A4" w:rsidP="005631A4">
      <w:pPr>
        <w:keepNext/>
        <w:keepLines/>
        <w:spacing w:before="240" w:after="120"/>
        <w:jc w:val="both"/>
        <w:outlineLvl w:val="4"/>
        <w:rPr>
          <w:rFonts w:asciiTheme="majorHAnsi" w:eastAsiaTheme="majorEastAsia" w:hAnsiTheme="majorHAnsi" w:cstheme="majorBidi"/>
          <w:i/>
          <w:color w:val="0070C0"/>
          <w:sz w:val="23"/>
        </w:rPr>
      </w:pPr>
      <w:r w:rsidRPr="005631A4">
        <w:rPr>
          <w:rFonts w:asciiTheme="majorHAnsi" w:eastAsiaTheme="majorEastAsia" w:hAnsiTheme="majorHAnsi" w:cstheme="majorBidi"/>
          <w:i/>
          <w:color w:val="0070C0"/>
          <w:sz w:val="23"/>
        </w:rPr>
        <w:t>Diagnoza</w:t>
      </w:r>
    </w:p>
    <w:p w14:paraId="7457D94C" w14:textId="77777777" w:rsidR="005631A4" w:rsidRPr="005631A4" w:rsidRDefault="005631A4" w:rsidP="005631A4">
      <w:pPr>
        <w:spacing w:after="120"/>
        <w:jc w:val="both"/>
      </w:pPr>
      <w:r w:rsidRPr="005631A4">
        <w:t>Wzrost popytu na opiekę zdrowotną w związku ze zmianami demograficznymi i starzeniem się społeczeństwa wiąże się z koniecznością zwiększenia efektywności udzielania usług medycznych w skali systemowej. Innowacyjne formy opieki, obejmujące m.in. zdalne systemy monitorowania i wsparcia mogą stanowić odpowiedź na te wyzwania. Kluczowym elementem takich zmian jest rozwój rozwiązań z zakresu telemedycyny (lub szerzej zdrowia cyfrowego), która posiada istotny potencjał zwiększenia efektywności aktualnych zasobów ochrony zdrowia i optymalizacji wydatków z nimi związanych.</w:t>
      </w:r>
    </w:p>
    <w:p w14:paraId="69382E18" w14:textId="312A6E0C" w:rsidR="005631A4" w:rsidRPr="005631A4" w:rsidRDefault="005631A4" w:rsidP="005631A4">
      <w:pPr>
        <w:spacing w:after="120"/>
        <w:jc w:val="both"/>
      </w:pPr>
      <w:r w:rsidRPr="005631A4">
        <w:t xml:space="preserve">Raport </w:t>
      </w:r>
      <w:r w:rsidRPr="005631A4">
        <w:rPr>
          <w:i/>
          <w:iCs/>
        </w:rPr>
        <w:t>E-zdrowie oczami Polaków</w:t>
      </w:r>
      <w:r w:rsidRPr="005631A4">
        <w:t xml:space="preserve"> z lutego 2018 r. wskazuje, że potencjał rozwiązań telemedycznych dostrzegają zarówno pacjenci, jak i lekarze. Obie grupy wskazały, że telemedycyna nie jest w Polsce wystarczająco rozwinięta (65,2% pacjentów; 80% lekarzy) oraz że czynności związane z biurokracją w</w:t>
      </w:r>
      <w:r w:rsidR="00874582">
        <w:t> </w:t>
      </w:r>
      <w:r w:rsidRPr="005631A4">
        <w:t>ochronie zdrowia pochłaniają zbyt wiele czasu i uwagi lekarzy (72% pacjentów; 66% lekarzy). Rozwijanie usług cyfrowych przyniesie korzyści w postaci zwiększenia efektywności opieki nad pacjentem. W grupie przebadanych osób pozytywna opinia dotycząca telemedycyny jest szczególnie widoczna wśród osób w wieku powyżej 60</w:t>
      </w:r>
      <w:r w:rsidR="002F0CDC">
        <w:t>.</w:t>
      </w:r>
      <w:r w:rsidRPr="005631A4">
        <w:t xml:space="preserve"> roku życia (69,6% pacjentów uważa, że rozwój telemedycyny wpłynie pozytywnie na sytuację społeczną), co wskazuje na istotną rolę rozwiązań telemedycznych dla osób starszych.</w:t>
      </w:r>
    </w:p>
    <w:p w14:paraId="2B4D47BB" w14:textId="1B352657" w:rsidR="005631A4" w:rsidRPr="005631A4" w:rsidRDefault="005631A4" w:rsidP="005631A4">
      <w:pPr>
        <w:spacing w:after="120"/>
        <w:jc w:val="both"/>
      </w:pPr>
      <w:r w:rsidRPr="005631A4">
        <w:t>Narzędzia e-zdrowia, w tym także telemedycyna, mogą być stosowane zarówno w odniesieniu do chorób przewlekłych, takich jak chorób naczyniowo-sercowych (m.in. poprzez konsultacje na odległość, zastosowanie urządzeń monitorujących stan zdrowia, urządzeń mobilnych, technologii ubieralnych), jak również wielu chorób cywilizacyjnych (poprzez promowanie zdrowego stylu życia z</w:t>
      </w:r>
      <w:r w:rsidR="00874582">
        <w:t> </w:t>
      </w:r>
      <w:r w:rsidRPr="005631A4">
        <w:t>wykorzystaniem nowoczesnych narzędzi komunikacji, odpowiednią dietę i aktywność fizyczną oraz zapewnienie wsparcia w indywidualnym doborze badań profilaktycznych).</w:t>
      </w:r>
    </w:p>
    <w:p w14:paraId="4EC591D2" w14:textId="77777777" w:rsidR="005631A4" w:rsidRPr="005631A4" w:rsidRDefault="005631A4" w:rsidP="005631A4">
      <w:pPr>
        <w:spacing w:after="120"/>
        <w:jc w:val="both"/>
      </w:pPr>
      <w:r w:rsidRPr="005631A4">
        <w:t>Ponadto w Polsce istnieją grupy społeczne, które ze względu na sytuację społeczno-ekonomiczną wymagają pilnego wsparcia w celu wyrównania dostępu do usług medycznych. Osoby te zamieszkują obszary niezurbanizowane, znajdujące się w znacznym oddaleniu (kilkadziesiąt kilometrów) od ośrodków zdrowia i często charakteryzują się niskim dochodem. Do tej grupy często zaliczają się osoby starsze i inne osoby ze szczególnymi potrzebami. Dojazdy na wizyty u lekarzy specjalistów są dla tych osób niejednokrotnie trudne lub wręcz niemożliwe z uwagi na ograniczone zasoby finansowe, czas potrzebny na podróż i ograniczenie mobilności. W związku z tym osoby te często przerywają proces diagnozowania bądź leczenia nie realizując zaleceń lekarzy prowadzących. Wsparcie tych grup jest niezbędne w celu zwiększenia dostępu i jakości świadczeń opieki zdrowotnej, ale także poprawy efektywności systemu ochrony zdrowia. Osiągnięcie takich rezultatów jest możliwe m.in. dzięki zastosowaniu na szersza skalę nowych technologii wspierających proces udzielania usług medycznych.</w:t>
      </w:r>
    </w:p>
    <w:p w14:paraId="0C780AAC" w14:textId="7A75A42C" w:rsidR="005631A4" w:rsidRDefault="005631A4" w:rsidP="005631A4">
      <w:pPr>
        <w:keepNext/>
        <w:keepLines/>
        <w:spacing w:before="240" w:after="120"/>
        <w:jc w:val="both"/>
        <w:outlineLvl w:val="4"/>
        <w:rPr>
          <w:rFonts w:asciiTheme="majorHAnsi" w:eastAsiaTheme="majorEastAsia" w:hAnsiTheme="majorHAnsi" w:cstheme="majorBidi"/>
          <w:i/>
          <w:color w:val="0070C0"/>
          <w:sz w:val="23"/>
        </w:rPr>
      </w:pPr>
      <w:r w:rsidRPr="005631A4">
        <w:rPr>
          <w:rFonts w:asciiTheme="majorHAnsi" w:eastAsiaTheme="majorEastAsia" w:hAnsiTheme="majorHAnsi" w:cstheme="majorBidi"/>
          <w:i/>
          <w:color w:val="0070C0"/>
          <w:sz w:val="23"/>
        </w:rPr>
        <w:lastRenderedPageBreak/>
        <w:t>Rezultat 1</w:t>
      </w:r>
    </w:p>
    <w:p w14:paraId="361FEE67" w14:textId="3BB31A1C" w:rsidR="00D36EA7" w:rsidRPr="005631A4" w:rsidRDefault="00D36EA7" w:rsidP="00D36EA7">
      <w:pPr>
        <w:keepNext/>
        <w:keepLines/>
        <w:shd w:val="clear" w:color="auto" w:fill="BDD6EE" w:themeFill="accent1" w:themeFillTint="66"/>
        <w:spacing w:before="180" w:after="120"/>
        <w:ind w:left="284"/>
        <w:jc w:val="both"/>
        <w:outlineLvl w:val="5"/>
        <w:rPr>
          <w:rFonts w:eastAsiaTheme="minorEastAsia"/>
          <w:b/>
          <w:bCs/>
        </w:rPr>
      </w:pPr>
      <w:r w:rsidRPr="005631A4">
        <w:rPr>
          <w:b/>
          <w:bCs/>
        </w:rPr>
        <w:t>Realizacja wypracowanych procedur telemedycznych w wybranych dziedzinach medycyny w</w:t>
      </w:r>
      <w:r w:rsidR="00874582">
        <w:rPr>
          <w:b/>
          <w:bCs/>
        </w:rPr>
        <w:t> </w:t>
      </w:r>
      <w:r w:rsidRPr="005631A4">
        <w:rPr>
          <w:b/>
          <w:bCs/>
        </w:rPr>
        <w:t>ramach świadczeń gwarantowanych – od 2027 r</w:t>
      </w:r>
      <w:r w:rsidRPr="005631A4">
        <w:rPr>
          <w:rFonts w:eastAsiaTheme="majorEastAsia" w:cstheme="majorBidi"/>
          <w:b/>
        </w:rPr>
        <w:t>.</w:t>
      </w:r>
    </w:p>
    <w:p w14:paraId="0C61EDF3" w14:textId="77777777" w:rsidR="005631A4" w:rsidRPr="005631A4" w:rsidRDefault="005631A4" w:rsidP="005631A4">
      <w:pPr>
        <w:keepNext/>
        <w:keepLines/>
        <w:spacing w:before="240" w:after="120"/>
        <w:jc w:val="both"/>
        <w:outlineLvl w:val="4"/>
        <w:rPr>
          <w:rFonts w:asciiTheme="majorHAnsi" w:eastAsiaTheme="majorEastAsia" w:hAnsiTheme="majorHAnsi" w:cstheme="majorBidi"/>
          <w:i/>
          <w:color w:val="2E74B5" w:themeColor="accent1" w:themeShade="BF"/>
          <w:sz w:val="23"/>
        </w:rPr>
      </w:pPr>
      <w:r w:rsidRPr="005631A4">
        <w:rPr>
          <w:rFonts w:asciiTheme="majorHAnsi" w:eastAsiaTheme="majorEastAsia" w:hAnsiTheme="majorHAnsi" w:cstheme="majorBidi"/>
          <w:i/>
          <w:color w:val="2E74B5" w:themeColor="accent1" w:themeShade="BF"/>
          <w:sz w:val="23"/>
        </w:rPr>
        <w:t>Działania</w:t>
      </w:r>
    </w:p>
    <w:p w14:paraId="23F23E8C" w14:textId="347898C7" w:rsidR="005631A4" w:rsidRPr="005631A4" w:rsidRDefault="005631A4" w:rsidP="005631A4">
      <w:pPr>
        <w:keepNext/>
        <w:keepLines/>
        <w:numPr>
          <w:ilvl w:val="0"/>
          <w:numId w:val="47"/>
        </w:numPr>
        <w:shd w:val="clear" w:color="auto" w:fill="DEEAF6" w:themeFill="accent1" w:themeFillTint="33"/>
        <w:spacing w:before="180" w:after="120"/>
        <w:ind w:left="567" w:hanging="283"/>
        <w:jc w:val="both"/>
        <w:outlineLvl w:val="5"/>
        <w:rPr>
          <w:rFonts w:eastAsiaTheme="majorEastAsia" w:cstheme="majorBidi"/>
          <w:b/>
        </w:rPr>
      </w:pPr>
      <w:r w:rsidRPr="005631A4">
        <w:rPr>
          <w:rFonts w:eastAsiaTheme="majorEastAsia" w:cstheme="majorBidi"/>
          <w:b/>
        </w:rPr>
        <w:t>Opracowanie standardów procedu</w:t>
      </w:r>
      <w:r w:rsidR="000A6C07">
        <w:rPr>
          <w:rFonts w:eastAsiaTheme="majorEastAsia" w:cstheme="majorBidi"/>
          <w:b/>
        </w:rPr>
        <w:t>r telemedycznych – do końca 202</w:t>
      </w:r>
      <w:r w:rsidR="006300BF">
        <w:rPr>
          <w:rFonts w:eastAsiaTheme="majorEastAsia" w:cstheme="majorBidi"/>
          <w:b/>
        </w:rPr>
        <w:t>1</w:t>
      </w:r>
      <w:r w:rsidRPr="005631A4">
        <w:rPr>
          <w:rFonts w:eastAsiaTheme="majorEastAsia" w:cstheme="majorBidi"/>
          <w:b/>
        </w:rPr>
        <w:t xml:space="preserve"> r.</w:t>
      </w:r>
    </w:p>
    <w:p w14:paraId="1F564E56" w14:textId="77777777" w:rsidR="005631A4" w:rsidRPr="005631A4" w:rsidRDefault="005631A4" w:rsidP="005631A4">
      <w:pPr>
        <w:spacing w:after="120"/>
        <w:ind w:left="567"/>
        <w:jc w:val="both"/>
      </w:pPr>
      <w:r w:rsidRPr="005631A4">
        <w:t>Zakłada się powołanie zespołu ekspertów, którego zadaniem będzie opracowanie standardów procedur telemedycznych. W celu poprawy dostępności i jakości usług medycznych, w tym dedykowanych osobom starszym i innym osobom ze szczególnymi potrzebami, ma zostać przygotowanych 7 modeli w wybranych dziedzinach medycyny.</w:t>
      </w:r>
    </w:p>
    <w:p w14:paraId="4D080C0A" w14:textId="77777777" w:rsidR="005631A4" w:rsidRPr="005631A4" w:rsidRDefault="005631A4" w:rsidP="005631A4">
      <w:pPr>
        <w:keepNext/>
        <w:keepLines/>
        <w:numPr>
          <w:ilvl w:val="0"/>
          <w:numId w:val="47"/>
        </w:numPr>
        <w:shd w:val="clear" w:color="auto" w:fill="DEEAF6" w:themeFill="accent1" w:themeFillTint="33"/>
        <w:spacing w:before="180" w:after="120"/>
        <w:ind w:left="567" w:hanging="283"/>
        <w:jc w:val="both"/>
        <w:outlineLvl w:val="5"/>
        <w:rPr>
          <w:rFonts w:eastAsiaTheme="majorEastAsia" w:cstheme="majorBidi"/>
          <w:b/>
        </w:rPr>
      </w:pPr>
      <w:r w:rsidRPr="005631A4">
        <w:rPr>
          <w:rFonts w:eastAsiaTheme="majorEastAsia" w:cstheme="majorBidi"/>
          <w:b/>
        </w:rPr>
        <w:t>Opracowanie modeli procedur telemedycznych w wybranych dziedzinach medycyny – do końca 2021 r.</w:t>
      </w:r>
    </w:p>
    <w:p w14:paraId="48C2AA75" w14:textId="77777777" w:rsidR="005631A4" w:rsidRPr="005631A4" w:rsidRDefault="005631A4" w:rsidP="005631A4">
      <w:pPr>
        <w:spacing w:after="120"/>
        <w:ind w:left="567"/>
        <w:jc w:val="both"/>
      </w:pPr>
      <w:r w:rsidRPr="005631A4">
        <w:t>Grupy ekspertów na podstawie przeprowadzonych analiz mają wypracować propozycje modeli świadczeń telemedycznych, które następnie zostaną przetestowane w projektach pilotażowych.</w:t>
      </w:r>
    </w:p>
    <w:p w14:paraId="6F1227A3" w14:textId="77777777" w:rsidR="005631A4" w:rsidRPr="005631A4" w:rsidRDefault="005631A4" w:rsidP="005631A4">
      <w:pPr>
        <w:keepNext/>
        <w:keepLines/>
        <w:numPr>
          <w:ilvl w:val="0"/>
          <w:numId w:val="47"/>
        </w:numPr>
        <w:shd w:val="clear" w:color="auto" w:fill="DEEAF6" w:themeFill="accent1" w:themeFillTint="33"/>
        <w:spacing w:before="180" w:after="120"/>
        <w:ind w:left="567" w:hanging="283"/>
        <w:jc w:val="both"/>
        <w:outlineLvl w:val="5"/>
        <w:rPr>
          <w:rFonts w:eastAsiaTheme="majorEastAsia" w:cstheme="majorBidi"/>
          <w:b/>
          <w:bCs/>
        </w:rPr>
      </w:pPr>
      <w:r w:rsidRPr="005631A4">
        <w:rPr>
          <w:rFonts w:eastAsiaTheme="majorEastAsia" w:cstheme="majorBidi"/>
          <w:b/>
          <w:bCs/>
        </w:rPr>
        <w:t>Przeprowadzenie pilotaży procedur telemedycznych pod kątem możliwości rozszerzenia koszyka świadczeń gwarantowanych – do końca 2024 r.</w:t>
      </w:r>
    </w:p>
    <w:p w14:paraId="26878FF4" w14:textId="77777777" w:rsidR="005631A4" w:rsidRPr="005631A4" w:rsidRDefault="005631A4" w:rsidP="005631A4">
      <w:pPr>
        <w:spacing w:after="120"/>
        <w:ind w:left="567"/>
        <w:jc w:val="both"/>
      </w:pPr>
      <w:r w:rsidRPr="005631A4">
        <w:t>W wybranych podmiotach mają zostać pilotażowo wdrożone procedury telemedyczne zgodne z opracowanymi modelami świadczeń telemedycznych. Działanie takie pozwoli na ocenę skuteczności proponowanych rozwiązań i możliwości ich wdrożenia na szerszą skalę.</w:t>
      </w:r>
    </w:p>
    <w:p w14:paraId="39AA414F" w14:textId="77777777" w:rsidR="005631A4" w:rsidRPr="005631A4" w:rsidRDefault="005631A4" w:rsidP="005631A4">
      <w:pPr>
        <w:keepNext/>
        <w:keepLines/>
        <w:numPr>
          <w:ilvl w:val="0"/>
          <w:numId w:val="47"/>
        </w:numPr>
        <w:shd w:val="clear" w:color="auto" w:fill="DEEAF6" w:themeFill="accent1" w:themeFillTint="33"/>
        <w:spacing w:before="180" w:after="120"/>
        <w:ind w:left="567" w:hanging="283"/>
        <w:jc w:val="both"/>
        <w:outlineLvl w:val="5"/>
        <w:rPr>
          <w:rFonts w:eastAsia="Times New Roman" w:cs="Calibri"/>
          <w:b/>
          <w:bCs/>
          <w:lang w:eastAsia="pl-PL"/>
        </w:rPr>
      </w:pPr>
      <w:r w:rsidRPr="005631A4">
        <w:rPr>
          <w:rFonts w:eastAsiaTheme="majorEastAsia" w:cstheme="majorBidi"/>
          <w:b/>
          <w:bCs/>
        </w:rPr>
        <w:t>Ewaluacja rezultatów przeprowadzonych pilotaży i analiza możliwości włączenia przetestowanych rozwiązań</w:t>
      </w:r>
      <w:r w:rsidRPr="005631A4">
        <w:rPr>
          <w:rFonts w:eastAsia="Times New Roman" w:cs="Calibri"/>
          <w:b/>
          <w:bCs/>
          <w:lang w:eastAsia="pl-PL"/>
        </w:rPr>
        <w:t xml:space="preserve"> do systemu świadczeń gwarantowanych</w:t>
      </w:r>
      <w:r w:rsidRPr="005631A4">
        <w:rPr>
          <w:rFonts w:eastAsiaTheme="majorEastAsia" w:cstheme="majorBidi"/>
          <w:b/>
          <w:bCs/>
        </w:rPr>
        <w:t xml:space="preserve"> – do końca 2025 r.</w:t>
      </w:r>
    </w:p>
    <w:p w14:paraId="539839FB" w14:textId="77777777" w:rsidR="005631A4" w:rsidRPr="005631A4" w:rsidRDefault="005631A4" w:rsidP="005631A4">
      <w:pPr>
        <w:spacing w:after="120"/>
        <w:ind w:left="567"/>
        <w:jc w:val="both"/>
      </w:pPr>
      <w:r w:rsidRPr="005631A4">
        <w:t>Wdrożenia pilotażowe mają zostać poddane ewaluacji oraz ocenie, czy dane procedury mogą kwalifikować się do dofinansowania ze środków publicznych, tj. czy cechuje je wystarczająca efektywność i skuteczność kliniczna.</w:t>
      </w:r>
    </w:p>
    <w:p w14:paraId="11F53A90" w14:textId="77777777" w:rsidR="005631A4" w:rsidRPr="005631A4" w:rsidRDefault="005631A4" w:rsidP="005631A4">
      <w:pPr>
        <w:keepNext/>
        <w:keepLines/>
        <w:numPr>
          <w:ilvl w:val="0"/>
          <w:numId w:val="47"/>
        </w:numPr>
        <w:shd w:val="clear" w:color="auto" w:fill="DEEAF6" w:themeFill="accent1" w:themeFillTint="33"/>
        <w:spacing w:before="180" w:after="120"/>
        <w:ind w:left="567" w:hanging="283"/>
        <w:jc w:val="both"/>
        <w:outlineLvl w:val="5"/>
        <w:rPr>
          <w:rFonts w:eastAsiaTheme="majorEastAsia" w:cstheme="majorBidi"/>
          <w:b/>
        </w:rPr>
      </w:pPr>
      <w:r w:rsidRPr="005631A4">
        <w:rPr>
          <w:rFonts w:eastAsiaTheme="majorEastAsia" w:cstheme="majorBidi"/>
          <w:b/>
        </w:rPr>
        <w:t>Włączenie pozytywnie zwalidowanych procedur telemedycznych do systemu świadczeń gwarantowanych – do końca 2027 r.</w:t>
      </w:r>
    </w:p>
    <w:p w14:paraId="07D45AC4" w14:textId="77777777" w:rsidR="005631A4" w:rsidRPr="005631A4" w:rsidRDefault="005631A4" w:rsidP="005631A4">
      <w:pPr>
        <w:spacing w:after="360"/>
        <w:ind w:left="567"/>
        <w:jc w:val="both"/>
      </w:pPr>
      <w:r w:rsidRPr="005631A4">
        <w:t>Przewiduje się, że przetestowane i zatwierdzone rozwiązania dotyczące procedur telemedycznych zostaną wprowadzone do systemu świadczeń gwarantowanych.</w:t>
      </w:r>
    </w:p>
    <w:tbl>
      <w:tblPr>
        <w:tblStyle w:val="Tabela-Siatka"/>
        <w:tblW w:w="10358"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560"/>
        <w:gridCol w:w="1139"/>
        <w:gridCol w:w="709"/>
        <w:gridCol w:w="709"/>
        <w:gridCol w:w="727"/>
        <w:gridCol w:w="691"/>
        <w:gridCol w:w="691"/>
        <w:gridCol w:w="691"/>
        <w:gridCol w:w="691"/>
        <w:gridCol w:w="666"/>
        <w:gridCol w:w="693"/>
        <w:gridCol w:w="696"/>
        <w:gridCol w:w="695"/>
      </w:tblGrid>
      <w:tr w:rsidR="005631A4" w:rsidRPr="005631A4" w14:paraId="4B228F0E" w14:textId="77777777" w:rsidTr="005631A4">
        <w:trPr>
          <w:jc w:val="center"/>
        </w:trPr>
        <w:tc>
          <w:tcPr>
            <w:tcW w:w="10358" w:type="dxa"/>
            <w:gridSpan w:val="13"/>
            <w:shd w:val="clear" w:color="auto" w:fill="65A2D9"/>
            <w:vAlign w:val="center"/>
          </w:tcPr>
          <w:p w14:paraId="78AACA5F" w14:textId="77777777" w:rsidR="005631A4" w:rsidRPr="005631A4" w:rsidRDefault="005631A4" w:rsidP="005631A4">
            <w:pPr>
              <w:spacing w:before="60" w:after="60"/>
              <w:jc w:val="both"/>
              <w:rPr>
                <w:b/>
                <w:bCs/>
              </w:rPr>
            </w:pPr>
            <w:r w:rsidRPr="005631A4">
              <w:rPr>
                <w:b/>
                <w:bCs/>
                <w:sz w:val="24"/>
                <w:szCs w:val="24"/>
              </w:rPr>
              <w:t>REZULTAT 1</w:t>
            </w:r>
          </w:p>
        </w:tc>
      </w:tr>
      <w:tr w:rsidR="005631A4" w:rsidRPr="005631A4" w14:paraId="54755E4C" w14:textId="77777777" w:rsidTr="005631A4">
        <w:trPr>
          <w:jc w:val="center"/>
        </w:trPr>
        <w:tc>
          <w:tcPr>
            <w:tcW w:w="1560" w:type="dxa"/>
            <w:vMerge w:val="restart"/>
            <w:shd w:val="clear" w:color="auto" w:fill="9CC2E5" w:themeFill="accent1" w:themeFillTint="99"/>
            <w:vAlign w:val="center"/>
          </w:tcPr>
          <w:p w14:paraId="07D6DF56" w14:textId="77777777" w:rsidR="005631A4" w:rsidRPr="005631A4" w:rsidRDefault="005631A4" w:rsidP="00CE3D48">
            <w:pPr>
              <w:spacing w:before="60" w:after="60"/>
              <w:jc w:val="center"/>
              <w:rPr>
                <w:b/>
                <w:bCs/>
              </w:rPr>
            </w:pPr>
            <w:r w:rsidRPr="005631A4">
              <w:rPr>
                <w:b/>
                <w:bCs/>
              </w:rPr>
              <w:t>Termin realizacji działań</w:t>
            </w:r>
          </w:p>
        </w:tc>
        <w:tc>
          <w:tcPr>
            <w:tcW w:w="1139" w:type="dxa"/>
            <w:shd w:val="clear" w:color="auto" w:fill="9CC2E5" w:themeFill="accent1" w:themeFillTint="99"/>
            <w:vAlign w:val="center"/>
          </w:tcPr>
          <w:p w14:paraId="59429226" w14:textId="77777777" w:rsidR="005631A4" w:rsidRPr="005631A4" w:rsidRDefault="005631A4" w:rsidP="005631A4">
            <w:pPr>
              <w:spacing w:before="60" w:after="60"/>
              <w:jc w:val="center"/>
            </w:pPr>
            <w:r w:rsidRPr="005631A4">
              <w:t>Nr działania</w:t>
            </w:r>
          </w:p>
        </w:tc>
        <w:tc>
          <w:tcPr>
            <w:tcW w:w="709" w:type="dxa"/>
            <w:shd w:val="clear" w:color="auto" w:fill="9CC2E5" w:themeFill="accent1" w:themeFillTint="99"/>
            <w:vAlign w:val="center"/>
          </w:tcPr>
          <w:p w14:paraId="69EDA693" w14:textId="77777777" w:rsidR="005631A4" w:rsidRPr="005631A4" w:rsidRDefault="005631A4" w:rsidP="005631A4">
            <w:pPr>
              <w:spacing w:before="60" w:after="60"/>
              <w:jc w:val="both"/>
            </w:pPr>
            <w:r w:rsidRPr="005631A4">
              <w:t>2020</w:t>
            </w:r>
          </w:p>
        </w:tc>
        <w:tc>
          <w:tcPr>
            <w:tcW w:w="709" w:type="dxa"/>
            <w:shd w:val="clear" w:color="auto" w:fill="9CC2E5" w:themeFill="accent1" w:themeFillTint="99"/>
            <w:vAlign w:val="center"/>
          </w:tcPr>
          <w:p w14:paraId="5D1C4F62" w14:textId="77777777" w:rsidR="005631A4" w:rsidRPr="005631A4" w:rsidRDefault="005631A4" w:rsidP="005631A4">
            <w:pPr>
              <w:spacing w:before="60" w:after="60"/>
              <w:jc w:val="both"/>
            </w:pPr>
            <w:r w:rsidRPr="005631A4">
              <w:t>2021</w:t>
            </w:r>
          </w:p>
        </w:tc>
        <w:tc>
          <w:tcPr>
            <w:tcW w:w="727" w:type="dxa"/>
            <w:shd w:val="clear" w:color="auto" w:fill="9CC2E5" w:themeFill="accent1" w:themeFillTint="99"/>
            <w:vAlign w:val="center"/>
          </w:tcPr>
          <w:p w14:paraId="221E57B7" w14:textId="77777777" w:rsidR="005631A4" w:rsidRPr="005631A4" w:rsidRDefault="005631A4" w:rsidP="005631A4">
            <w:pPr>
              <w:spacing w:before="60" w:after="60"/>
              <w:jc w:val="both"/>
            </w:pPr>
            <w:r w:rsidRPr="005631A4">
              <w:t>2022</w:t>
            </w:r>
          </w:p>
        </w:tc>
        <w:tc>
          <w:tcPr>
            <w:tcW w:w="691" w:type="dxa"/>
            <w:shd w:val="clear" w:color="auto" w:fill="9CC2E5" w:themeFill="accent1" w:themeFillTint="99"/>
            <w:vAlign w:val="center"/>
          </w:tcPr>
          <w:p w14:paraId="0117DDA7" w14:textId="77777777" w:rsidR="005631A4" w:rsidRPr="005631A4" w:rsidRDefault="005631A4" w:rsidP="005631A4">
            <w:pPr>
              <w:spacing w:before="60" w:after="60"/>
              <w:jc w:val="both"/>
            </w:pPr>
            <w:r w:rsidRPr="005631A4">
              <w:t>2023</w:t>
            </w:r>
          </w:p>
        </w:tc>
        <w:tc>
          <w:tcPr>
            <w:tcW w:w="691" w:type="dxa"/>
            <w:shd w:val="clear" w:color="auto" w:fill="9CC2E5" w:themeFill="accent1" w:themeFillTint="99"/>
            <w:vAlign w:val="center"/>
          </w:tcPr>
          <w:p w14:paraId="0B9EFECD" w14:textId="77777777" w:rsidR="005631A4" w:rsidRPr="005631A4" w:rsidRDefault="005631A4" w:rsidP="005631A4">
            <w:pPr>
              <w:spacing w:before="60" w:after="60"/>
              <w:jc w:val="both"/>
            </w:pPr>
            <w:r w:rsidRPr="005631A4">
              <w:t>2024</w:t>
            </w:r>
          </w:p>
        </w:tc>
        <w:tc>
          <w:tcPr>
            <w:tcW w:w="691" w:type="dxa"/>
            <w:shd w:val="clear" w:color="auto" w:fill="9CC2E5" w:themeFill="accent1" w:themeFillTint="99"/>
            <w:vAlign w:val="center"/>
          </w:tcPr>
          <w:p w14:paraId="6DA1BB9D" w14:textId="77777777" w:rsidR="005631A4" w:rsidRPr="005631A4" w:rsidRDefault="005631A4" w:rsidP="005631A4">
            <w:pPr>
              <w:spacing w:before="60" w:after="60"/>
              <w:jc w:val="both"/>
            </w:pPr>
            <w:r w:rsidRPr="005631A4">
              <w:t>2025</w:t>
            </w:r>
          </w:p>
        </w:tc>
        <w:tc>
          <w:tcPr>
            <w:tcW w:w="691" w:type="dxa"/>
            <w:shd w:val="clear" w:color="auto" w:fill="9CC2E5" w:themeFill="accent1" w:themeFillTint="99"/>
            <w:vAlign w:val="center"/>
          </w:tcPr>
          <w:p w14:paraId="70A763C4" w14:textId="77777777" w:rsidR="005631A4" w:rsidRPr="005631A4" w:rsidRDefault="005631A4" w:rsidP="005631A4">
            <w:pPr>
              <w:spacing w:before="60" w:after="60"/>
              <w:jc w:val="both"/>
            </w:pPr>
            <w:r w:rsidRPr="005631A4">
              <w:t>2026</w:t>
            </w:r>
          </w:p>
        </w:tc>
        <w:tc>
          <w:tcPr>
            <w:tcW w:w="666" w:type="dxa"/>
            <w:shd w:val="clear" w:color="auto" w:fill="9CC2E5" w:themeFill="accent1" w:themeFillTint="99"/>
            <w:vAlign w:val="center"/>
          </w:tcPr>
          <w:p w14:paraId="60AB43D2" w14:textId="77777777" w:rsidR="005631A4" w:rsidRPr="005631A4" w:rsidRDefault="005631A4" w:rsidP="005631A4">
            <w:pPr>
              <w:spacing w:before="60" w:after="60"/>
              <w:jc w:val="both"/>
            </w:pPr>
            <w:r w:rsidRPr="005631A4">
              <w:t>2027</w:t>
            </w:r>
          </w:p>
        </w:tc>
        <w:tc>
          <w:tcPr>
            <w:tcW w:w="693" w:type="dxa"/>
            <w:shd w:val="clear" w:color="auto" w:fill="9CC2E5" w:themeFill="accent1" w:themeFillTint="99"/>
            <w:vAlign w:val="center"/>
          </w:tcPr>
          <w:p w14:paraId="2555C59A" w14:textId="77777777" w:rsidR="005631A4" w:rsidRPr="005631A4" w:rsidRDefault="005631A4" w:rsidP="005631A4">
            <w:pPr>
              <w:spacing w:before="60" w:after="60"/>
              <w:jc w:val="both"/>
            </w:pPr>
            <w:r w:rsidRPr="005631A4">
              <w:t>2028</w:t>
            </w:r>
          </w:p>
        </w:tc>
        <w:tc>
          <w:tcPr>
            <w:tcW w:w="696" w:type="dxa"/>
            <w:shd w:val="clear" w:color="auto" w:fill="9CC2E5" w:themeFill="accent1" w:themeFillTint="99"/>
            <w:vAlign w:val="center"/>
          </w:tcPr>
          <w:p w14:paraId="668A7784" w14:textId="77777777" w:rsidR="005631A4" w:rsidRPr="005631A4" w:rsidRDefault="005631A4" w:rsidP="005631A4">
            <w:pPr>
              <w:spacing w:before="60" w:after="60"/>
              <w:jc w:val="both"/>
            </w:pPr>
            <w:r w:rsidRPr="005631A4">
              <w:t>2029</w:t>
            </w:r>
          </w:p>
        </w:tc>
        <w:tc>
          <w:tcPr>
            <w:tcW w:w="695" w:type="dxa"/>
            <w:shd w:val="clear" w:color="auto" w:fill="9CC2E5" w:themeFill="accent1" w:themeFillTint="99"/>
            <w:vAlign w:val="center"/>
          </w:tcPr>
          <w:p w14:paraId="6917E33C" w14:textId="77777777" w:rsidR="005631A4" w:rsidRPr="005631A4" w:rsidRDefault="005631A4" w:rsidP="005631A4">
            <w:pPr>
              <w:spacing w:before="60" w:after="60"/>
              <w:jc w:val="both"/>
            </w:pPr>
            <w:r w:rsidRPr="005631A4">
              <w:t>2030</w:t>
            </w:r>
          </w:p>
        </w:tc>
      </w:tr>
      <w:tr w:rsidR="005631A4" w:rsidRPr="005631A4" w14:paraId="1EAC259A" w14:textId="77777777" w:rsidTr="005631A4">
        <w:trPr>
          <w:jc w:val="center"/>
        </w:trPr>
        <w:tc>
          <w:tcPr>
            <w:tcW w:w="1560" w:type="dxa"/>
            <w:vMerge/>
            <w:vAlign w:val="center"/>
          </w:tcPr>
          <w:p w14:paraId="35AF59DC" w14:textId="77777777" w:rsidR="005631A4" w:rsidRPr="005631A4" w:rsidRDefault="005631A4" w:rsidP="005631A4">
            <w:pPr>
              <w:spacing w:before="60" w:after="60"/>
              <w:jc w:val="both"/>
              <w:rPr>
                <w:b/>
                <w:bCs/>
              </w:rPr>
            </w:pPr>
          </w:p>
        </w:tc>
        <w:tc>
          <w:tcPr>
            <w:tcW w:w="1139" w:type="dxa"/>
            <w:shd w:val="clear" w:color="auto" w:fill="BDD6EE" w:themeFill="accent1" w:themeFillTint="66"/>
            <w:vAlign w:val="center"/>
          </w:tcPr>
          <w:p w14:paraId="23171501" w14:textId="77777777" w:rsidR="005631A4" w:rsidRPr="005631A4" w:rsidRDefault="005631A4" w:rsidP="005631A4">
            <w:pPr>
              <w:spacing w:before="60" w:after="60"/>
              <w:jc w:val="center"/>
            </w:pPr>
            <w:r w:rsidRPr="005631A4">
              <w:t>1.</w:t>
            </w:r>
          </w:p>
        </w:tc>
        <w:tc>
          <w:tcPr>
            <w:tcW w:w="709" w:type="dxa"/>
            <w:shd w:val="clear" w:color="auto" w:fill="BDD6EE" w:themeFill="accent1" w:themeFillTint="66"/>
            <w:vAlign w:val="center"/>
          </w:tcPr>
          <w:p w14:paraId="478D9729" w14:textId="54C582B5" w:rsidR="005631A4" w:rsidRPr="005631A4" w:rsidRDefault="005631A4" w:rsidP="005631A4">
            <w:pPr>
              <w:spacing w:before="60" w:after="60"/>
              <w:jc w:val="center"/>
              <w:rPr>
                <w:sz w:val="16"/>
              </w:rPr>
            </w:pPr>
          </w:p>
        </w:tc>
        <w:tc>
          <w:tcPr>
            <w:tcW w:w="709" w:type="dxa"/>
            <w:shd w:val="clear" w:color="auto" w:fill="DEEAF6" w:themeFill="accent1" w:themeFillTint="33"/>
            <w:vAlign w:val="center"/>
          </w:tcPr>
          <w:p w14:paraId="1DECEAE5" w14:textId="77777777" w:rsidR="005631A4" w:rsidRPr="005631A4" w:rsidRDefault="005631A4" w:rsidP="005631A4">
            <w:pPr>
              <w:spacing w:before="60" w:after="60"/>
              <w:jc w:val="center"/>
              <w:rPr>
                <w:sz w:val="16"/>
              </w:rPr>
            </w:pPr>
          </w:p>
        </w:tc>
        <w:tc>
          <w:tcPr>
            <w:tcW w:w="727" w:type="dxa"/>
            <w:shd w:val="clear" w:color="auto" w:fill="DEEAF6" w:themeFill="accent1" w:themeFillTint="33"/>
            <w:vAlign w:val="center"/>
          </w:tcPr>
          <w:p w14:paraId="24FC155B" w14:textId="77777777" w:rsidR="005631A4" w:rsidRPr="005631A4" w:rsidRDefault="005631A4" w:rsidP="005631A4">
            <w:pPr>
              <w:spacing w:before="60" w:after="60"/>
              <w:jc w:val="center"/>
              <w:rPr>
                <w:sz w:val="16"/>
              </w:rPr>
            </w:pPr>
          </w:p>
        </w:tc>
        <w:tc>
          <w:tcPr>
            <w:tcW w:w="691" w:type="dxa"/>
            <w:shd w:val="clear" w:color="auto" w:fill="DEEAF6" w:themeFill="accent1" w:themeFillTint="33"/>
            <w:vAlign w:val="center"/>
          </w:tcPr>
          <w:p w14:paraId="75CC0671" w14:textId="77777777" w:rsidR="005631A4" w:rsidRPr="005631A4" w:rsidRDefault="005631A4" w:rsidP="005631A4">
            <w:pPr>
              <w:spacing w:before="60" w:after="60"/>
              <w:jc w:val="center"/>
              <w:rPr>
                <w:sz w:val="16"/>
              </w:rPr>
            </w:pPr>
          </w:p>
        </w:tc>
        <w:tc>
          <w:tcPr>
            <w:tcW w:w="691" w:type="dxa"/>
            <w:shd w:val="clear" w:color="auto" w:fill="DEEAF6" w:themeFill="accent1" w:themeFillTint="33"/>
            <w:vAlign w:val="center"/>
          </w:tcPr>
          <w:p w14:paraId="2F201AB5" w14:textId="77777777" w:rsidR="005631A4" w:rsidRPr="005631A4" w:rsidRDefault="005631A4" w:rsidP="005631A4">
            <w:pPr>
              <w:spacing w:before="60" w:after="60"/>
              <w:jc w:val="center"/>
              <w:rPr>
                <w:sz w:val="16"/>
              </w:rPr>
            </w:pPr>
          </w:p>
        </w:tc>
        <w:tc>
          <w:tcPr>
            <w:tcW w:w="691" w:type="dxa"/>
            <w:shd w:val="clear" w:color="auto" w:fill="DEEAF6" w:themeFill="accent1" w:themeFillTint="33"/>
            <w:vAlign w:val="center"/>
          </w:tcPr>
          <w:p w14:paraId="7DAD5CC1" w14:textId="77777777" w:rsidR="005631A4" w:rsidRPr="005631A4" w:rsidRDefault="005631A4" w:rsidP="005631A4">
            <w:pPr>
              <w:spacing w:before="60" w:after="60"/>
              <w:jc w:val="center"/>
              <w:rPr>
                <w:sz w:val="16"/>
              </w:rPr>
            </w:pPr>
          </w:p>
        </w:tc>
        <w:tc>
          <w:tcPr>
            <w:tcW w:w="691" w:type="dxa"/>
            <w:shd w:val="clear" w:color="auto" w:fill="DEEAF6" w:themeFill="accent1" w:themeFillTint="33"/>
            <w:vAlign w:val="center"/>
          </w:tcPr>
          <w:p w14:paraId="7ECC517E" w14:textId="77777777" w:rsidR="005631A4" w:rsidRPr="005631A4" w:rsidRDefault="005631A4" w:rsidP="005631A4">
            <w:pPr>
              <w:spacing w:before="60" w:after="60"/>
              <w:jc w:val="center"/>
              <w:rPr>
                <w:sz w:val="16"/>
              </w:rPr>
            </w:pPr>
          </w:p>
        </w:tc>
        <w:tc>
          <w:tcPr>
            <w:tcW w:w="666" w:type="dxa"/>
            <w:shd w:val="clear" w:color="auto" w:fill="DEEAF6" w:themeFill="accent1" w:themeFillTint="33"/>
          </w:tcPr>
          <w:p w14:paraId="7F5F58DD" w14:textId="77777777" w:rsidR="005631A4" w:rsidRPr="005631A4" w:rsidRDefault="005631A4" w:rsidP="005631A4">
            <w:pPr>
              <w:spacing w:before="60" w:after="60"/>
              <w:jc w:val="center"/>
              <w:rPr>
                <w:sz w:val="16"/>
              </w:rPr>
            </w:pPr>
          </w:p>
        </w:tc>
        <w:tc>
          <w:tcPr>
            <w:tcW w:w="693" w:type="dxa"/>
            <w:shd w:val="clear" w:color="auto" w:fill="DEEAF6" w:themeFill="accent1" w:themeFillTint="33"/>
          </w:tcPr>
          <w:p w14:paraId="07E10D80" w14:textId="77777777" w:rsidR="005631A4" w:rsidRPr="005631A4" w:rsidRDefault="005631A4" w:rsidP="005631A4">
            <w:pPr>
              <w:spacing w:before="60" w:after="60"/>
              <w:jc w:val="center"/>
              <w:rPr>
                <w:sz w:val="16"/>
              </w:rPr>
            </w:pPr>
          </w:p>
        </w:tc>
        <w:tc>
          <w:tcPr>
            <w:tcW w:w="696" w:type="dxa"/>
            <w:shd w:val="clear" w:color="auto" w:fill="DEEAF6" w:themeFill="accent1" w:themeFillTint="33"/>
          </w:tcPr>
          <w:p w14:paraId="5FCF9AAD" w14:textId="77777777" w:rsidR="005631A4" w:rsidRPr="005631A4" w:rsidRDefault="005631A4" w:rsidP="005631A4">
            <w:pPr>
              <w:spacing w:before="60" w:after="60"/>
              <w:jc w:val="center"/>
              <w:rPr>
                <w:sz w:val="16"/>
              </w:rPr>
            </w:pPr>
          </w:p>
        </w:tc>
        <w:tc>
          <w:tcPr>
            <w:tcW w:w="695" w:type="dxa"/>
            <w:shd w:val="clear" w:color="auto" w:fill="DEEAF6" w:themeFill="accent1" w:themeFillTint="33"/>
          </w:tcPr>
          <w:p w14:paraId="3A6DBB03" w14:textId="77777777" w:rsidR="005631A4" w:rsidRPr="005631A4" w:rsidRDefault="005631A4" w:rsidP="005631A4">
            <w:pPr>
              <w:spacing w:before="60" w:after="60"/>
              <w:jc w:val="center"/>
              <w:rPr>
                <w:sz w:val="16"/>
              </w:rPr>
            </w:pPr>
          </w:p>
        </w:tc>
      </w:tr>
      <w:tr w:rsidR="005631A4" w:rsidRPr="005631A4" w14:paraId="6E5E5C7A" w14:textId="77777777" w:rsidTr="005631A4">
        <w:trPr>
          <w:jc w:val="center"/>
        </w:trPr>
        <w:tc>
          <w:tcPr>
            <w:tcW w:w="1560" w:type="dxa"/>
            <w:vMerge/>
            <w:vAlign w:val="center"/>
          </w:tcPr>
          <w:p w14:paraId="4D2B51AC" w14:textId="77777777" w:rsidR="005631A4" w:rsidRPr="005631A4" w:rsidRDefault="005631A4" w:rsidP="005631A4">
            <w:pPr>
              <w:spacing w:before="60" w:after="60"/>
              <w:jc w:val="both"/>
              <w:rPr>
                <w:b/>
                <w:bCs/>
              </w:rPr>
            </w:pPr>
          </w:p>
        </w:tc>
        <w:tc>
          <w:tcPr>
            <w:tcW w:w="1139" w:type="dxa"/>
            <w:shd w:val="clear" w:color="auto" w:fill="BDD6EE" w:themeFill="accent1" w:themeFillTint="66"/>
            <w:vAlign w:val="center"/>
          </w:tcPr>
          <w:p w14:paraId="11E90D54" w14:textId="77777777" w:rsidR="005631A4" w:rsidRPr="005631A4" w:rsidRDefault="005631A4" w:rsidP="005631A4">
            <w:pPr>
              <w:spacing w:before="60" w:after="60"/>
              <w:jc w:val="center"/>
            </w:pPr>
            <w:r w:rsidRPr="005631A4">
              <w:t>2.</w:t>
            </w:r>
          </w:p>
        </w:tc>
        <w:tc>
          <w:tcPr>
            <w:tcW w:w="709" w:type="dxa"/>
            <w:shd w:val="clear" w:color="auto" w:fill="DEEAF6" w:themeFill="accent1" w:themeFillTint="33"/>
            <w:vAlign w:val="center"/>
          </w:tcPr>
          <w:p w14:paraId="34B0FAD3" w14:textId="77777777" w:rsidR="005631A4" w:rsidRPr="005631A4" w:rsidRDefault="005631A4" w:rsidP="005631A4">
            <w:pPr>
              <w:spacing w:before="60" w:after="60"/>
              <w:jc w:val="center"/>
              <w:rPr>
                <w:sz w:val="16"/>
              </w:rPr>
            </w:pPr>
          </w:p>
        </w:tc>
        <w:tc>
          <w:tcPr>
            <w:tcW w:w="709" w:type="dxa"/>
            <w:shd w:val="clear" w:color="auto" w:fill="BDD6EE" w:themeFill="accent1" w:themeFillTint="66"/>
            <w:vAlign w:val="center"/>
          </w:tcPr>
          <w:p w14:paraId="04934A0C" w14:textId="38342ECC" w:rsidR="005631A4" w:rsidRPr="005631A4" w:rsidRDefault="005631A4" w:rsidP="005631A4">
            <w:pPr>
              <w:spacing w:before="60" w:after="60"/>
              <w:jc w:val="center"/>
              <w:rPr>
                <w:sz w:val="16"/>
              </w:rPr>
            </w:pPr>
          </w:p>
        </w:tc>
        <w:tc>
          <w:tcPr>
            <w:tcW w:w="727" w:type="dxa"/>
            <w:shd w:val="clear" w:color="auto" w:fill="DEEAF6" w:themeFill="accent1" w:themeFillTint="33"/>
            <w:vAlign w:val="center"/>
          </w:tcPr>
          <w:p w14:paraId="218C5639" w14:textId="77777777" w:rsidR="005631A4" w:rsidRPr="005631A4" w:rsidRDefault="005631A4" w:rsidP="005631A4">
            <w:pPr>
              <w:spacing w:before="60" w:after="60"/>
              <w:jc w:val="center"/>
              <w:rPr>
                <w:sz w:val="16"/>
              </w:rPr>
            </w:pPr>
          </w:p>
        </w:tc>
        <w:tc>
          <w:tcPr>
            <w:tcW w:w="691" w:type="dxa"/>
            <w:shd w:val="clear" w:color="auto" w:fill="DEEAF6" w:themeFill="accent1" w:themeFillTint="33"/>
            <w:vAlign w:val="center"/>
          </w:tcPr>
          <w:p w14:paraId="1FD49476" w14:textId="77777777" w:rsidR="005631A4" w:rsidRPr="005631A4" w:rsidRDefault="005631A4" w:rsidP="005631A4">
            <w:pPr>
              <w:spacing w:before="60" w:after="60"/>
              <w:jc w:val="center"/>
              <w:rPr>
                <w:sz w:val="16"/>
              </w:rPr>
            </w:pPr>
          </w:p>
        </w:tc>
        <w:tc>
          <w:tcPr>
            <w:tcW w:w="691" w:type="dxa"/>
            <w:shd w:val="clear" w:color="auto" w:fill="DEEAF6" w:themeFill="accent1" w:themeFillTint="33"/>
            <w:vAlign w:val="center"/>
          </w:tcPr>
          <w:p w14:paraId="39503ED8" w14:textId="77777777" w:rsidR="005631A4" w:rsidRPr="005631A4" w:rsidRDefault="005631A4" w:rsidP="005631A4">
            <w:pPr>
              <w:spacing w:before="60" w:after="60"/>
              <w:jc w:val="center"/>
              <w:rPr>
                <w:sz w:val="16"/>
              </w:rPr>
            </w:pPr>
          </w:p>
        </w:tc>
        <w:tc>
          <w:tcPr>
            <w:tcW w:w="691" w:type="dxa"/>
            <w:shd w:val="clear" w:color="auto" w:fill="DEEAF6" w:themeFill="accent1" w:themeFillTint="33"/>
            <w:vAlign w:val="center"/>
          </w:tcPr>
          <w:p w14:paraId="5687C55A" w14:textId="77777777" w:rsidR="005631A4" w:rsidRPr="005631A4" w:rsidRDefault="005631A4" w:rsidP="005631A4">
            <w:pPr>
              <w:spacing w:before="60" w:after="60"/>
              <w:jc w:val="center"/>
              <w:rPr>
                <w:sz w:val="16"/>
              </w:rPr>
            </w:pPr>
          </w:p>
        </w:tc>
        <w:tc>
          <w:tcPr>
            <w:tcW w:w="691" w:type="dxa"/>
            <w:shd w:val="clear" w:color="auto" w:fill="DEEAF6" w:themeFill="accent1" w:themeFillTint="33"/>
            <w:vAlign w:val="center"/>
          </w:tcPr>
          <w:p w14:paraId="31AAE237" w14:textId="77777777" w:rsidR="005631A4" w:rsidRPr="005631A4" w:rsidRDefault="005631A4" w:rsidP="005631A4">
            <w:pPr>
              <w:spacing w:before="60" w:after="60"/>
              <w:jc w:val="center"/>
              <w:rPr>
                <w:sz w:val="16"/>
              </w:rPr>
            </w:pPr>
          </w:p>
        </w:tc>
        <w:tc>
          <w:tcPr>
            <w:tcW w:w="666" w:type="dxa"/>
            <w:shd w:val="clear" w:color="auto" w:fill="DEEAF6" w:themeFill="accent1" w:themeFillTint="33"/>
          </w:tcPr>
          <w:p w14:paraId="03B52DA1" w14:textId="77777777" w:rsidR="005631A4" w:rsidRPr="005631A4" w:rsidRDefault="005631A4" w:rsidP="005631A4">
            <w:pPr>
              <w:spacing w:before="60" w:after="60"/>
              <w:jc w:val="center"/>
              <w:rPr>
                <w:sz w:val="16"/>
              </w:rPr>
            </w:pPr>
          </w:p>
        </w:tc>
        <w:tc>
          <w:tcPr>
            <w:tcW w:w="693" w:type="dxa"/>
            <w:shd w:val="clear" w:color="auto" w:fill="DEEAF6" w:themeFill="accent1" w:themeFillTint="33"/>
          </w:tcPr>
          <w:p w14:paraId="58A41E34" w14:textId="77777777" w:rsidR="005631A4" w:rsidRPr="005631A4" w:rsidRDefault="005631A4" w:rsidP="005631A4">
            <w:pPr>
              <w:spacing w:before="60" w:after="60"/>
              <w:jc w:val="center"/>
              <w:rPr>
                <w:sz w:val="16"/>
              </w:rPr>
            </w:pPr>
          </w:p>
        </w:tc>
        <w:tc>
          <w:tcPr>
            <w:tcW w:w="696" w:type="dxa"/>
            <w:shd w:val="clear" w:color="auto" w:fill="DEEAF6" w:themeFill="accent1" w:themeFillTint="33"/>
          </w:tcPr>
          <w:p w14:paraId="2B278AE2" w14:textId="77777777" w:rsidR="005631A4" w:rsidRPr="005631A4" w:rsidRDefault="005631A4" w:rsidP="005631A4">
            <w:pPr>
              <w:spacing w:before="60" w:after="60"/>
              <w:jc w:val="center"/>
              <w:rPr>
                <w:sz w:val="16"/>
              </w:rPr>
            </w:pPr>
          </w:p>
        </w:tc>
        <w:tc>
          <w:tcPr>
            <w:tcW w:w="695" w:type="dxa"/>
            <w:shd w:val="clear" w:color="auto" w:fill="DEEAF6" w:themeFill="accent1" w:themeFillTint="33"/>
          </w:tcPr>
          <w:p w14:paraId="2707B959" w14:textId="77777777" w:rsidR="005631A4" w:rsidRPr="005631A4" w:rsidRDefault="005631A4" w:rsidP="005631A4">
            <w:pPr>
              <w:spacing w:before="60" w:after="60"/>
              <w:jc w:val="center"/>
              <w:rPr>
                <w:sz w:val="16"/>
              </w:rPr>
            </w:pPr>
          </w:p>
        </w:tc>
      </w:tr>
      <w:tr w:rsidR="005631A4" w:rsidRPr="005631A4" w14:paraId="1FE38FA8" w14:textId="77777777" w:rsidTr="005631A4">
        <w:trPr>
          <w:jc w:val="center"/>
        </w:trPr>
        <w:tc>
          <w:tcPr>
            <w:tcW w:w="1560" w:type="dxa"/>
            <w:vMerge/>
            <w:vAlign w:val="center"/>
          </w:tcPr>
          <w:p w14:paraId="350EA9A9" w14:textId="77777777" w:rsidR="005631A4" w:rsidRPr="005631A4" w:rsidRDefault="005631A4" w:rsidP="005631A4">
            <w:pPr>
              <w:spacing w:before="60" w:after="60"/>
              <w:jc w:val="both"/>
              <w:rPr>
                <w:b/>
                <w:bCs/>
              </w:rPr>
            </w:pPr>
          </w:p>
        </w:tc>
        <w:tc>
          <w:tcPr>
            <w:tcW w:w="1139" w:type="dxa"/>
            <w:shd w:val="clear" w:color="auto" w:fill="BDD6EE" w:themeFill="accent1" w:themeFillTint="66"/>
            <w:vAlign w:val="center"/>
          </w:tcPr>
          <w:p w14:paraId="0E8F7D42" w14:textId="77777777" w:rsidR="005631A4" w:rsidRPr="005631A4" w:rsidRDefault="005631A4" w:rsidP="005631A4">
            <w:pPr>
              <w:spacing w:before="60" w:after="60"/>
              <w:jc w:val="center"/>
            </w:pPr>
            <w:r w:rsidRPr="005631A4">
              <w:t>3.</w:t>
            </w:r>
          </w:p>
        </w:tc>
        <w:tc>
          <w:tcPr>
            <w:tcW w:w="709" w:type="dxa"/>
            <w:shd w:val="clear" w:color="auto" w:fill="DEEAF6" w:themeFill="accent1" w:themeFillTint="33"/>
            <w:vAlign w:val="center"/>
          </w:tcPr>
          <w:p w14:paraId="31C4FDAE" w14:textId="77777777" w:rsidR="005631A4" w:rsidRPr="005631A4" w:rsidRDefault="005631A4" w:rsidP="005631A4">
            <w:pPr>
              <w:spacing w:before="60" w:after="60"/>
              <w:jc w:val="center"/>
              <w:rPr>
                <w:sz w:val="16"/>
              </w:rPr>
            </w:pPr>
          </w:p>
        </w:tc>
        <w:tc>
          <w:tcPr>
            <w:tcW w:w="709" w:type="dxa"/>
            <w:shd w:val="clear" w:color="auto" w:fill="DEEAF6" w:themeFill="accent1" w:themeFillTint="33"/>
            <w:vAlign w:val="center"/>
          </w:tcPr>
          <w:p w14:paraId="6D44D898" w14:textId="77777777" w:rsidR="005631A4" w:rsidRPr="005631A4" w:rsidRDefault="005631A4" w:rsidP="005631A4">
            <w:pPr>
              <w:spacing w:before="60" w:after="60"/>
              <w:jc w:val="center"/>
              <w:rPr>
                <w:sz w:val="16"/>
              </w:rPr>
            </w:pPr>
          </w:p>
        </w:tc>
        <w:tc>
          <w:tcPr>
            <w:tcW w:w="727" w:type="dxa"/>
            <w:shd w:val="clear" w:color="auto" w:fill="BDD6EE" w:themeFill="accent1" w:themeFillTint="66"/>
            <w:vAlign w:val="center"/>
          </w:tcPr>
          <w:p w14:paraId="05363E00" w14:textId="44F4282B" w:rsidR="005631A4" w:rsidRPr="005631A4" w:rsidRDefault="005631A4" w:rsidP="005631A4">
            <w:pPr>
              <w:spacing w:before="60" w:after="60"/>
              <w:jc w:val="center"/>
              <w:rPr>
                <w:sz w:val="16"/>
              </w:rPr>
            </w:pPr>
          </w:p>
        </w:tc>
        <w:tc>
          <w:tcPr>
            <w:tcW w:w="691" w:type="dxa"/>
            <w:shd w:val="clear" w:color="auto" w:fill="BDD6EE" w:themeFill="accent1" w:themeFillTint="66"/>
            <w:vAlign w:val="center"/>
          </w:tcPr>
          <w:p w14:paraId="0CF5465E" w14:textId="65B5CE37" w:rsidR="005631A4" w:rsidRPr="005631A4" w:rsidRDefault="005631A4" w:rsidP="005631A4">
            <w:pPr>
              <w:spacing w:before="60" w:after="60"/>
              <w:jc w:val="center"/>
              <w:rPr>
                <w:sz w:val="16"/>
              </w:rPr>
            </w:pPr>
          </w:p>
        </w:tc>
        <w:tc>
          <w:tcPr>
            <w:tcW w:w="691" w:type="dxa"/>
            <w:shd w:val="clear" w:color="auto" w:fill="BDD6EE" w:themeFill="accent1" w:themeFillTint="66"/>
            <w:vAlign w:val="center"/>
          </w:tcPr>
          <w:p w14:paraId="389938C0" w14:textId="0AB4F098" w:rsidR="005631A4" w:rsidRPr="005631A4" w:rsidRDefault="005631A4" w:rsidP="005631A4">
            <w:pPr>
              <w:spacing w:before="60" w:after="60"/>
              <w:jc w:val="center"/>
              <w:rPr>
                <w:sz w:val="16"/>
              </w:rPr>
            </w:pPr>
          </w:p>
        </w:tc>
        <w:tc>
          <w:tcPr>
            <w:tcW w:w="691" w:type="dxa"/>
            <w:shd w:val="clear" w:color="auto" w:fill="DEEAF6" w:themeFill="accent1" w:themeFillTint="33"/>
            <w:vAlign w:val="center"/>
          </w:tcPr>
          <w:p w14:paraId="6922E4DB" w14:textId="77777777" w:rsidR="005631A4" w:rsidRPr="005631A4" w:rsidRDefault="005631A4" w:rsidP="005631A4">
            <w:pPr>
              <w:spacing w:before="60" w:after="60"/>
              <w:jc w:val="center"/>
              <w:rPr>
                <w:sz w:val="16"/>
              </w:rPr>
            </w:pPr>
          </w:p>
        </w:tc>
        <w:tc>
          <w:tcPr>
            <w:tcW w:w="691" w:type="dxa"/>
            <w:shd w:val="clear" w:color="auto" w:fill="DEEAF6" w:themeFill="accent1" w:themeFillTint="33"/>
            <w:vAlign w:val="center"/>
          </w:tcPr>
          <w:p w14:paraId="7AB28DDB" w14:textId="77777777" w:rsidR="005631A4" w:rsidRPr="005631A4" w:rsidRDefault="005631A4" w:rsidP="005631A4">
            <w:pPr>
              <w:spacing w:before="60" w:after="60"/>
              <w:jc w:val="center"/>
              <w:rPr>
                <w:sz w:val="16"/>
              </w:rPr>
            </w:pPr>
          </w:p>
        </w:tc>
        <w:tc>
          <w:tcPr>
            <w:tcW w:w="666" w:type="dxa"/>
            <w:shd w:val="clear" w:color="auto" w:fill="DEEAF6" w:themeFill="accent1" w:themeFillTint="33"/>
          </w:tcPr>
          <w:p w14:paraId="2EF904C5" w14:textId="77777777" w:rsidR="005631A4" w:rsidRPr="005631A4" w:rsidRDefault="005631A4" w:rsidP="005631A4">
            <w:pPr>
              <w:spacing w:before="60" w:after="60"/>
              <w:jc w:val="center"/>
              <w:rPr>
                <w:sz w:val="16"/>
              </w:rPr>
            </w:pPr>
          </w:p>
        </w:tc>
        <w:tc>
          <w:tcPr>
            <w:tcW w:w="693" w:type="dxa"/>
            <w:shd w:val="clear" w:color="auto" w:fill="DEEAF6" w:themeFill="accent1" w:themeFillTint="33"/>
          </w:tcPr>
          <w:p w14:paraId="2238B6EF" w14:textId="77777777" w:rsidR="005631A4" w:rsidRPr="005631A4" w:rsidRDefault="005631A4" w:rsidP="005631A4">
            <w:pPr>
              <w:spacing w:before="60" w:after="60"/>
              <w:jc w:val="center"/>
              <w:rPr>
                <w:sz w:val="16"/>
              </w:rPr>
            </w:pPr>
          </w:p>
        </w:tc>
        <w:tc>
          <w:tcPr>
            <w:tcW w:w="696" w:type="dxa"/>
            <w:shd w:val="clear" w:color="auto" w:fill="DEEAF6" w:themeFill="accent1" w:themeFillTint="33"/>
          </w:tcPr>
          <w:p w14:paraId="74CEBF98" w14:textId="77777777" w:rsidR="005631A4" w:rsidRPr="005631A4" w:rsidRDefault="005631A4" w:rsidP="005631A4">
            <w:pPr>
              <w:spacing w:before="60" w:after="60"/>
              <w:jc w:val="center"/>
              <w:rPr>
                <w:sz w:val="16"/>
              </w:rPr>
            </w:pPr>
          </w:p>
        </w:tc>
        <w:tc>
          <w:tcPr>
            <w:tcW w:w="695" w:type="dxa"/>
            <w:shd w:val="clear" w:color="auto" w:fill="DEEAF6" w:themeFill="accent1" w:themeFillTint="33"/>
          </w:tcPr>
          <w:p w14:paraId="3A992314" w14:textId="77777777" w:rsidR="005631A4" w:rsidRPr="005631A4" w:rsidRDefault="005631A4" w:rsidP="005631A4">
            <w:pPr>
              <w:spacing w:before="60" w:after="60"/>
              <w:jc w:val="center"/>
              <w:rPr>
                <w:sz w:val="16"/>
              </w:rPr>
            </w:pPr>
          </w:p>
        </w:tc>
      </w:tr>
      <w:tr w:rsidR="005631A4" w:rsidRPr="005631A4" w14:paraId="6C9B5FAA" w14:textId="77777777" w:rsidTr="005631A4">
        <w:trPr>
          <w:jc w:val="center"/>
        </w:trPr>
        <w:tc>
          <w:tcPr>
            <w:tcW w:w="1560" w:type="dxa"/>
            <w:vMerge/>
            <w:vAlign w:val="center"/>
          </w:tcPr>
          <w:p w14:paraId="780AEE41" w14:textId="77777777" w:rsidR="005631A4" w:rsidRPr="005631A4" w:rsidRDefault="005631A4" w:rsidP="005631A4">
            <w:pPr>
              <w:spacing w:before="60" w:after="60"/>
              <w:jc w:val="both"/>
              <w:rPr>
                <w:b/>
                <w:bCs/>
              </w:rPr>
            </w:pPr>
          </w:p>
        </w:tc>
        <w:tc>
          <w:tcPr>
            <w:tcW w:w="1139" w:type="dxa"/>
            <w:shd w:val="clear" w:color="auto" w:fill="BDD6EE" w:themeFill="accent1" w:themeFillTint="66"/>
            <w:vAlign w:val="center"/>
          </w:tcPr>
          <w:p w14:paraId="566325BA" w14:textId="77777777" w:rsidR="005631A4" w:rsidRPr="005631A4" w:rsidRDefault="005631A4" w:rsidP="005631A4">
            <w:pPr>
              <w:spacing w:before="60" w:after="60"/>
              <w:jc w:val="center"/>
            </w:pPr>
            <w:r w:rsidRPr="005631A4">
              <w:t>4.</w:t>
            </w:r>
          </w:p>
        </w:tc>
        <w:tc>
          <w:tcPr>
            <w:tcW w:w="709" w:type="dxa"/>
            <w:shd w:val="clear" w:color="auto" w:fill="DEEAF6" w:themeFill="accent1" w:themeFillTint="33"/>
            <w:vAlign w:val="center"/>
          </w:tcPr>
          <w:p w14:paraId="34AB42FD" w14:textId="77777777" w:rsidR="005631A4" w:rsidRPr="005631A4" w:rsidRDefault="005631A4" w:rsidP="005631A4">
            <w:pPr>
              <w:spacing w:before="60" w:after="60"/>
              <w:jc w:val="center"/>
              <w:rPr>
                <w:sz w:val="16"/>
              </w:rPr>
            </w:pPr>
          </w:p>
        </w:tc>
        <w:tc>
          <w:tcPr>
            <w:tcW w:w="709" w:type="dxa"/>
            <w:shd w:val="clear" w:color="auto" w:fill="DEEAF6" w:themeFill="accent1" w:themeFillTint="33"/>
            <w:vAlign w:val="center"/>
          </w:tcPr>
          <w:p w14:paraId="2935A566" w14:textId="77777777" w:rsidR="005631A4" w:rsidRPr="005631A4" w:rsidRDefault="005631A4" w:rsidP="005631A4">
            <w:pPr>
              <w:spacing w:before="60" w:after="60"/>
              <w:jc w:val="center"/>
              <w:rPr>
                <w:sz w:val="16"/>
              </w:rPr>
            </w:pPr>
          </w:p>
        </w:tc>
        <w:tc>
          <w:tcPr>
            <w:tcW w:w="727" w:type="dxa"/>
            <w:shd w:val="clear" w:color="auto" w:fill="DEEAF6" w:themeFill="accent1" w:themeFillTint="33"/>
            <w:vAlign w:val="center"/>
          </w:tcPr>
          <w:p w14:paraId="0A170A75" w14:textId="77777777" w:rsidR="005631A4" w:rsidRPr="005631A4" w:rsidRDefault="005631A4" w:rsidP="005631A4">
            <w:pPr>
              <w:spacing w:before="60" w:after="60"/>
              <w:jc w:val="center"/>
              <w:rPr>
                <w:sz w:val="16"/>
              </w:rPr>
            </w:pPr>
          </w:p>
        </w:tc>
        <w:tc>
          <w:tcPr>
            <w:tcW w:w="691" w:type="dxa"/>
            <w:shd w:val="clear" w:color="auto" w:fill="DEEAF6" w:themeFill="accent1" w:themeFillTint="33"/>
            <w:vAlign w:val="center"/>
          </w:tcPr>
          <w:p w14:paraId="30F8DA29" w14:textId="77777777" w:rsidR="005631A4" w:rsidRPr="005631A4" w:rsidRDefault="005631A4" w:rsidP="005631A4">
            <w:pPr>
              <w:spacing w:before="60" w:after="60"/>
              <w:jc w:val="center"/>
              <w:rPr>
                <w:sz w:val="16"/>
              </w:rPr>
            </w:pPr>
          </w:p>
        </w:tc>
        <w:tc>
          <w:tcPr>
            <w:tcW w:w="691" w:type="dxa"/>
            <w:shd w:val="clear" w:color="auto" w:fill="BDD6EE" w:themeFill="accent1" w:themeFillTint="66"/>
            <w:vAlign w:val="center"/>
          </w:tcPr>
          <w:p w14:paraId="55D61E73" w14:textId="5A7EBE2D" w:rsidR="005631A4" w:rsidRPr="005631A4" w:rsidRDefault="005631A4" w:rsidP="005631A4">
            <w:pPr>
              <w:spacing w:before="60" w:after="60"/>
              <w:jc w:val="center"/>
              <w:rPr>
                <w:sz w:val="16"/>
              </w:rPr>
            </w:pPr>
          </w:p>
        </w:tc>
        <w:tc>
          <w:tcPr>
            <w:tcW w:w="691" w:type="dxa"/>
            <w:shd w:val="clear" w:color="auto" w:fill="BDD6EE" w:themeFill="accent1" w:themeFillTint="66"/>
            <w:vAlign w:val="center"/>
          </w:tcPr>
          <w:p w14:paraId="125B0D87" w14:textId="2295B497" w:rsidR="005631A4" w:rsidRPr="005631A4" w:rsidRDefault="005631A4" w:rsidP="005631A4">
            <w:pPr>
              <w:spacing w:before="60" w:after="60"/>
              <w:jc w:val="center"/>
              <w:rPr>
                <w:sz w:val="16"/>
              </w:rPr>
            </w:pPr>
          </w:p>
        </w:tc>
        <w:tc>
          <w:tcPr>
            <w:tcW w:w="691" w:type="dxa"/>
            <w:shd w:val="clear" w:color="auto" w:fill="DEEAF6" w:themeFill="accent1" w:themeFillTint="33"/>
            <w:vAlign w:val="center"/>
          </w:tcPr>
          <w:p w14:paraId="4A22AF29" w14:textId="77777777" w:rsidR="005631A4" w:rsidRPr="005631A4" w:rsidRDefault="005631A4" w:rsidP="005631A4">
            <w:pPr>
              <w:spacing w:before="60" w:after="60"/>
              <w:jc w:val="center"/>
              <w:rPr>
                <w:sz w:val="16"/>
              </w:rPr>
            </w:pPr>
          </w:p>
        </w:tc>
        <w:tc>
          <w:tcPr>
            <w:tcW w:w="666" w:type="dxa"/>
            <w:shd w:val="clear" w:color="auto" w:fill="DEEAF6" w:themeFill="accent1" w:themeFillTint="33"/>
          </w:tcPr>
          <w:p w14:paraId="2FA69DCC" w14:textId="77777777" w:rsidR="005631A4" w:rsidRPr="005631A4" w:rsidRDefault="005631A4" w:rsidP="005631A4">
            <w:pPr>
              <w:spacing w:before="60" w:after="60"/>
              <w:jc w:val="center"/>
              <w:rPr>
                <w:sz w:val="16"/>
              </w:rPr>
            </w:pPr>
          </w:p>
        </w:tc>
        <w:tc>
          <w:tcPr>
            <w:tcW w:w="693" w:type="dxa"/>
            <w:shd w:val="clear" w:color="auto" w:fill="DEEAF6" w:themeFill="accent1" w:themeFillTint="33"/>
          </w:tcPr>
          <w:p w14:paraId="26007626" w14:textId="77777777" w:rsidR="005631A4" w:rsidRPr="005631A4" w:rsidRDefault="005631A4" w:rsidP="005631A4">
            <w:pPr>
              <w:spacing w:before="60" w:after="60"/>
              <w:jc w:val="center"/>
              <w:rPr>
                <w:sz w:val="16"/>
              </w:rPr>
            </w:pPr>
          </w:p>
        </w:tc>
        <w:tc>
          <w:tcPr>
            <w:tcW w:w="696" w:type="dxa"/>
            <w:shd w:val="clear" w:color="auto" w:fill="DEEAF6" w:themeFill="accent1" w:themeFillTint="33"/>
          </w:tcPr>
          <w:p w14:paraId="7AC15DE0" w14:textId="77777777" w:rsidR="005631A4" w:rsidRPr="005631A4" w:rsidRDefault="005631A4" w:rsidP="005631A4">
            <w:pPr>
              <w:spacing w:before="60" w:after="60"/>
              <w:jc w:val="center"/>
              <w:rPr>
                <w:sz w:val="16"/>
              </w:rPr>
            </w:pPr>
          </w:p>
        </w:tc>
        <w:tc>
          <w:tcPr>
            <w:tcW w:w="695" w:type="dxa"/>
            <w:shd w:val="clear" w:color="auto" w:fill="DEEAF6" w:themeFill="accent1" w:themeFillTint="33"/>
          </w:tcPr>
          <w:p w14:paraId="673B64EA" w14:textId="77777777" w:rsidR="005631A4" w:rsidRPr="005631A4" w:rsidRDefault="005631A4" w:rsidP="005631A4">
            <w:pPr>
              <w:spacing w:before="60" w:after="60"/>
              <w:jc w:val="center"/>
              <w:rPr>
                <w:sz w:val="16"/>
              </w:rPr>
            </w:pPr>
          </w:p>
        </w:tc>
      </w:tr>
      <w:tr w:rsidR="005631A4" w:rsidRPr="005631A4" w14:paraId="29305C5A" w14:textId="77777777" w:rsidTr="005631A4">
        <w:trPr>
          <w:jc w:val="center"/>
        </w:trPr>
        <w:tc>
          <w:tcPr>
            <w:tcW w:w="1560" w:type="dxa"/>
            <w:vMerge/>
            <w:vAlign w:val="center"/>
          </w:tcPr>
          <w:p w14:paraId="1FB1E3DD" w14:textId="77777777" w:rsidR="005631A4" w:rsidRPr="005631A4" w:rsidRDefault="005631A4" w:rsidP="005631A4">
            <w:pPr>
              <w:spacing w:before="60" w:after="60"/>
              <w:jc w:val="both"/>
              <w:rPr>
                <w:b/>
                <w:bCs/>
              </w:rPr>
            </w:pPr>
          </w:p>
        </w:tc>
        <w:tc>
          <w:tcPr>
            <w:tcW w:w="1139" w:type="dxa"/>
            <w:shd w:val="clear" w:color="auto" w:fill="BDD6EE" w:themeFill="accent1" w:themeFillTint="66"/>
            <w:vAlign w:val="center"/>
          </w:tcPr>
          <w:p w14:paraId="067F465E" w14:textId="77777777" w:rsidR="005631A4" w:rsidRPr="005631A4" w:rsidRDefault="005631A4" w:rsidP="005631A4">
            <w:pPr>
              <w:spacing w:before="60" w:after="60"/>
              <w:jc w:val="center"/>
            </w:pPr>
            <w:r w:rsidRPr="005631A4">
              <w:t>5.</w:t>
            </w:r>
          </w:p>
        </w:tc>
        <w:tc>
          <w:tcPr>
            <w:tcW w:w="709" w:type="dxa"/>
            <w:shd w:val="clear" w:color="auto" w:fill="DEEAF6" w:themeFill="accent1" w:themeFillTint="33"/>
            <w:vAlign w:val="center"/>
          </w:tcPr>
          <w:p w14:paraId="5BBB36A6" w14:textId="77777777" w:rsidR="005631A4" w:rsidRPr="005631A4" w:rsidRDefault="005631A4" w:rsidP="005631A4">
            <w:pPr>
              <w:spacing w:before="60" w:after="60"/>
              <w:jc w:val="center"/>
              <w:rPr>
                <w:sz w:val="16"/>
              </w:rPr>
            </w:pPr>
          </w:p>
        </w:tc>
        <w:tc>
          <w:tcPr>
            <w:tcW w:w="709" w:type="dxa"/>
            <w:shd w:val="clear" w:color="auto" w:fill="DEEAF6" w:themeFill="accent1" w:themeFillTint="33"/>
            <w:vAlign w:val="center"/>
          </w:tcPr>
          <w:p w14:paraId="382C687B" w14:textId="77777777" w:rsidR="005631A4" w:rsidRPr="005631A4" w:rsidRDefault="005631A4" w:rsidP="005631A4">
            <w:pPr>
              <w:spacing w:before="60" w:after="60"/>
              <w:jc w:val="center"/>
              <w:rPr>
                <w:sz w:val="16"/>
              </w:rPr>
            </w:pPr>
          </w:p>
        </w:tc>
        <w:tc>
          <w:tcPr>
            <w:tcW w:w="727" w:type="dxa"/>
            <w:shd w:val="clear" w:color="auto" w:fill="DEEAF6" w:themeFill="accent1" w:themeFillTint="33"/>
            <w:vAlign w:val="center"/>
          </w:tcPr>
          <w:p w14:paraId="1AB0F8EC" w14:textId="77777777" w:rsidR="005631A4" w:rsidRPr="005631A4" w:rsidRDefault="005631A4" w:rsidP="005631A4">
            <w:pPr>
              <w:spacing w:before="60" w:after="60"/>
              <w:jc w:val="center"/>
              <w:rPr>
                <w:sz w:val="16"/>
              </w:rPr>
            </w:pPr>
          </w:p>
        </w:tc>
        <w:tc>
          <w:tcPr>
            <w:tcW w:w="691" w:type="dxa"/>
            <w:shd w:val="clear" w:color="auto" w:fill="DEEAF6" w:themeFill="accent1" w:themeFillTint="33"/>
            <w:vAlign w:val="center"/>
          </w:tcPr>
          <w:p w14:paraId="124A3F18" w14:textId="77777777" w:rsidR="005631A4" w:rsidRPr="005631A4" w:rsidRDefault="005631A4" w:rsidP="005631A4">
            <w:pPr>
              <w:spacing w:before="60" w:after="60"/>
              <w:jc w:val="center"/>
              <w:rPr>
                <w:sz w:val="16"/>
              </w:rPr>
            </w:pPr>
          </w:p>
        </w:tc>
        <w:tc>
          <w:tcPr>
            <w:tcW w:w="691" w:type="dxa"/>
            <w:shd w:val="clear" w:color="auto" w:fill="DEEAF6" w:themeFill="accent1" w:themeFillTint="33"/>
            <w:vAlign w:val="center"/>
          </w:tcPr>
          <w:p w14:paraId="45632887" w14:textId="77777777" w:rsidR="005631A4" w:rsidRPr="005631A4" w:rsidRDefault="005631A4" w:rsidP="005631A4">
            <w:pPr>
              <w:spacing w:before="60" w:after="60"/>
              <w:jc w:val="center"/>
              <w:rPr>
                <w:sz w:val="16"/>
              </w:rPr>
            </w:pPr>
          </w:p>
        </w:tc>
        <w:tc>
          <w:tcPr>
            <w:tcW w:w="691" w:type="dxa"/>
            <w:shd w:val="clear" w:color="auto" w:fill="DEEAF6" w:themeFill="accent1" w:themeFillTint="33"/>
            <w:vAlign w:val="center"/>
          </w:tcPr>
          <w:p w14:paraId="08168E5A" w14:textId="77777777" w:rsidR="005631A4" w:rsidRPr="005631A4" w:rsidRDefault="005631A4" w:rsidP="005631A4">
            <w:pPr>
              <w:spacing w:before="60" w:after="60"/>
              <w:jc w:val="center"/>
              <w:rPr>
                <w:sz w:val="16"/>
              </w:rPr>
            </w:pPr>
          </w:p>
        </w:tc>
        <w:tc>
          <w:tcPr>
            <w:tcW w:w="691" w:type="dxa"/>
            <w:shd w:val="clear" w:color="auto" w:fill="BDD6EE" w:themeFill="accent1" w:themeFillTint="66"/>
            <w:vAlign w:val="center"/>
          </w:tcPr>
          <w:p w14:paraId="645FB4DC" w14:textId="2F8F2BF2" w:rsidR="005631A4" w:rsidRPr="005631A4" w:rsidRDefault="005631A4" w:rsidP="005631A4">
            <w:pPr>
              <w:spacing w:before="60" w:after="60"/>
              <w:jc w:val="center"/>
              <w:rPr>
                <w:sz w:val="16"/>
              </w:rPr>
            </w:pPr>
          </w:p>
        </w:tc>
        <w:tc>
          <w:tcPr>
            <w:tcW w:w="666" w:type="dxa"/>
            <w:shd w:val="clear" w:color="auto" w:fill="BDD6EE" w:themeFill="accent1" w:themeFillTint="66"/>
          </w:tcPr>
          <w:p w14:paraId="46AA5588" w14:textId="0C54E2D8" w:rsidR="005631A4" w:rsidRPr="005631A4" w:rsidRDefault="005631A4" w:rsidP="005631A4">
            <w:pPr>
              <w:spacing w:before="60" w:after="60"/>
              <w:jc w:val="center"/>
              <w:rPr>
                <w:sz w:val="16"/>
              </w:rPr>
            </w:pPr>
          </w:p>
        </w:tc>
        <w:tc>
          <w:tcPr>
            <w:tcW w:w="693" w:type="dxa"/>
            <w:shd w:val="clear" w:color="auto" w:fill="DEEAF6" w:themeFill="accent1" w:themeFillTint="33"/>
          </w:tcPr>
          <w:p w14:paraId="0FA014AE" w14:textId="77777777" w:rsidR="005631A4" w:rsidRPr="005631A4" w:rsidRDefault="005631A4" w:rsidP="005631A4">
            <w:pPr>
              <w:spacing w:before="60" w:after="60"/>
              <w:jc w:val="center"/>
              <w:rPr>
                <w:sz w:val="16"/>
              </w:rPr>
            </w:pPr>
          </w:p>
        </w:tc>
        <w:tc>
          <w:tcPr>
            <w:tcW w:w="696" w:type="dxa"/>
            <w:shd w:val="clear" w:color="auto" w:fill="DEEAF6" w:themeFill="accent1" w:themeFillTint="33"/>
          </w:tcPr>
          <w:p w14:paraId="0B461BA0" w14:textId="77777777" w:rsidR="005631A4" w:rsidRPr="005631A4" w:rsidRDefault="005631A4" w:rsidP="005631A4">
            <w:pPr>
              <w:spacing w:before="60" w:after="60"/>
              <w:jc w:val="center"/>
              <w:rPr>
                <w:sz w:val="16"/>
              </w:rPr>
            </w:pPr>
          </w:p>
        </w:tc>
        <w:tc>
          <w:tcPr>
            <w:tcW w:w="695" w:type="dxa"/>
            <w:shd w:val="clear" w:color="auto" w:fill="DEEAF6" w:themeFill="accent1" w:themeFillTint="33"/>
          </w:tcPr>
          <w:p w14:paraId="1B9E7662" w14:textId="77777777" w:rsidR="005631A4" w:rsidRPr="005631A4" w:rsidRDefault="005631A4" w:rsidP="005631A4">
            <w:pPr>
              <w:spacing w:before="60" w:after="60"/>
              <w:jc w:val="center"/>
              <w:rPr>
                <w:sz w:val="16"/>
              </w:rPr>
            </w:pPr>
          </w:p>
        </w:tc>
      </w:tr>
      <w:tr w:rsidR="005631A4" w:rsidRPr="005631A4" w14:paraId="1744900F" w14:textId="77777777" w:rsidTr="005631A4">
        <w:trPr>
          <w:jc w:val="center"/>
        </w:trPr>
        <w:tc>
          <w:tcPr>
            <w:tcW w:w="1560" w:type="dxa"/>
            <w:shd w:val="clear" w:color="auto" w:fill="9CC2E5" w:themeFill="accent1" w:themeFillTint="99"/>
            <w:vAlign w:val="center"/>
          </w:tcPr>
          <w:p w14:paraId="3F53BEDD" w14:textId="77777777" w:rsidR="005631A4" w:rsidRPr="005631A4" w:rsidRDefault="005631A4" w:rsidP="00CE3D48">
            <w:pPr>
              <w:spacing w:before="60" w:after="60"/>
              <w:jc w:val="center"/>
              <w:rPr>
                <w:b/>
                <w:bCs/>
              </w:rPr>
            </w:pPr>
            <w:r w:rsidRPr="005631A4">
              <w:rPr>
                <w:b/>
                <w:bCs/>
              </w:rPr>
              <w:t xml:space="preserve">Indykatywne źródła </w:t>
            </w:r>
            <w:r w:rsidRPr="005631A4">
              <w:rPr>
                <w:b/>
                <w:bCs/>
              </w:rPr>
              <w:lastRenderedPageBreak/>
              <w:t>finansowania</w:t>
            </w:r>
          </w:p>
        </w:tc>
        <w:tc>
          <w:tcPr>
            <w:tcW w:w="8798" w:type="dxa"/>
            <w:gridSpan w:val="12"/>
            <w:shd w:val="clear" w:color="auto" w:fill="DEEAF6" w:themeFill="accent1" w:themeFillTint="33"/>
            <w:vAlign w:val="center"/>
          </w:tcPr>
          <w:p w14:paraId="0ACDF9C8" w14:textId="77777777" w:rsidR="005631A4" w:rsidRPr="005631A4" w:rsidRDefault="005631A4" w:rsidP="00A545BB">
            <w:pPr>
              <w:numPr>
                <w:ilvl w:val="0"/>
                <w:numId w:val="38"/>
              </w:numPr>
              <w:ind w:left="309" w:hanging="309"/>
              <w:jc w:val="both"/>
            </w:pPr>
            <w:r w:rsidRPr="005631A4">
              <w:lastRenderedPageBreak/>
              <w:t>Środki Norweskiego Mechanizmu Finansowego 2014-2021 (projekt telemedyczny)</w:t>
            </w:r>
          </w:p>
          <w:p w14:paraId="1AF42ACD" w14:textId="77777777" w:rsidR="005631A4" w:rsidRPr="005631A4" w:rsidRDefault="005631A4" w:rsidP="00A545BB">
            <w:pPr>
              <w:numPr>
                <w:ilvl w:val="0"/>
                <w:numId w:val="38"/>
              </w:numPr>
              <w:ind w:left="317" w:hanging="317"/>
              <w:jc w:val="both"/>
            </w:pPr>
            <w:r w:rsidRPr="005631A4">
              <w:t>Środki Norweskiego Mechanizmu Finansowego 2014-2021 (projekt telemedyczny)</w:t>
            </w:r>
          </w:p>
          <w:p w14:paraId="241AB658" w14:textId="77777777" w:rsidR="005631A4" w:rsidRPr="005631A4" w:rsidRDefault="005631A4" w:rsidP="00A545BB">
            <w:pPr>
              <w:numPr>
                <w:ilvl w:val="0"/>
                <w:numId w:val="38"/>
              </w:numPr>
              <w:ind w:left="317" w:hanging="317"/>
              <w:jc w:val="both"/>
            </w:pPr>
            <w:r w:rsidRPr="005631A4">
              <w:lastRenderedPageBreak/>
              <w:t>Środki Norweskiego Mechanizmu Finansowego 2014-2021 (część konkursowa)</w:t>
            </w:r>
          </w:p>
          <w:p w14:paraId="2FD20677" w14:textId="77777777" w:rsidR="005631A4" w:rsidRPr="005631A4" w:rsidRDefault="005631A4" w:rsidP="00A545BB">
            <w:pPr>
              <w:numPr>
                <w:ilvl w:val="0"/>
                <w:numId w:val="38"/>
              </w:numPr>
              <w:ind w:left="317" w:hanging="317"/>
              <w:jc w:val="both"/>
            </w:pPr>
            <w:r w:rsidRPr="005631A4">
              <w:t>Środki Norweskiego Mechanizmu Finansowego 2014-2021 (projekt telemedyczny)</w:t>
            </w:r>
          </w:p>
          <w:p w14:paraId="274EDB6C" w14:textId="77777777" w:rsidR="005631A4" w:rsidRPr="005631A4" w:rsidRDefault="005631A4" w:rsidP="00A545BB">
            <w:pPr>
              <w:numPr>
                <w:ilvl w:val="0"/>
                <w:numId w:val="38"/>
              </w:numPr>
              <w:ind w:left="309" w:hanging="309"/>
              <w:jc w:val="both"/>
            </w:pPr>
            <w:r w:rsidRPr="005631A4">
              <w:t>Budżet NFZ</w:t>
            </w:r>
          </w:p>
        </w:tc>
      </w:tr>
      <w:tr w:rsidR="005631A4" w:rsidRPr="005631A4" w14:paraId="25BD8D66" w14:textId="77777777" w:rsidTr="005631A4">
        <w:trPr>
          <w:trHeight w:val="518"/>
          <w:jc w:val="center"/>
        </w:trPr>
        <w:tc>
          <w:tcPr>
            <w:tcW w:w="1560" w:type="dxa"/>
            <w:shd w:val="clear" w:color="auto" w:fill="9CC2E5" w:themeFill="accent1" w:themeFillTint="99"/>
            <w:vAlign w:val="center"/>
          </w:tcPr>
          <w:p w14:paraId="3C57506A" w14:textId="77777777" w:rsidR="005631A4" w:rsidRPr="005631A4" w:rsidRDefault="005631A4" w:rsidP="00CE3D48">
            <w:pPr>
              <w:spacing w:before="60" w:after="60"/>
              <w:jc w:val="center"/>
              <w:rPr>
                <w:b/>
                <w:bCs/>
              </w:rPr>
            </w:pPr>
            <w:r w:rsidRPr="005631A4">
              <w:rPr>
                <w:b/>
                <w:bCs/>
              </w:rPr>
              <w:lastRenderedPageBreak/>
              <w:t>Koordynacja</w:t>
            </w:r>
          </w:p>
        </w:tc>
        <w:tc>
          <w:tcPr>
            <w:tcW w:w="8798" w:type="dxa"/>
            <w:gridSpan w:val="12"/>
            <w:shd w:val="clear" w:color="auto" w:fill="DEEAF6" w:themeFill="accent1" w:themeFillTint="33"/>
            <w:vAlign w:val="center"/>
          </w:tcPr>
          <w:p w14:paraId="7CB4B87D" w14:textId="77777777" w:rsidR="005631A4" w:rsidRPr="005631A4" w:rsidRDefault="005631A4" w:rsidP="00A545BB">
            <w:pPr>
              <w:numPr>
                <w:ilvl w:val="0"/>
                <w:numId w:val="39"/>
              </w:numPr>
              <w:ind w:left="309" w:hanging="309"/>
              <w:jc w:val="both"/>
            </w:pPr>
            <w:r w:rsidRPr="005631A4">
              <w:t>MZ</w:t>
            </w:r>
          </w:p>
          <w:p w14:paraId="3C168647" w14:textId="77777777" w:rsidR="005631A4" w:rsidRPr="005631A4" w:rsidRDefault="005631A4" w:rsidP="00A545BB">
            <w:pPr>
              <w:numPr>
                <w:ilvl w:val="0"/>
                <w:numId w:val="39"/>
              </w:numPr>
              <w:ind w:left="309" w:hanging="309"/>
              <w:jc w:val="both"/>
            </w:pPr>
            <w:r w:rsidRPr="005631A4">
              <w:t>MZ</w:t>
            </w:r>
          </w:p>
          <w:p w14:paraId="472A16CD" w14:textId="77777777" w:rsidR="005631A4" w:rsidRPr="005631A4" w:rsidRDefault="005631A4" w:rsidP="00A545BB">
            <w:pPr>
              <w:numPr>
                <w:ilvl w:val="0"/>
                <w:numId w:val="39"/>
              </w:numPr>
              <w:ind w:left="309" w:hanging="309"/>
              <w:jc w:val="both"/>
            </w:pPr>
            <w:r w:rsidRPr="005631A4">
              <w:t>MZ</w:t>
            </w:r>
          </w:p>
          <w:p w14:paraId="34B99B7A" w14:textId="77777777" w:rsidR="005631A4" w:rsidRPr="005631A4" w:rsidRDefault="005631A4" w:rsidP="00A545BB">
            <w:pPr>
              <w:numPr>
                <w:ilvl w:val="0"/>
                <w:numId w:val="39"/>
              </w:numPr>
              <w:ind w:left="309" w:hanging="309"/>
              <w:jc w:val="both"/>
            </w:pPr>
            <w:r w:rsidRPr="005631A4">
              <w:t>MZ</w:t>
            </w:r>
          </w:p>
          <w:p w14:paraId="4F8E6B77" w14:textId="77777777" w:rsidR="005631A4" w:rsidRPr="005631A4" w:rsidRDefault="005631A4" w:rsidP="00A545BB">
            <w:pPr>
              <w:numPr>
                <w:ilvl w:val="0"/>
                <w:numId w:val="39"/>
              </w:numPr>
              <w:ind w:left="309" w:hanging="309"/>
              <w:jc w:val="both"/>
            </w:pPr>
            <w:r w:rsidRPr="005631A4">
              <w:t>MZ we współpracy z NFZ</w:t>
            </w:r>
          </w:p>
        </w:tc>
      </w:tr>
    </w:tbl>
    <w:p w14:paraId="73E63B5F" w14:textId="77777777" w:rsidR="005631A4" w:rsidRPr="005631A4" w:rsidRDefault="005631A4" w:rsidP="005631A4">
      <w:pPr>
        <w:spacing w:after="120"/>
        <w:jc w:val="both"/>
        <w:rPr>
          <w:b/>
          <w:sz w:val="24"/>
        </w:rPr>
      </w:pPr>
      <w:r w:rsidRPr="005631A4">
        <w:rPr>
          <w:color w:val="FF0066"/>
        </w:rPr>
        <w:br w:type="page"/>
      </w:r>
    </w:p>
    <w:p w14:paraId="6280A9FD" w14:textId="7E90A2DA" w:rsidR="005631A4" w:rsidRPr="003F0EEA" w:rsidRDefault="005631A4" w:rsidP="003F0EEA">
      <w:pPr>
        <w:pStyle w:val="Nagwek2"/>
        <w:numPr>
          <w:ilvl w:val="1"/>
          <w:numId w:val="26"/>
        </w:numPr>
        <w:shd w:val="clear" w:color="auto" w:fill="FFDDEE"/>
        <w:tabs>
          <w:tab w:val="clear" w:pos="1080"/>
          <w:tab w:val="num" w:pos="426"/>
        </w:tabs>
        <w:ind w:hanging="1080"/>
        <w:rPr>
          <w:color w:val="FF0066"/>
        </w:rPr>
      </w:pPr>
      <w:r w:rsidRPr="003F0EEA">
        <w:rPr>
          <w:color w:val="FF0066"/>
        </w:rPr>
        <w:lastRenderedPageBreak/>
        <w:t>WSPARCIE OPIEKUNÓW NIEFORMALNYCH</w:t>
      </w:r>
    </w:p>
    <w:p w14:paraId="7D064020" w14:textId="77777777" w:rsidR="005631A4" w:rsidRPr="005631A4" w:rsidRDefault="005631A4" w:rsidP="005631A4">
      <w:pPr>
        <w:keepNext/>
        <w:keepLines/>
        <w:shd w:val="clear" w:color="auto" w:fill="BDD6EE" w:themeFill="accent1" w:themeFillTint="66"/>
        <w:spacing w:before="240" w:after="120"/>
        <w:ind w:left="426"/>
        <w:jc w:val="both"/>
        <w:outlineLvl w:val="3"/>
        <w:rPr>
          <w:rFonts w:asciiTheme="majorHAnsi" w:eastAsiaTheme="majorEastAsia" w:hAnsiTheme="majorHAnsi" w:cstheme="majorBidi"/>
          <w:b/>
          <w:iCs/>
          <w:color w:val="0070C0"/>
          <w:sz w:val="24"/>
        </w:rPr>
      </w:pPr>
      <w:r w:rsidRPr="005631A4">
        <w:rPr>
          <w:rFonts w:asciiTheme="majorHAnsi" w:eastAsiaTheme="majorEastAsia" w:hAnsiTheme="majorHAnsi" w:cstheme="majorBidi"/>
          <w:b/>
          <w:iCs/>
          <w:color w:val="0070C0"/>
          <w:sz w:val="24"/>
        </w:rPr>
        <w:t>CEL SZCZEGÓŁOWY: Rozwój wsparcia środowiskowego dla opiekunów nieformalnych osób starszych</w:t>
      </w:r>
    </w:p>
    <w:p w14:paraId="73D6F712" w14:textId="77777777" w:rsidR="005631A4" w:rsidRPr="005631A4" w:rsidRDefault="005631A4" w:rsidP="005631A4">
      <w:pPr>
        <w:keepNext/>
        <w:keepLines/>
        <w:spacing w:before="240" w:after="120"/>
        <w:jc w:val="both"/>
        <w:outlineLvl w:val="4"/>
        <w:rPr>
          <w:rFonts w:asciiTheme="majorHAnsi" w:eastAsiaTheme="majorEastAsia" w:hAnsiTheme="majorHAnsi" w:cstheme="majorBidi"/>
          <w:i/>
          <w:color w:val="0070C0"/>
          <w:sz w:val="23"/>
        </w:rPr>
      </w:pPr>
      <w:r w:rsidRPr="005631A4">
        <w:rPr>
          <w:rFonts w:asciiTheme="majorHAnsi" w:eastAsiaTheme="majorEastAsia" w:hAnsiTheme="majorHAnsi" w:cstheme="majorBidi"/>
          <w:i/>
          <w:color w:val="0070C0"/>
          <w:sz w:val="23"/>
        </w:rPr>
        <w:t>Diagnoza</w:t>
      </w:r>
    </w:p>
    <w:p w14:paraId="18D159AA" w14:textId="77777777" w:rsidR="005631A4" w:rsidRPr="005631A4" w:rsidRDefault="005631A4" w:rsidP="005631A4">
      <w:pPr>
        <w:spacing w:after="120"/>
        <w:jc w:val="both"/>
      </w:pPr>
      <w:r w:rsidRPr="005631A4">
        <w:t>Formalna opieka domowa stanowi w Polsce nadal zbyt małą część wszystkich usług pielęgnacyjno-opiekuńczych. Wzrost liczby pacjentów objętych opieką długoterminową obserwuje się przede wszystkim w placówkach opieki stacjonarnej, natomiast odsetek usług opieki udzielanej w warunkach domowych zwiększa się dużo wolniej.</w:t>
      </w:r>
    </w:p>
    <w:p w14:paraId="3269866E" w14:textId="77777777" w:rsidR="005631A4" w:rsidRPr="005631A4" w:rsidRDefault="005631A4" w:rsidP="005631A4">
      <w:pPr>
        <w:spacing w:after="120"/>
        <w:jc w:val="both"/>
      </w:pPr>
      <w:r w:rsidRPr="005631A4">
        <w:rPr>
          <w:lang w:eastAsia="pl-PL"/>
        </w:rPr>
        <w:t>Mimo znaczącego rozwoju zarówno publicznych, jak i prywatnych usług opiek</w:t>
      </w:r>
      <w:r w:rsidRPr="005631A4">
        <w:rPr>
          <w:rFonts w:cs="Tahoma"/>
          <w:lang w:eastAsia="pl-PL"/>
        </w:rPr>
        <w:t>uńczych</w:t>
      </w:r>
      <w:r w:rsidRPr="005631A4">
        <w:rPr>
          <w:lang w:eastAsia="pl-PL"/>
        </w:rPr>
        <w:t xml:space="preserve"> kluczową rolę pełni nadal opieka zapewniana przez rodzinę i bliskich osób chorych. </w:t>
      </w:r>
      <w:r w:rsidRPr="005631A4">
        <w:t>Opiekunami nieformalnymi osoby zależnej są członkowie rodziny lub inne bliskie osoby (w większości kobiety w średnim wieku), którzy pełnią tę opiekę nieodpłatnie.</w:t>
      </w:r>
    </w:p>
    <w:p w14:paraId="1557023B" w14:textId="68613405" w:rsidR="005631A4" w:rsidRPr="005631A4" w:rsidRDefault="005631A4" w:rsidP="005631A4">
      <w:pPr>
        <w:spacing w:after="120"/>
        <w:jc w:val="both"/>
      </w:pPr>
      <w:r w:rsidRPr="005631A4">
        <w:t>W 2010 r. w Polsce praca opiekuńcza nad osobami spoza własnego gospodarstwa domowego stanowiła 53% całości pracy niezarobkowej wykonywanej w kraju, co przełożyło się na wypracowanie 0,77 mln etatów. Opieka nad chorymi i osobami starszymi stanowiła niemal ⅓ ogółu pracy opiekuńczej</w:t>
      </w:r>
      <w:r w:rsidR="00DE363C" w:rsidRPr="005F1938">
        <w:rPr>
          <w:rStyle w:val="Odwoanieprzypisudolnego"/>
          <w:color w:val="0070C0"/>
        </w:rPr>
        <w:footnoteReference w:id="77"/>
      </w:r>
      <w:r w:rsidRPr="005631A4">
        <w:t>.</w:t>
      </w:r>
    </w:p>
    <w:p w14:paraId="45FD43DC" w14:textId="37FDDB4B" w:rsidR="005631A4" w:rsidRPr="005631A4" w:rsidRDefault="00190F70" w:rsidP="005631A4">
      <w:pPr>
        <w:spacing w:after="120"/>
        <w:jc w:val="both"/>
      </w:pPr>
      <w:r>
        <w:t>O</w:t>
      </w:r>
      <w:r w:rsidRPr="005631A4">
        <w:t>piekunowie nieformalni nie są rejestrowani, z wyjątkiem nielicznych</w:t>
      </w:r>
      <w:r>
        <w:t xml:space="preserve"> osób</w:t>
      </w:r>
      <w:r w:rsidRPr="005631A4">
        <w:t>, którzy pobierają np. specjalny zasiłek opiekuńczy</w:t>
      </w:r>
      <w:r>
        <w:t xml:space="preserve">. </w:t>
      </w:r>
      <w:r w:rsidR="005631A4" w:rsidRPr="005631A4">
        <w:t xml:space="preserve">Próba oszacowania liczby nieformalnych opiekunów </w:t>
      </w:r>
      <w:r>
        <w:t>osób</w:t>
      </w:r>
      <w:r w:rsidRPr="005631A4">
        <w:t xml:space="preserve"> </w:t>
      </w:r>
      <w:r w:rsidR="005631A4" w:rsidRPr="005631A4">
        <w:t>starszych w Polsce pod</w:t>
      </w:r>
      <w:r>
        <w:t>jęta</w:t>
      </w:r>
      <w:r w:rsidR="005631A4" w:rsidRPr="005631A4">
        <w:t xml:space="preserve"> </w:t>
      </w:r>
      <w:r>
        <w:t>została</w:t>
      </w:r>
      <w:r w:rsidR="005631A4" w:rsidRPr="005631A4">
        <w:t xml:space="preserve"> po raz pierwszy właśnie w ramach międzynarodowego projektu EUROFAMCARE, realizowanego w latach 2003</w:t>
      </w:r>
      <w:r>
        <w:t>–</w:t>
      </w:r>
      <w:r w:rsidR="005631A4" w:rsidRPr="005631A4">
        <w:t xml:space="preserve">2004. Na podstawie </w:t>
      </w:r>
      <w:r w:rsidR="00F4245B">
        <w:t xml:space="preserve">tego </w:t>
      </w:r>
      <w:r>
        <w:t xml:space="preserve">badania oszacowano </w:t>
      </w:r>
      <w:r w:rsidR="005631A4" w:rsidRPr="005631A4">
        <w:t>liczb</w:t>
      </w:r>
      <w:r>
        <w:t>ę</w:t>
      </w:r>
      <w:r w:rsidR="005631A4" w:rsidRPr="005631A4">
        <w:t xml:space="preserve"> osób starszych </w:t>
      </w:r>
      <w:r>
        <w:t xml:space="preserve">z </w:t>
      </w:r>
      <w:r w:rsidR="005631A4" w:rsidRPr="005631A4">
        <w:t>niepełnosprawn</w:t>
      </w:r>
      <w:r>
        <w:t>ościami</w:t>
      </w:r>
      <w:r w:rsidR="005631A4" w:rsidRPr="005631A4">
        <w:t xml:space="preserve"> lub wymagających pomocy </w:t>
      </w:r>
      <w:r>
        <w:t xml:space="preserve">w wykonywaniu codziennych czynności na ok. </w:t>
      </w:r>
      <w:r w:rsidR="005631A4" w:rsidRPr="005631A4">
        <w:t xml:space="preserve">2 </w:t>
      </w:r>
      <w:r>
        <w:t>mln</w:t>
      </w:r>
      <w:r w:rsidR="005631A4" w:rsidRPr="005F1938">
        <w:rPr>
          <w:color w:val="0070C0"/>
          <w:vertAlign w:val="superscript"/>
        </w:rPr>
        <w:footnoteReference w:id="78"/>
      </w:r>
      <w:r>
        <w:t>.</w:t>
      </w:r>
    </w:p>
    <w:p w14:paraId="20213221" w14:textId="20D2A663" w:rsidR="005631A4" w:rsidRPr="005631A4" w:rsidRDefault="005631A4" w:rsidP="005631A4">
      <w:pPr>
        <w:spacing w:after="120"/>
        <w:jc w:val="both"/>
      </w:pPr>
      <w:r w:rsidRPr="005631A4">
        <w:t xml:space="preserve">Do przyczyn wysokiego poziomu zaangażowania opieki nieformalnej w Polsce należą przede wszystkim tradycyjne stosunki rodzinne oraz wysoki współczynnik współzamieszkania (częste przypadki zamieszkiwania osób starszych ze swoimi dziećmi). Warto przy tym podkreślić, że opieka sprawowana przez rodzinę ma </w:t>
      </w:r>
      <w:r w:rsidRPr="005631A4">
        <w:rPr>
          <w:rFonts w:ascii="Calibri" w:hAnsi="Calibri"/>
          <w:lang w:eastAsia="pl-PL"/>
        </w:rPr>
        <w:t xml:space="preserve">dla osoby chorej i </w:t>
      </w:r>
      <w:r w:rsidR="001A16F0">
        <w:t>wymagającej wsparcia w codziennym funkcjonowaniu</w:t>
      </w:r>
      <w:r w:rsidRPr="005631A4">
        <w:rPr>
          <w:rFonts w:ascii="Calibri" w:hAnsi="Calibri"/>
          <w:lang w:eastAsia="pl-PL"/>
        </w:rPr>
        <w:t xml:space="preserve"> pozytywne skutki społeczne i zdrowotne – obecność bliskich oraz pozytywne relacje z rodziną mają bowiem szczególne znaczenie </w:t>
      </w:r>
      <w:r w:rsidRPr="005631A4">
        <w:rPr>
          <w:lang w:eastAsia="pl-PL"/>
        </w:rPr>
        <w:t>dla poczucia bezpieczeństwa i komfortu życia.</w:t>
      </w:r>
    </w:p>
    <w:p w14:paraId="348CE259" w14:textId="77777777" w:rsidR="005631A4" w:rsidRPr="005631A4" w:rsidRDefault="005631A4" w:rsidP="005631A4">
      <w:pPr>
        <w:spacing w:after="120"/>
        <w:jc w:val="both"/>
        <w:rPr>
          <w:lang w:eastAsia="pl-PL"/>
        </w:rPr>
      </w:pPr>
      <w:r w:rsidRPr="005631A4">
        <w:rPr>
          <w:lang w:eastAsia="pl-PL"/>
        </w:rPr>
        <w:t>Skuteczna opieka wymaga od opiekunów nieformalnych wielu kompetencji i poświęceń, jednak w wielu przypadkach opiekunowie nie posiadają wystarczającej wiedzy, umiejętności i wsparcia umożliwiającego właściwe sprawowanie codziennej opieki.</w:t>
      </w:r>
    </w:p>
    <w:p w14:paraId="1BD43951" w14:textId="055EEAD8" w:rsidR="005631A4" w:rsidRPr="005631A4" w:rsidRDefault="005A7257" w:rsidP="005631A4">
      <w:pPr>
        <w:spacing w:after="120"/>
        <w:jc w:val="both"/>
      </w:pPr>
      <w:r>
        <w:t>Tymczasem o</w:t>
      </w:r>
      <w:r w:rsidR="005631A4" w:rsidRPr="005631A4">
        <w:t xml:space="preserve">kazuje się, że opiekunowie często nie posiadają </w:t>
      </w:r>
      <w:r w:rsidRPr="005631A4">
        <w:t xml:space="preserve">nawet </w:t>
      </w:r>
      <w:r w:rsidR="005631A4" w:rsidRPr="005631A4">
        <w:t>podstawowej wiedzy o dostępnych rozwiązaniach mogących ułatwić im sprawowanie opieki, takich jak świadczenia pielęgniarskiej opieki długoterminowej, domowe zabiegi rehabilitacyjne, dostęp do sprzętu ortopedycznego i pomocniczego, system dofinansowań takiego sprzętu oraz warunki jego uzyskania</w:t>
      </w:r>
      <w:r w:rsidR="005631A4" w:rsidRPr="005631A4">
        <w:rPr>
          <w:color w:val="0070C0"/>
          <w:vertAlign w:val="superscript"/>
        </w:rPr>
        <w:footnoteReference w:id="79"/>
      </w:r>
      <w:r w:rsidR="005631A4" w:rsidRPr="005631A4">
        <w:t>. Wiedza ta jest istotna przede wszystkim na początkowym etapie opieki.</w:t>
      </w:r>
    </w:p>
    <w:p w14:paraId="37A788C1" w14:textId="49B74AE7" w:rsidR="005631A4" w:rsidRPr="005631A4" w:rsidRDefault="005631A4" w:rsidP="005631A4">
      <w:pPr>
        <w:suppressAutoHyphens/>
        <w:autoSpaceDN w:val="0"/>
        <w:spacing w:after="60"/>
        <w:jc w:val="both"/>
        <w:textAlignment w:val="baseline"/>
        <w:rPr>
          <w:rFonts w:ascii="Calibri" w:eastAsia="Calibri" w:hAnsi="Calibri" w:cs="F"/>
        </w:rPr>
      </w:pPr>
      <w:r w:rsidRPr="005631A4">
        <w:rPr>
          <w:rFonts w:ascii="Calibri" w:eastAsia="Calibri" w:hAnsi="Calibri" w:cs="F"/>
        </w:rPr>
        <w:lastRenderedPageBreak/>
        <w:t xml:space="preserve">Badanie potrzeb opiekunów nieformalnych w zakresie wiedzy i umiejętności przydatnych w pełnieniu funkcji opiekuńczych wobec </w:t>
      </w:r>
      <w:r w:rsidR="001A16F0">
        <w:rPr>
          <w:rFonts w:ascii="Calibri" w:eastAsia="Calibri" w:hAnsi="Calibri" w:cs="F"/>
        </w:rPr>
        <w:t>bliskich</w:t>
      </w:r>
      <w:r w:rsidR="001A16F0" w:rsidRPr="005631A4">
        <w:rPr>
          <w:rFonts w:ascii="Calibri" w:eastAsia="Calibri" w:hAnsi="Calibri" w:cs="F"/>
        </w:rPr>
        <w:t xml:space="preserve"> </w:t>
      </w:r>
      <w:r w:rsidR="001A16F0">
        <w:rPr>
          <w:rFonts w:ascii="Calibri" w:eastAsia="Calibri" w:hAnsi="Calibri" w:cs="F"/>
        </w:rPr>
        <w:t xml:space="preserve">w </w:t>
      </w:r>
      <w:r w:rsidRPr="005631A4">
        <w:rPr>
          <w:rFonts w:ascii="Calibri" w:eastAsia="Calibri" w:hAnsi="Calibri" w:cs="F"/>
        </w:rPr>
        <w:t>starszy</w:t>
      </w:r>
      <w:r w:rsidR="001A16F0">
        <w:rPr>
          <w:rFonts w:ascii="Calibri" w:eastAsia="Calibri" w:hAnsi="Calibri" w:cs="F"/>
        </w:rPr>
        <w:t>m</w:t>
      </w:r>
      <w:r w:rsidRPr="005631A4">
        <w:rPr>
          <w:rFonts w:ascii="Calibri" w:eastAsia="Calibri" w:hAnsi="Calibri" w:cs="F"/>
        </w:rPr>
        <w:t xml:space="preserve"> </w:t>
      </w:r>
      <w:r w:rsidR="001A16F0">
        <w:rPr>
          <w:rFonts w:ascii="Calibri" w:eastAsia="Calibri" w:hAnsi="Calibri" w:cs="F"/>
        </w:rPr>
        <w:t>wieku,</w:t>
      </w:r>
      <w:r w:rsidRPr="005631A4">
        <w:rPr>
          <w:rFonts w:ascii="Calibri" w:eastAsia="Calibri" w:hAnsi="Calibri" w:cs="F"/>
        </w:rPr>
        <w:t xml:space="preserve"> </w:t>
      </w:r>
      <w:r w:rsidR="001A16F0">
        <w:t>wymagających wsparcia w codziennym funkcjonowaniu</w:t>
      </w:r>
      <w:r w:rsidR="001A16F0">
        <w:rPr>
          <w:rFonts w:ascii="Calibri" w:eastAsia="Calibri" w:hAnsi="Calibri" w:cs="F"/>
        </w:rPr>
        <w:t>,</w:t>
      </w:r>
      <w:r w:rsidRPr="005631A4">
        <w:rPr>
          <w:rFonts w:ascii="Calibri" w:eastAsia="Calibri" w:hAnsi="Calibri" w:cs="F"/>
        </w:rPr>
        <w:t xml:space="preserve"> wskazuje, że najważniejszymi zakresami wsparcia edukacyjnego opiekunów są:</w:t>
      </w:r>
    </w:p>
    <w:p w14:paraId="31363406" w14:textId="77777777" w:rsidR="005631A4" w:rsidRPr="005631A4" w:rsidRDefault="005631A4" w:rsidP="005631A4">
      <w:pPr>
        <w:numPr>
          <w:ilvl w:val="0"/>
          <w:numId w:val="31"/>
        </w:numPr>
        <w:suppressAutoHyphens/>
        <w:autoSpaceDN w:val="0"/>
        <w:spacing w:after="60"/>
        <w:ind w:left="567" w:hanging="283"/>
        <w:jc w:val="both"/>
        <w:textAlignment w:val="baseline"/>
        <w:rPr>
          <w:rFonts w:ascii="Calibri" w:eastAsia="Calibri" w:hAnsi="Calibri" w:cs="F"/>
        </w:rPr>
      </w:pPr>
      <w:r w:rsidRPr="005631A4">
        <w:rPr>
          <w:rFonts w:ascii="Calibri" w:eastAsia="Calibri" w:hAnsi="Calibri" w:cs="F"/>
        </w:rPr>
        <w:t>nauka zasad udzielania pierwszej pomocy w sytuacjach kryzysowych;</w:t>
      </w:r>
    </w:p>
    <w:p w14:paraId="077690D7" w14:textId="77777777" w:rsidR="005631A4" w:rsidRPr="005631A4" w:rsidRDefault="005631A4" w:rsidP="005631A4">
      <w:pPr>
        <w:numPr>
          <w:ilvl w:val="0"/>
          <w:numId w:val="31"/>
        </w:numPr>
        <w:suppressAutoHyphens/>
        <w:autoSpaceDN w:val="0"/>
        <w:spacing w:after="60"/>
        <w:ind w:left="567" w:hanging="283"/>
        <w:jc w:val="both"/>
        <w:textAlignment w:val="baseline"/>
        <w:rPr>
          <w:rFonts w:ascii="Calibri" w:eastAsia="Calibri" w:hAnsi="Calibri" w:cs="F"/>
        </w:rPr>
      </w:pPr>
      <w:r w:rsidRPr="005631A4">
        <w:rPr>
          <w:rFonts w:ascii="Calibri" w:eastAsia="Calibri" w:hAnsi="Calibri" w:cs="F"/>
        </w:rPr>
        <w:t>przyswojenie praktycznych sposobów obsługi pacjentów obłożnie chorych, przebywających w łóżku (zmiana pieluch, zmiana pościeli, karmienie i higiena osobista);</w:t>
      </w:r>
    </w:p>
    <w:p w14:paraId="6A9F4698" w14:textId="77777777" w:rsidR="005631A4" w:rsidRPr="005631A4" w:rsidRDefault="005631A4" w:rsidP="005631A4">
      <w:pPr>
        <w:numPr>
          <w:ilvl w:val="0"/>
          <w:numId w:val="31"/>
        </w:numPr>
        <w:suppressAutoHyphens/>
        <w:autoSpaceDN w:val="0"/>
        <w:spacing w:after="60"/>
        <w:ind w:left="567" w:hanging="283"/>
        <w:jc w:val="both"/>
        <w:textAlignment w:val="baseline"/>
        <w:rPr>
          <w:rFonts w:ascii="Calibri" w:eastAsia="Calibri" w:hAnsi="Calibri" w:cs="F"/>
        </w:rPr>
      </w:pPr>
      <w:r w:rsidRPr="005631A4">
        <w:rPr>
          <w:rFonts w:ascii="Calibri" w:eastAsia="Calibri" w:hAnsi="Calibri" w:cs="F"/>
        </w:rPr>
        <w:t>umiejętność przeprowadzenia prostych zabiegów medycznych, administrowania lekami, oklepywania zapobiegającego odleżynom, wykonywania prostych masaży i prostych zabiegów rehabilitacyjnych, pomiaru ciśnienia i opatrywania ran;</w:t>
      </w:r>
    </w:p>
    <w:p w14:paraId="7B6421C9" w14:textId="77777777" w:rsidR="005631A4" w:rsidRPr="005631A4" w:rsidRDefault="005631A4" w:rsidP="005631A4">
      <w:pPr>
        <w:numPr>
          <w:ilvl w:val="0"/>
          <w:numId w:val="31"/>
        </w:numPr>
        <w:suppressAutoHyphens/>
        <w:autoSpaceDN w:val="0"/>
        <w:spacing w:after="120"/>
        <w:ind w:left="567" w:hanging="283"/>
        <w:jc w:val="both"/>
        <w:textAlignment w:val="baseline"/>
        <w:rPr>
          <w:rFonts w:ascii="Calibri" w:eastAsia="Calibri" w:hAnsi="Calibri" w:cs="F"/>
        </w:rPr>
      </w:pPr>
      <w:r w:rsidRPr="005631A4">
        <w:rPr>
          <w:rFonts w:ascii="Calibri" w:eastAsia="Calibri" w:hAnsi="Calibri" w:cs="F"/>
        </w:rPr>
        <w:t>sposób opieki nad osobami z zaburzeniami otępiennymi.</w:t>
      </w:r>
    </w:p>
    <w:p w14:paraId="4B7123CA" w14:textId="77777777" w:rsidR="005631A4" w:rsidRPr="005631A4" w:rsidRDefault="005631A4" w:rsidP="005631A4">
      <w:pPr>
        <w:spacing w:after="120"/>
        <w:jc w:val="both"/>
      </w:pPr>
      <w:r w:rsidRPr="005631A4">
        <w:rPr>
          <w:lang w:eastAsia="pl-PL"/>
        </w:rPr>
        <w:t>Również dla</w:t>
      </w:r>
      <w:r w:rsidRPr="005631A4">
        <w:rPr>
          <w:rFonts w:ascii="Calibri" w:hAnsi="Calibri"/>
          <w:lang w:eastAsia="pl-PL"/>
        </w:rPr>
        <w:t xml:space="preserve"> utrzymania dobrej jakości życia opiekuna w czasie opieki nad chorym duże znaczenie ma wsparcie ze strony rodziny, przyjaciół i najbliższego otoczenia (sąsiadów, lokalnych władz i instytucji). Niemniej ważny jest także pozytywny przekaz międzypokoleniowy oraz wcześniejsze doświadczenia dotyczące opieki w rodzinie nad osobą potrzebującą pomocy w chorobie w warunkach domowych. </w:t>
      </w:r>
      <w:r w:rsidRPr="005631A4">
        <w:rPr>
          <w:lang w:eastAsia="pl-PL"/>
        </w:rPr>
        <w:t>Natomiast do czynników</w:t>
      </w:r>
      <w:r w:rsidRPr="005631A4">
        <w:rPr>
          <w:rFonts w:ascii="Calibri" w:hAnsi="Calibri"/>
          <w:lang w:eastAsia="pl-PL"/>
        </w:rPr>
        <w:t xml:space="preserve"> obniżających jakość życia opiekuna zalicza się najczęściej zmiany dotyczące jakości relacji między pacjentem a opiekunem, poczucie braku kontroli nad sytuacją i braku wpływu, konflikty rodzinne, problemy w innych relacjach międzyludzkich, brak akceptacji pomocy ze strony rodziny, zmiany sposobu spędzania czasu wolnego, brak doświadczenia i umiejętności w adekwatnym postępowaniu z chorym</w:t>
      </w:r>
      <w:r w:rsidRPr="005631A4">
        <w:rPr>
          <w:rFonts w:ascii="Calibri" w:hAnsi="Calibri"/>
          <w:color w:val="0070C0"/>
          <w:vertAlign w:val="superscript"/>
          <w:lang w:eastAsia="pl-PL"/>
        </w:rPr>
        <w:footnoteReference w:id="80"/>
      </w:r>
      <w:r w:rsidRPr="005631A4">
        <w:rPr>
          <w:rFonts w:ascii="Calibri" w:hAnsi="Calibri"/>
          <w:lang w:eastAsia="pl-PL"/>
        </w:rPr>
        <w:t>. Częstokroć utrudnione jest łączenie pracy zawodowej i aktywności społecznej z opieką nad osobą zależną, co prowadzi do znacznego zubożenia gospodarstw domowych, pogorszenia stanu zdrowia zarówno opiekuna jak i osoby zależnej. Ze względu na brak szerokiego dostępu do systemowego wsparcia realizacja opieki najczęściej negatywnie wpływa na jakość życia opiekuna.</w:t>
      </w:r>
    </w:p>
    <w:p w14:paraId="4E76DB51" w14:textId="77777777" w:rsidR="005631A4" w:rsidRPr="005631A4" w:rsidRDefault="005631A4" w:rsidP="005631A4">
      <w:pPr>
        <w:spacing w:after="120"/>
        <w:jc w:val="both"/>
      </w:pPr>
      <w:r w:rsidRPr="005631A4">
        <w:rPr>
          <w:rFonts w:ascii="Calibri" w:hAnsi="Calibri"/>
          <w:lang w:eastAsia="pl-PL"/>
        </w:rPr>
        <w:t>Sprawowanie opieki w domu nad przewlekle chorymi z deficytem sprawności funkcjonalnej dla wielu opiekunów staje się trudnym wyzwaniem. Poprawa jakości życia może być istotnym celem postępowania terapeutycznego, sprzyjającym zapewnieniu optymalnej opieki nad chorym w warunkach domowych</w:t>
      </w:r>
      <w:r w:rsidRPr="005631A4">
        <w:rPr>
          <w:rFonts w:ascii="Calibri" w:hAnsi="Calibri"/>
          <w:color w:val="0070C0"/>
          <w:vertAlign w:val="superscript"/>
          <w:lang w:eastAsia="pl-PL"/>
        </w:rPr>
        <w:footnoteReference w:id="81"/>
      </w:r>
      <w:r w:rsidRPr="005631A4">
        <w:rPr>
          <w:rFonts w:ascii="Calibri" w:hAnsi="Calibri"/>
          <w:lang w:eastAsia="pl-PL"/>
        </w:rPr>
        <w:t>.</w:t>
      </w:r>
    </w:p>
    <w:p w14:paraId="40C89196" w14:textId="77777777" w:rsidR="005631A4" w:rsidRPr="005631A4" w:rsidRDefault="005631A4" w:rsidP="005631A4">
      <w:pPr>
        <w:spacing w:after="120"/>
        <w:jc w:val="both"/>
        <w:rPr>
          <w:rFonts w:ascii="Calibri" w:hAnsi="Calibri"/>
        </w:rPr>
      </w:pPr>
      <w:r w:rsidRPr="005631A4">
        <w:rPr>
          <w:rFonts w:ascii="Calibri" w:hAnsi="Calibri"/>
        </w:rPr>
        <w:t xml:space="preserve">Wraz z długością trwania opieki pogarsza się stan somatyczny opiekunów, co czyni ich bardziej podatnymi na negatywne skutki stresu. Dłuższy czas opieki związany jest ze zwiększonym obciążeniem, występowaniem objawów depresyjnych i lękowych, a tym samym z pogorszeniem samooceny stanu zdrowia i obniżeniem jakości życia opiekuna. Pogorszenie się jakości życia opiekuna może być powodem niewystarczającej pomocy udzielanej osobom z niską sprawnością funkcjonalną w środowisku domowym. Napięcie związane z wykonywaniem zadań opiekuńczych, w połączeniu z </w:t>
      </w:r>
      <w:r w:rsidRPr="005631A4">
        <w:t>poczuciem uwięzienia</w:t>
      </w:r>
      <w:r w:rsidRPr="005631A4">
        <w:rPr>
          <w:rFonts w:ascii="Calibri" w:hAnsi="Calibri"/>
        </w:rPr>
        <w:t xml:space="preserve"> roli opiekuna, należą do głównych powodów, dla których opiekunowie decydują się na instytucjonalizację swoich bliskich</w:t>
      </w:r>
      <w:r w:rsidRPr="005631A4">
        <w:rPr>
          <w:rFonts w:ascii="Calibri" w:hAnsi="Calibri"/>
          <w:color w:val="0070C0"/>
          <w:vertAlign w:val="superscript"/>
        </w:rPr>
        <w:footnoteReference w:id="82"/>
      </w:r>
      <w:r w:rsidRPr="005631A4">
        <w:rPr>
          <w:rFonts w:ascii="Calibri" w:hAnsi="Calibri"/>
        </w:rPr>
        <w:t>.</w:t>
      </w:r>
    </w:p>
    <w:p w14:paraId="6985F531" w14:textId="77777777" w:rsidR="005631A4" w:rsidRPr="005631A4" w:rsidRDefault="005631A4" w:rsidP="005631A4">
      <w:pPr>
        <w:spacing w:after="120"/>
        <w:jc w:val="both"/>
      </w:pPr>
      <w:r w:rsidRPr="005631A4">
        <w:t>Dlatego też niezbędne jest zapewnienie opiekunom nieformalnym także wsparcia psychologicznego, dającego szansę na zapobieganie i leczenie zaburzeń, które mogą się pojawić w sytuacji długotrwałego wykonywania zadań opiekuńczych wobec starszych osób bliskich.</w:t>
      </w:r>
    </w:p>
    <w:p w14:paraId="531C4080" w14:textId="77777777" w:rsidR="005631A4" w:rsidRPr="005631A4" w:rsidRDefault="005631A4" w:rsidP="005631A4">
      <w:pPr>
        <w:spacing w:after="120"/>
        <w:jc w:val="both"/>
      </w:pPr>
      <w:r w:rsidRPr="005631A4">
        <w:lastRenderedPageBreak/>
        <w:t>Wsparcie psychologiczne dla opiekunów daje możliwość podtrzymania lub poprawy zdolności do utrzymania właściwych relacji z pacjentem, zapobiegające depresji i „wypaleniu” opiekunów</w:t>
      </w:r>
      <w:r w:rsidRPr="005631A4">
        <w:rPr>
          <w:color w:val="0070C0"/>
          <w:vertAlign w:val="superscript"/>
        </w:rPr>
        <w:footnoteReference w:id="83"/>
      </w:r>
      <w:r w:rsidRPr="005631A4">
        <w:t>.</w:t>
      </w:r>
    </w:p>
    <w:p w14:paraId="7DE35752" w14:textId="77777777" w:rsidR="005631A4" w:rsidRPr="005631A4" w:rsidRDefault="005631A4" w:rsidP="005631A4">
      <w:pPr>
        <w:suppressAutoHyphens/>
        <w:autoSpaceDN w:val="0"/>
        <w:spacing w:after="120"/>
        <w:jc w:val="both"/>
        <w:textAlignment w:val="baseline"/>
        <w:rPr>
          <w:rFonts w:ascii="Calibri" w:eastAsia="Calibri" w:hAnsi="Calibri" w:cs="F"/>
        </w:rPr>
      </w:pPr>
      <w:r w:rsidRPr="005631A4">
        <w:rPr>
          <w:rFonts w:ascii="Calibri" w:eastAsia="Calibri" w:hAnsi="Calibri" w:cs="F"/>
          <w:lang w:eastAsia="pl-PL"/>
        </w:rPr>
        <w:t>Ze względu na duże znaczenie opieki nieformalnej oraz niezaspokojone potrzeby po stronie opiekunów nieformalnych w zakresie zapewnienia wielokierunkowego wsparcia systemowego w sprawowaniu codziennej opieki przewiduje się podjęcie kompleksowych działań ukierunkowanych zarówno na podniesienie kompetencji opiekuńczych tej grupy osób (z uwzględnieniem różnych problemów związanych z poszczególnymi jednostkami chorobowymi i zakresami opieki), jak również umiejętności radzenia sobie z ciężarem tej opieki w kontekście potrzeby utrzymania aktywności w życiu prywatnym i zawodowym.</w:t>
      </w:r>
    </w:p>
    <w:p w14:paraId="1599E96A" w14:textId="77777777" w:rsidR="005631A4" w:rsidRPr="005631A4" w:rsidRDefault="005631A4" w:rsidP="005631A4">
      <w:pPr>
        <w:spacing w:after="120"/>
        <w:jc w:val="both"/>
        <w:rPr>
          <w:rFonts w:ascii="Calibri" w:hAnsi="Calibri"/>
          <w:lang w:eastAsia="pl-PL"/>
        </w:rPr>
      </w:pPr>
      <w:r w:rsidRPr="005631A4">
        <w:rPr>
          <w:rFonts w:ascii="Calibri" w:hAnsi="Calibri"/>
          <w:lang w:eastAsia="pl-PL"/>
        </w:rPr>
        <w:t>Należy dążyć do zapewnienia opiekunom nieformalnym odpowiedniego wsparcia w środowisku lokalnym – oprócz zapewnienia dostępu do świadczeń opiekuńczych w warunkach domowych lub środowiskowych oraz czasowej opieki wytchnieniowej w domu lub w środowisku lokalnym, niezwykle istotna jest również organizacja kompleksowego wsparcia informacyjnego, edukacyjnego i psychologicznego.</w:t>
      </w:r>
    </w:p>
    <w:p w14:paraId="4C9C4E77" w14:textId="77777777" w:rsidR="005631A4" w:rsidRPr="005631A4" w:rsidRDefault="005631A4" w:rsidP="005631A4">
      <w:pPr>
        <w:suppressAutoHyphens/>
        <w:autoSpaceDN w:val="0"/>
        <w:jc w:val="both"/>
        <w:textAlignment w:val="baseline"/>
        <w:rPr>
          <w:rFonts w:ascii="Calibri" w:eastAsia="Calibri" w:hAnsi="Calibri" w:cs="Tahoma"/>
        </w:rPr>
      </w:pPr>
      <w:r w:rsidRPr="005631A4">
        <w:rPr>
          <w:rFonts w:ascii="Calibri" w:eastAsia="Calibri" w:hAnsi="Calibri" w:cs="Tahoma"/>
        </w:rPr>
        <w:t>Osobom chorym na choroby otępienne i ich opiekunom niejednokrotnie brakuje rzetelnej i kompleksowej informacji na temat dostępnych form pomocy i opieki oraz specyfiki samej choroby, a także możliwości uzyskania porady i wsparcia emocjonalnego w codziennym radzeniu sobie z ciężarem choroby i opieki. Znajomość objawów (w tym zmian emocjonalnych, poznawczych, behawioralnych) i perspektywy dalszego postępowania choroby oraz dostępnych form pomocy dla osób chorych i opiekunów może w znaczący sposób wpływać na jakość życia zarówno opiekuna, jak i samego chorego. Może m.in. zmniejszać poczucie bezradności towarzyszące chorobie oraz wspierać aktywne radzenie sobie z codziennymi problemami z nią związanymi.</w:t>
      </w:r>
    </w:p>
    <w:p w14:paraId="237B0599" w14:textId="77777777" w:rsidR="005631A4" w:rsidRPr="005631A4" w:rsidRDefault="005631A4" w:rsidP="005631A4">
      <w:pPr>
        <w:suppressAutoHyphens/>
        <w:autoSpaceDN w:val="0"/>
        <w:spacing w:after="120"/>
        <w:jc w:val="both"/>
        <w:textAlignment w:val="baseline"/>
        <w:rPr>
          <w:rFonts w:ascii="Calibri" w:eastAsia="Calibri" w:hAnsi="Calibri" w:cs="Tahoma"/>
        </w:rPr>
      </w:pPr>
      <w:r w:rsidRPr="005631A4">
        <w:rPr>
          <w:rFonts w:ascii="Calibri" w:eastAsia="Calibri" w:hAnsi="Calibri" w:cs="Tahoma"/>
        </w:rPr>
        <w:t>Wymienione powyżej obszary wsparcia mają szczególne znaczenie ze względu na fakt, że opiekunowie nieformalni niejednokrotnie już należą, bądź niebawem będą należeć, do grupy osób starszych, a tym samym odpowiednio szybkie wdrożenie działań zapobiegawczych i wspierających ich codzienne funkcjonowanie w kontekście sprawowania opieki wydaje się kluczowe dla wydłużenia ich lat w zdrowiu, sprawności i samodzielności, a tym samym również opóźnienia konieczności umieszczenia swojego podopiecznego w opiece instytucjonalnej.</w:t>
      </w:r>
    </w:p>
    <w:p w14:paraId="4192744E" w14:textId="77777777" w:rsidR="005631A4" w:rsidRPr="005631A4" w:rsidRDefault="005631A4" w:rsidP="005631A4">
      <w:pPr>
        <w:keepNext/>
        <w:keepLines/>
        <w:spacing w:before="240" w:after="120"/>
        <w:jc w:val="both"/>
        <w:outlineLvl w:val="4"/>
        <w:rPr>
          <w:rFonts w:asciiTheme="majorHAnsi" w:eastAsiaTheme="majorEastAsia" w:hAnsiTheme="majorHAnsi" w:cstheme="majorBidi"/>
          <w:i/>
          <w:color w:val="2E74B5" w:themeColor="accent1" w:themeShade="BF"/>
          <w:sz w:val="23"/>
        </w:rPr>
      </w:pPr>
      <w:r w:rsidRPr="005631A4">
        <w:rPr>
          <w:rFonts w:asciiTheme="majorHAnsi" w:eastAsiaTheme="majorEastAsia" w:hAnsiTheme="majorHAnsi" w:cstheme="majorBidi"/>
          <w:i/>
          <w:color w:val="2E74B5" w:themeColor="accent1" w:themeShade="BF"/>
          <w:sz w:val="23"/>
        </w:rPr>
        <w:t>Rezultat 1</w:t>
      </w:r>
    </w:p>
    <w:p w14:paraId="2A84B73E" w14:textId="3A8DAFE3" w:rsidR="005631A4" w:rsidRPr="005631A4" w:rsidRDefault="005631A4" w:rsidP="005631A4">
      <w:pPr>
        <w:keepNext/>
        <w:keepLines/>
        <w:shd w:val="clear" w:color="auto" w:fill="BDD6EE" w:themeFill="accent1" w:themeFillTint="66"/>
        <w:spacing w:before="180" w:after="120"/>
        <w:ind w:left="284"/>
        <w:jc w:val="both"/>
        <w:outlineLvl w:val="5"/>
        <w:rPr>
          <w:rFonts w:eastAsia="Times New Roman" w:cstheme="majorBidi"/>
          <w:b/>
        </w:rPr>
      </w:pPr>
      <w:r w:rsidRPr="005631A4">
        <w:rPr>
          <w:rFonts w:eastAsia="Times New Roman" w:cstheme="majorBidi"/>
          <w:b/>
        </w:rPr>
        <w:t xml:space="preserve">Podniesienie kompetencji opiekunów nieformalnych osób starszych </w:t>
      </w:r>
      <w:r w:rsidR="001A16F0">
        <w:rPr>
          <w:rFonts w:eastAsia="Times New Roman" w:cstheme="majorBidi"/>
          <w:b/>
        </w:rPr>
        <w:t>w</w:t>
      </w:r>
      <w:r w:rsidR="001A16F0" w:rsidRPr="001A16F0">
        <w:rPr>
          <w:rFonts w:eastAsia="Times New Roman" w:cstheme="majorBidi"/>
          <w:b/>
        </w:rPr>
        <w:t>ymagających wsparcia w codziennym funkcjonowaniu</w:t>
      </w:r>
      <w:r w:rsidRPr="005631A4">
        <w:rPr>
          <w:rFonts w:eastAsia="Times New Roman" w:cstheme="majorBidi"/>
          <w:b/>
        </w:rPr>
        <w:t xml:space="preserve"> </w:t>
      </w:r>
      <w:r w:rsidRPr="005631A4">
        <w:rPr>
          <w:rFonts w:eastAsiaTheme="majorEastAsia" w:cstheme="majorBidi"/>
          <w:b/>
        </w:rPr>
        <w:t xml:space="preserve">z zakresu opieki nad </w:t>
      </w:r>
      <w:r w:rsidR="001A16F0">
        <w:rPr>
          <w:rFonts w:eastAsiaTheme="majorEastAsia" w:cstheme="majorBidi"/>
          <w:b/>
        </w:rPr>
        <w:t xml:space="preserve">tymi </w:t>
      </w:r>
      <w:r w:rsidRPr="005631A4">
        <w:rPr>
          <w:rFonts w:eastAsiaTheme="majorEastAsia" w:cstheme="majorBidi"/>
          <w:b/>
        </w:rPr>
        <w:t>osobami</w:t>
      </w:r>
      <w:r w:rsidR="0015679C">
        <w:rPr>
          <w:rFonts w:eastAsiaTheme="majorEastAsia" w:cstheme="majorBidi"/>
          <w:b/>
        </w:rPr>
        <w:t xml:space="preserve"> </w:t>
      </w:r>
      <w:r w:rsidRPr="005631A4">
        <w:rPr>
          <w:rFonts w:eastAsiaTheme="majorEastAsia" w:cstheme="majorBidi"/>
          <w:b/>
        </w:rPr>
        <w:t>– do końca 2030 r.</w:t>
      </w:r>
    </w:p>
    <w:p w14:paraId="4076965F" w14:textId="77777777" w:rsidR="005631A4" w:rsidRPr="005631A4" w:rsidRDefault="005631A4" w:rsidP="005631A4">
      <w:pPr>
        <w:keepNext/>
        <w:keepLines/>
        <w:spacing w:before="240" w:after="120"/>
        <w:jc w:val="both"/>
        <w:outlineLvl w:val="4"/>
        <w:rPr>
          <w:rFonts w:asciiTheme="majorHAnsi" w:eastAsiaTheme="majorEastAsia" w:hAnsiTheme="majorHAnsi" w:cstheme="majorBidi"/>
          <w:i/>
          <w:color w:val="2E74B5" w:themeColor="accent1" w:themeShade="BF"/>
          <w:sz w:val="23"/>
        </w:rPr>
      </w:pPr>
      <w:r w:rsidRPr="005631A4">
        <w:rPr>
          <w:rFonts w:asciiTheme="majorHAnsi" w:eastAsiaTheme="majorEastAsia" w:hAnsiTheme="majorHAnsi" w:cstheme="majorBidi"/>
          <w:i/>
          <w:color w:val="2E74B5" w:themeColor="accent1" w:themeShade="BF"/>
          <w:sz w:val="23"/>
        </w:rPr>
        <w:t>Działania</w:t>
      </w:r>
    </w:p>
    <w:p w14:paraId="207393FA" w14:textId="68A15BDF" w:rsidR="005631A4" w:rsidRPr="005631A4" w:rsidRDefault="005631A4" w:rsidP="001A16F0">
      <w:pPr>
        <w:keepNext/>
        <w:keepLines/>
        <w:numPr>
          <w:ilvl w:val="0"/>
          <w:numId w:val="48"/>
        </w:numPr>
        <w:shd w:val="clear" w:color="auto" w:fill="DEEAF6" w:themeFill="accent1" w:themeFillTint="33"/>
        <w:spacing w:before="180" w:after="120"/>
        <w:ind w:left="567" w:hanging="283"/>
        <w:jc w:val="both"/>
        <w:outlineLvl w:val="5"/>
        <w:rPr>
          <w:rFonts w:eastAsiaTheme="majorEastAsia" w:cstheme="majorBidi"/>
          <w:b/>
        </w:rPr>
      </w:pPr>
      <w:r w:rsidRPr="005631A4">
        <w:rPr>
          <w:rFonts w:eastAsiaTheme="majorEastAsia" w:cstheme="majorBidi"/>
          <w:b/>
        </w:rPr>
        <w:t xml:space="preserve">Opracowanie ramowego programu szkoleń dla opiekunów nieformalnych osób starszych </w:t>
      </w:r>
      <w:r w:rsidR="001A16F0">
        <w:rPr>
          <w:rFonts w:eastAsiaTheme="majorEastAsia" w:cstheme="majorBidi"/>
          <w:b/>
        </w:rPr>
        <w:t>w</w:t>
      </w:r>
      <w:r w:rsidR="001A16F0" w:rsidRPr="001A16F0">
        <w:rPr>
          <w:rFonts w:eastAsiaTheme="majorEastAsia" w:cstheme="majorBidi"/>
          <w:b/>
        </w:rPr>
        <w:t>ymagających wsparcia w codziennym funkcjonowaniu</w:t>
      </w:r>
      <w:r w:rsidRPr="005631A4">
        <w:rPr>
          <w:rFonts w:eastAsiaTheme="majorEastAsia" w:cstheme="majorBidi"/>
          <w:b/>
        </w:rPr>
        <w:t xml:space="preserve"> – do końca 2022 r.</w:t>
      </w:r>
    </w:p>
    <w:p w14:paraId="0D00B304" w14:textId="77777777" w:rsidR="005631A4" w:rsidRPr="005631A4" w:rsidRDefault="005631A4" w:rsidP="005631A4">
      <w:pPr>
        <w:suppressAutoHyphens/>
        <w:autoSpaceDN w:val="0"/>
        <w:spacing w:after="120"/>
        <w:ind w:left="567"/>
        <w:jc w:val="both"/>
        <w:textAlignment w:val="baseline"/>
        <w:rPr>
          <w:rFonts w:ascii="Calibri" w:eastAsia="Calibri" w:hAnsi="Calibri" w:cs="F"/>
          <w:bCs/>
        </w:rPr>
      </w:pPr>
      <w:r w:rsidRPr="005631A4">
        <w:rPr>
          <w:rFonts w:ascii="Calibri" w:eastAsia="Calibri" w:hAnsi="Calibri" w:cs="F"/>
          <w:bCs/>
        </w:rPr>
        <w:t xml:space="preserve">Planuje się, że wybrani eksperci opracują ramowy program szkoleń, na podstawie którego realizatorzy szkoleń przeprowadzą stosowne zajęcia dla uczestników w przedmiotowym </w:t>
      </w:r>
      <w:r w:rsidRPr="005631A4">
        <w:rPr>
          <w:rFonts w:ascii="Calibri" w:eastAsia="Calibri" w:hAnsi="Calibri" w:cs="F"/>
          <w:bCs/>
        </w:rPr>
        <w:lastRenderedPageBreak/>
        <w:t>zakresie. Jako baza powinny posłużyć doświadczenia z projektów już realizowanych w tym zakresie.</w:t>
      </w:r>
    </w:p>
    <w:p w14:paraId="6EE06815" w14:textId="114E7400" w:rsidR="005631A4" w:rsidRPr="005631A4" w:rsidRDefault="005631A4" w:rsidP="001A16F0">
      <w:pPr>
        <w:keepNext/>
        <w:keepLines/>
        <w:numPr>
          <w:ilvl w:val="0"/>
          <w:numId w:val="48"/>
        </w:numPr>
        <w:shd w:val="clear" w:color="auto" w:fill="DEEAF6" w:themeFill="accent1" w:themeFillTint="33"/>
        <w:spacing w:before="180" w:after="120"/>
        <w:ind w:left="567" w:hanging="283"/>
        <w:jc w:val="both"/>
        <w:outlineLvl w:val="5"/>
        <w:rPr>
          <w:rFonts w:eastAsiaTheme="majorEastAsia" w:cstheme="majorBidi"/>
          <w:b/>
        </w:rPr>
      </w:pPr>
      <w:r w:rsidRPr="005631A4">
        <w:rPr>
          <w:rFonts w:eastAsiaTheme="majorEastAsia" w:cstheme="majorBidi"/>
          <w:b/>
        </w:rPr>
        <w:t xml:space="preserve">Organizacja i przeprowadzenie lokalnych szkoleń opiekunów nieformalnych osób starszych </w:t>
      </w:r>
      <w:r w:rsidR="001A16F0">
        <w:rPr>
          <w:rFonts w:eastAsiaTheme="majorEastAsia" w:cstheme="majorBidi"/>
          <w:b/>
        </w:rPr>
        <w:t>w</w:t>
      </w:r>
      <w:r w:rsidR="001A16F0" w:rsidRPr="001A16F0">
        <w:rPr>
          <w:rFonts w:eastAsiaTheme="majorEastAsia" w:cstheme="majorBidi"/>
          <w:b/>
        </w:rPr>
        <w:t>ymagających wsparcia w codziennym funkcjonowaniu</w:t>
      </w:r>
      <w:r w:rsidRPr="005631A4">
        <w:rPr>
          <w:rFonts w:eastAsiaTheme="majorEastAsia" w:cstheme="majorBidi"/>
          <w:b/>
        </w:rPr>
        <w:t xml:space="preserve"> – do końca 2030 r.</w:t>
      </w:r>
    </w:p>
    <w:p w14:paraId="3205E058" w14:textId="09C4CC64" w:rsidR="005631A4" w:rsidRPr="005631A4" w:rsidRDefault="005631A4" w:rsidP="005631A4">
      <w:pPr>
        <w:suppressAutoHyphens/>
        <w:autoSpaceDN w:val="0"/>
        <w:spacing w:after="360"/>
        <w:ind w:left="567"/>
        <w:jc w:val="both"/>
        <w:textAlignment w:val="baseline"/>
        <w:rPr>
          <w:rFonts w:ascii="Calibri" w:eastAsia="Calibri" w:hAnsi="Calibri" w:cs="F"/>
          <w:bCs/>
        </w:rPr>
      </w:pPr>
      <w:r w:rsidRPr="005631A4">
        <w:rPr>
          <w:rFonts w:ascii="Calibri" w:eastAsia="Calibri" w:hAnsi="Calibri" w:cs="F"/>
          <w:bCs/>
        </w:rPr>
        <w:t xml:space="preserve">Planuje się, że szkolenia będą się odbywały na terenie całej Polski, w środowiskach lokalnych – blisko miejsca zamieszkania uczestników, a także w formie zdalnej w postaci szkoleń online. Przeprowadzenie szkoleń ma na celu podniesienie wiedzy i umiejętności opiekunów nieformalnych osób starszych </w:t>
      </w:r>
      <w:r w:rsidR="001A16F0">
        <w:t>wymagających wsparcia w codziennym funkcjonowaniu</w:t>
      </w:r>
      <w:r w:rsidRPr="005631A4">
        <w:rPr>
          <w:rFonts w:ascii="Calibri" w:eastAsia="Calibri" w:hAnsi="Calibri" w:cs="F"/>
          <w:bCs/>
        </w:rPr>
        <w:t xml:space="preserve"> w zakresie opieki nad tymi osobami, co pozwoli poprawić jakość i bezpieczeństwo opieki sprawowanej przez nich w domu. Ponadto podczas szkoleń uczestnicy będą mogli zwiększyć swoją wiedzę na temat objawów chorobowych w wybranych chorobach charakterystycznych dla starszego wieku, w tym zaburzeniach otępiennych i innych zaburzeniach pamięci.</w:t>
      </w:r>
    </w:p>
    <w:tbl>
      <w:tblPr>
        <w:tblStyle w:val="Tabela-Siatka"/>
        <w:tblW w:w="10358"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560"/>
        <w:gridCol w:w="1139"/>
        <w:gridCol w:w="709"/>
        <w:gridCol w:w="709"/>
        <w:gridCol w:w="727"/>
        <w:gridCol w:w="691"/>
        <w:gridCol w:w="691"/>
        <w:gridCol w:w="691"/>
        <w:gridCol w:w="691"/>
        <w:gridCol w:w="666"/>
        <w:gridCol w:w="693"/>
        <w:gridCol w:w="696"/>
        <w:gridCol w:w="695"/>
      </w:tblGrid>
      <w:tr w:rsidR="005631A4" w:rsidRPr="005631A4" w14:paraId="0E7DF5AB" w14:textId="77777777" w:rsidTr="005631A4">
        <w:trPr>
          <w:jc w:val="center"/>
        </w:trPr>
        <w:tc>
          <w:tcPr>
            <w:tcW w:w="10358" w:type="dxa"/>
            <w:gridSpan w:val="13"/>
            <w:shd w:val="clear" w:color="auto" w:fill="65A2D9"/>
            <w:vAlign w:val="center"/>
          </w:tcPr>
          <w:p w14:paraId="267C6D68" w14:textId="77777777" w:rsidR="005631A4" w:rsidRPr="005631A4" w:rsidRDefault="005631A4" w:rsidP="005631A4">
            <w:pPr>
              <w:spacing w:before="60" w:after="60"/>
              <w:jc w:val="both"/>
              <w:rPr>
                <w:b/>
                <w:bCs/>
              </w:rPr>
            </w:pPr>
            <w:r w:rsidRPr="005631A4">
              <w:rPr>
                <w:b/>
                <w:bCs/>
                <w:sz w:val="24"/>
                <w:szCs w:val="24"/>
              </w:rPr>
              <w:t>REZULTAT 1</w:t>
            </w:r>
          </w:p>
        </w:tc>
      </w:tr>
      <w:tr w:rsidR="005631A4" w:rsidRPr="005631A4" w14:paraId="1D8E2F7F" w14:textId="77777777" w:rsidTr="005631A4">
        <w:trPr>
          <w:jc w:val="center"/>
        </w:trPr>
        <w:tc>
          <w:tcPr>
            <w:tcW w:w="1560" w:type="dxa"/>
            <w:vMerge w:val="restart"/>
            <w:shd w:val="clear" w:color="auto" w:fill="9CC2E5" w:themeFill="accent1" w:themeFillTint="99"/>
            <w:vAlign w:val="center"/>
          </w:tcPr>
          <w:p w14:paraId="11464E28" w14:textId="77777777" w:rsidR="005631A4" w:rsidRPr="005631A4" w:rsidRDefault="005631A4" w:rsidP="00CE3D48">
            <w:pPr>
              <w:spacing w:before="60" w:after="60"/>
              <w:jc w:val="center"/>
              <w:rPr>
                <w:b/>
                <w:bCs/>
              </w:rPr>
            </w:pPr>
            <w:r w:rsidRPr="005631A4">
              <w:rPr>
                <w:b/>
                <w:bCs/>
              </w:rPr>
              <w:t>Termin realizacji działań</w:t>
            </w:r>
          </w:p>
        </w:tc>
        <w:tc>
          <w:tcPr>
            <w:tcW w:w="1139" w:type="dxa"/>
            <w:shd w:val="clear" w:color="auto" w:fill="9CC2E5" w:themeFill="accent1" w:themeFillTint="99"/>
            <w:vAlign w:val="center"/>
          </w:tcPr>
          <w:p w14:paraId="51310E60" w14:textId="77777777" w:rsidR="005631A4" w:rsidRPr="005631A4" w:rsidRDefault="005631A4" w:rsidP="005631A4">
            <w:pPr>
              <w:spacing w:before="60" w:after="60"/>
              <w:jc w:val="center"/>
            </w:pPr>
            <w:r w:rsidRPr="005631A4">
              <w:t>Nr działania</w:t>
            </w:r>
          </w:p>
        </w:tc>
        <w:tc>
          <w:tcPr>
            <w:tcW w:w="709" w:type="dxa"/>
            <w:shd w:val="clear" w:color="auto" w:fill="9CC2E5" w:themeFill="accent1" w:themeFillTint="99"/>
            <w:vAlign w:val="center"/>
          </w:tcPr>
          <w:p w14:paraId="62015B67" w14:textId="77777777" w:rsidR="005631A4" w:rsidRPr="005631A4" w:rsidRDefault="005631A4" w:rsidP="005631A4">
            <w:pPr>
              <w:spacing w:before="60" w:after="60"/>
              <w:jc w:val="both"/>
            </w:pPr>
            <w:r w:rsidRPr="005631A4">
              <w:t>2020</w:t>
            </w:r>
          </w:p>
        </w:tc>
        <w:tc>
          <w:tcPr>
            <w:tcW w:w="709" w:type="dxa"/>
            <w:shd w:val="clear" w:color="auto" w:fill="9CC2E5" w:themeFill="accent1" w:themeFillTint="99"/>
            <w:vAlign w:val="center"/>
          </w:tcPr>
          <w:p w14:paraId="691C7926" w14:textId="77777777" w:rsidR="005631A4" w:rsidRPr="005631A4" w:rsidRDefault="005631A4" w:rsidP="005631A4">
            <w:pPr>
              <w:spacing w:before="60" w:after="60"/>
              <w:jc w:val="both"/>
            </w:pPr>
            <w:r w:rsidRPr="005631A4">
              <w:t>2021</w:t>
            </w:r>
          </w:p>
        </w:tc>
        <w:tc>
          <w:tcPr>
            <w:tcW w:w="727" w:type="dxa"/>
            <w:shd w:val="clear" w:color="auto" w:fill="9CC2E5" w:themeFill="accent1" w:themeFillTint="99"/>
            <w:vAlign w:val="center"/>
          </w:tcPr>
          <w:p w14:paraId="046094E1" w14:textId="77777777" w:rsidR="005631A4" w:rsidRPr="005631A4" w:rsidRDefault="005631A4" w:rsidP="005631A4">
            <w:pPr>
              <w:spacing w:before="60" w:after="60"/>
              <w:jc w:val="both"/>
            </w:pPr>
            <w:r w:rsidRPr="005631A4">
              <w:t>2022</w:t>
            </w:r>
          </w:p>
        </w:tc>
        <w:tc>
          <w:tcPr>
            <w:tcW w:w="691" w:type="dxa"/>
            <w:shd w:val="clear" w:color="auto" w:fill="9CC2E5" w:themeFill="accent1" w:themeFillTint="99"/>
            <w:vAlign w:val="center"/>
          </w:tcPr>
          <w:p w14:paraId="083C28B3" w14:textId="77777777" w:rsidR="005631A4" w:rsidRPr="005631A4" w:rsidRDefault="005631A4" w:rsidP="005631A4">
            <w:pPr>
              <w:spacing w:before="60" w:after="60"/>
              <w:jc w:val="both"/>
            </w:pPr>
            <w:r w:rsidRPr="005631A4">
              <w:t>2023</w:t>
            </w:r>
          </w:p>
        </w:tc>
        <w:tc>
          <w:tcPr>
            <w:tcW w:w="691" w:type="dxa"/>
            <w:shd w:val="clear" w:color="auto" w:fill="9CC2E5" w:themeFill="accent1" w:themeFillTint="99"/>
            <w:vAlign w:val="center"/>
          </w:tcPr>
          <w:p w14:paraId="06F20DE8" w14:textId="77777777" w:rsidR="005631A4" w:rsidRPr="005631A4" w:rsidRDefault="005631A4" w:rsidP="005631A4">
            <w:pPr>
              <w:spacing w:before="60" w:after="60"/>
              <w:jc w:val="both"/>
            </w:pPr>
            <w:r w:rsidRPr="005631A4">
              <w:t>2024</w:t>
            </w:r>
          </w:p>
        </w:tc>
        <w:tc>
          <w:tcPr>
            <w:tcW w:w="691" w:type="dxa"/>
            <w:shd w:val="clear" w:color="auto" w:fill="9CC2E5" w:themeFill="accent1" w:themeFillTint="99"/>
            <w:vAlign w:val="center"/>
          </w:tcPr>
          <w:p w14:paraId="0F0C3D93" w14:textId="77777777" w:rsidR="005631A4" w:rsidRPr="005631A4" w:rsidRDefault="005631A4" w:rsidP="005631A4">
            <w:pPr>
              <w:spacing w:before="60" w:after="60"/>
              <w:jc w:val="both"/>
            </w:pPr>
            <w:r w:rsidRPr="005631A4">
              <w:t>2025</w:t>
            </w:r>
          </w:p>
        </w:tc>
        <w:tc>
          <w:tcPr>
            <w:tcW w:w="691" w:type="dxa"/>
            <w:shd w:val="clear" w:color="auto" w:fill="9CC2E5" w:themeFill="accent1" w:themeFillTint="99"/>
            <w:vAlign w:val="center"/>
          </w:tcPr>
          <w:p w14:paraId="63A2DE08" w14:textId="77777777" w:rsidR="005631A4" w:rsidRPr="005631A4" w:rsidRDefault="005631A4" w:rsidP="005631A4">
            <w:pPr>
              <w:spacing w:before="60" w:after="60"/>
              <w:jc w:val="both"/>
            </w:pPr>
            <w:r w:rsidRPr="005631A4">
              <w:t>2026</w:t>
            </w:r>
          </w:p>
        </w:tc>
        <w:tc>
          <w:tcPr>
            <w:tcW w:w="666" w:type="dxa"/>
            <w:shd w:val="clear" w:color="auto" w:fill="9CC2E5" w:themeFill="accent1" w:themeFillTint="99"/>
            <w:vAlign w:val="center"/>
          </w:tcPr>
          <w:p w14:paraId="7A2CCA7F" w14:textId="77777777" w:rsidR="005631A4" w:rsidRPr="005631A4" w:rsidRDefault="005631A4" w:rsidP="005631A4">
            <w:pPr>
              <w:spacing w:before="60" w:after="60"/>
              <w:jc w:val="both"/>
            </w:pPr>
            <w:r w:rsidRPr="005631A4">
              <w:t>2027</w:t>
            </w:r>
          </w:p>
        </w:tc>
        <w:tc>
          <w:tcPr>
            <w:tcW w:w="693" w:type="dxa"/>
            <w:shd w:val="clear" w:color="auto" w:fill="9CC2E5" w:themeFill="accent1" w:themeFillTint="99"/>
            <w:vAlign w:val="center"/>
          </w:tcPr>
          <w:p w14:paraId="23615210" w14:textId="77777777" w:rsidR="005631A4" w:rsidRPr="005631A4" w:rsidRDefault="005631A4" w:rsidP="005631A4">
            <w:pPr>
              <w:spacing w:before="60" w:after="60"/>
              <w:jc w:val="both"/>
            </w:pPr>
            <w:r w:rsidRPr="005631A4">
              <w:t>2028</w:t>
            </w:r>
          </w:p>
        </w:tc>
        <w:tc>
          <w:tcPr>
            <w:tcW w:w="696" w:type="dxa"/>
            <w:shd w:val="clear" w:color="auto" w:fill="9CC2E5" w:themeFill="accent1" w:themeFillTint="99"/>
            <w:vAlign w:val="center"/>
          </w:tcPr>
          <w:p w14:paraId="67960740" w14:textId="77777777" w:rsidR="005631A4" w:rsidRPr="005631A4" w:rsidRDefault="005631A4" w:rsidP="005631A4">
            <w:pPr>
              <w:spacing w:before="60" w:after="60"/>
              <w:jc w:val="both"/>
            </w:pPr>
            <w:r w:rsidRPr="005631A4">
              <w:t>2029</w:t>
            </w:r>
          </w:p>
        </w:tc>
        <w:tc>
          <w:tcPr>
            <w:tcW w:w="695" w:type="dxa"/>
            <w:shd w:val="clear" w:color="auto" w:fill="9CC2E5" w:themeFill="accent1" w:themeFillTint="99"/>
            <w:vAlign w:val="center"/>
          </w:tcPr>
          <w:p w14:paraId="01A1217B" w14:textId="77777777" w:rsidR="005631A4" w:rsidRPr="005631A4" w:rsidRDefault="005631A4" w:rsidP="005631A4">
            <w:pPr>
              <w:spacing w:before="60" w:after="60"/>
              <w:jc w:val="both"/>
            </w:pPr>
            <w:r w:rsidRPr="005631A4">
              <w:t>2030</w:t>
            </w:r>
          </w:p>
        </w:tc>
      </w:tr>
      <w:tr w:rsidR="005631A4" w:rsidRPr="005631A4" w14:paraId="437CA43D" w14:textId="77777777" w:rsidTr="00E07D64">
        <w:trPr>
          <w:trHeight w:val="466"/>
          <w:jc w:val="center"/>
        </w:trPr>
        <w:tc>
          <w:tcPr>
            <w:tcW w:w="1560" w:type="dxa"/>
            <w:vMerge/>
            <w:vAlign w:val="center"/>
          </w:tcPr>
          <w:p w14:paraId="72C0DD5F" w14:textId="77777777" w:rsidR="005631A4" w:rsidRPr="005631A4" w:rsidRDefault="005631A4" w:rsidP="00CE3D48">
            <w:pPr>
              <w:spacing w:before="60" w:after="60"/>
              <w:jc w:val="center"/>
              <w:rPr>
                <w:b/>
                <w:bCs/>
              </w:rPr>
            </w:pPr>
          </w:p>
        </w:tc>
        <w:tc>
          <w:tcPr>
            <w:tcW w:w="1139" w:type="dxa"/>
            <w:shd w:val="clear" w:color="auto" w:fill="BDD6EE" w:themeFill="accent1" w:themeFillTint="66"/>
            <w:vAlign w:val="center"/>
          </w:tcPr>
          <w:p w14:paraId="6BF980BB" w14:textId="77777777" w:rsidR="005631A4" w:rsidRPr="005631A4" w:rsidRDefault="005631A4" w:rsidP="005631A4">
            <w:pPr>
              <w:spacing w:before="60" w:after="60"/>
              <w:jc w:val="center"/>
            </w:pPr>
            <w:r w:rsidRPr="005631A4">
              <w:t>1.</w:t>
            </w:r>
          </w:p>
        </w:tc>
        <w:tc>
          <w:tcPr>
            <w:tcW w:w="709" w:type="dxa"/>
            <w:shd w:val="clear" w:color="auto" w:fill="DEEAF6" w:themeFill="accent1" w:themeFillTint="33"/>
            <w:vAlign w:val="center"/>
          </w:tcPr>
          <w:p w14:paraId="5DCC67DD" w14:textId="77777777" w:rsidR="005631A4" w:rsidRPr="005631A4" w:rsidRDefault="005631A4" w:rsidP="005631A4">
            <w:pPr>
              <w:spacing w:before="60" w:after="60"/>
              <w:jc w:val="center"/>
            </w:pPr>
          </w:p>
        </w:tc>
        <w:tc>
          <w:tcPr>
            <w:tcW w:w="709" w:type="dxa"/>
            <w:shd w:val="clear" w:color="auto" w:fill="BDD6EE" w:themeFill="accent1" w:themeFillTint="66"/>
            <w:vAlign w:val="center"/>
          </w:tcPr>
          <w:p w14:paraId="05B972B7" w14:textId="4B529EB6" w:rsidR="005631A4" w:rsidRPr="005631A4" w:rsidRDefault="005631A4" w:rsidP="005631A4">
            <w:pPr>
              <w:spacing w:before="60" w:after="60"/>
              <w:jc w:val="center"/>
              <w:rPr>
                <w:sz w:val="16"/>
                <w:szCs w:val="16"/>
              </w:rPr>
            </w:pPr>
          </w:p>
        </w:tc>
        <w:tc>
          <w:tcPr>
            <w:tcW w:w="727" w:type="dxa"/>
            <w:shd w:val="clear" w:color="auto" w:fill="BDD6EE" w:themeFill="accent1" w:themeFillTint="66"/>
            <w:vAlign w:val="center"/>
          </w:tcPr>
          <w:p w14:paraId="36727966" w14:textId="3B9F8834" w:rsidR="005631A4" w:rsidRPr="005631A4" w:rsidRDefault="005631A4" w:rsidP="005631A4">
            <w:pPr>
              <w:spacing w:before="60" w:after="60"/>
              <w:jc w:val="center"/>
              <w:rPr>
                <w:sz w:val="16"/>
                <w:szCs w:val="16"/>
              </w:rPr>
            </w:pPr>
          </w:p>
        </w:tc>
        <w:tc>
          <w:tcPr>
            <w:tcW w:w="691" w:type="dxa"/>
            <w:shd w:val="clear" w:color="auto" w:fill="DEEAF6" w:themeFill="accent1" w:themeFillTint="33"/>
            <w:vAlign w:val="center"/>
          </w:tcPr>
          <w:p w14:paraId="60A80A41" w14:textId="77777777" w:rsidR="005631A4" w:rsidRPr="005631A4" w:rsidRDefault="005631A4" w:rsidP="005631A4">
            <w:pPr>
              <w:spacing w:before="60" w:after="60"/>
              <w:jc w:val="center"/>
              <w:rPr>
                <w:sz w:val="16"/>
                <w:szCs w:val="16"/>
              </w:rPr>
            </w:pPr>
          </w:p>
        </w:tc>
        <w:tc>
          <w:tcPr>
            <w:tcW w:w="691" w:type="dxa"/>
            <w:shd w:val="clear" w:color="auto" w:fill="DEEAF6" w:themeFill="accent1" w:themeFillTint="33"/>
            <w:vAlign w:val="center"/>
          </w:tcPr>
          <w:p w14:paraId="299E5567" w14:textId="77777777" w:rsidR="005631A4" w:rsidRPr="005631A4" w:rsidRDefault="005631A4" w:rsidP="005631A4">
            <w:pPr>
              <w:spacing w:before="60" w:after="60"/>
              <w:jc w:val="center"/>
              <w:rPr>
                <w:sz w:val="16"/>
                <w:szCs w:val="16"/>
              </w:rPr>
            </w:pPr>
          </w:p>
        </w:tc>
        <w:tc>
          <w:tcPr>
            <w:tcW w:w="691" w:type="dxa"/>
            <w:shd w:val="clear" w:color="auto" w:fill="DEEAF6" w:themeFill="accent1" w:themeFillTint="33"/>
            <w:vAlign w:val="center"/>
          </w:tcPr>
          <w:p w14:paraId="3A3F1893" w14:textId="77777777" w:rsidR="005631A4" w:rsidRPr="005631A4" w:rsidRDefault="005631A4" w:rsidP="005631A4">
            <w:pPr>
              <w:spacing w:before="60" w:after="60"/>
              <w:jc w:val="center"/>
              <w:rPr>
                <w:sz w:val="16"/>
                <w:szCs w:val="16"/>
              </w:rPr>
            </w:pPr>
          </w:p>
        </w:tc>
        <w:tc>
          <w:tcPr>
            <w:tcW w:w="691" w:type="dxa"/>
            <w:shd w:val="clear" w:color="auto" w:fill="DEEAF6" w:themeFill="accent1" w:themeFillTint="33"/>
            <w:vAlign w:val="center"/>
          </w:tcPr>
          <w:p w14:paraId="219E962C" w14:textId="77777777" w:rsidR="005631A4" w:rsidRPr="005631A4" w:rsidRDefault="005631A4" w:rsidP="005631A4">
            <w:pPr>
              <w:spacing w:before="60" w:after="60"/>
              <w:jc w:val="center"/>
              <w:rPr>
                <w:sz w:val="16"/>
                <w:szCs w:val="16"/>
              </w:rPr>
            </w:pPr>
          </w:p>
        </w:tc>
        <w:tc>
          <w:tcPr>
            <w:tcW w:w="666" w:type="dxa"/>
            <w:shd w:val="clear" w:color="auto" w:fill="DEEAF6" w:themeFill="accent1" w:themeFillTint="33"/>
          </w:tcPr>
          <w:p w14:paraId="5BF3D67F" w14:textId="77777777" w:rsidR="005631A4" w:rsidRPr="005631A4" w:rsidRDefault="005631A4" w:rsidP="005631A4">
            <w:pPr>
              <w:spacing w:before="60" w:after="60"/>
              <w:jc w:val="center"/>
              <w:rPr>
                <w:sz w:val="16"/>
                <w:szCs w:val="16"/>
              </w:rPr>
            </w:pPr>
          </w:p>
        </w:tc>
        <w:tc>
          <w:tcPr>
            <w:tcW w:w="693" w:type="dxa"/>
            <w:shd w:val="clear" w:color="auto" w:fill="DEEAF6" w:themeFill="accent1" w:themeFillTint="33"/>
          </w:tcPr>
          <w:p w14:paraId="3478AF0A" w14:textId="77777777" w:rsidR="005631A4" w:rsidRPr="005631A4" w:rsidRDefault="005631A4" w:rsidP="005631A4">
            <w:pPr>
              <w:spacing w:before="60" w:after="60"/>
              <w:jc w:val="center"/>
              <w:rPr>
                <w:sz w:val="16"/>
                <w:szCs w:val="16"/>
              </w:rPr>
            </w:pPr>
          </w:p>
        </w:tc>
        <w:tc>
          <w:tcPr>
            <w:tcW w:w="696" w:type="dxa"/>
            <w:shd w:val="clear" w:color="auto" w:fill="DEEAF6" w:themeFill="accent1" w:themeFillTint="33"/>
          </w:tcPr>
          <w:p w14:paraId="14DFD180" w14:textId="77777777" w:rsidR="005631A4" w:rsidRPr="005631A4" w:rsidRDefault="005631A4" w:rsidP="005631A4">
            <w:pPr>
              <w:spacing w:before="60" w:after="60"/>
              <w:jc w:val="center"/>
              <w:rPr>
                <w:sz w:val="16"/>
                <w:szCs w:val="16"/>
              </w:rPr>
            </w:pPr>
          </w:p>
        </w:tc>
        <w:tc>
          <w:tcPr>
            <w:tcW w:w="695" w:type="dxa"/>
            <w:shd w:val="clear" w:color="auto" w:fill="DEEAF6" w:themeFill="accent1" w:themeFillTint="33"/>
          </w:tcPr>
          <w:p w14:paraId="6974DE2F" w14:textId="77777777" w:rsidR="005631A4" w:rsidRPr="005631A4" w:rsidRDefault="005631A4" w:rsidP="005631A4">
            <w:pPr>
              <w:spacing w:before="60" w:after="60"/>
              <w:jc w:val="center"/>
              <w:rPr>
                <w:sz w:val="16"/>
                <w:szCs w:val="16"/>
              </w:rPr>
            </w:pPr>
          </w:p>
        </w:tc>
      </w:tr>
      <w:tr w:rsidR="005631A4" w:rsidRPr="005631A4" w14:paraId="26C3B4F1" w14:textId="77777777" w:rsidTr="005631A4">
        <w:trPr>
          <w:jc w:val="center"/>
        </w:trPr>
        <w:tc>
          <w:tcPr>
            <w:tcW w:w="1560" w:type="dxa"/>
            <w:vMerge/>
            <w:vAlign w:val="center"/>
          </w:tcPr>
          <w:p w14:paraId="1FB598F8" w14:textId="77777777" w:rsidR="005631A4" w:rsidRPr="005631A4" w:rsidRDefault="005631A4" w:rsidP="00CE3D48">
            <w:pPr>
              <w:spacing w:before="60" w:after="60"/>
              <w:jc w:val="center"/>
              <w:rPr>
                <w:b/>
                <w:bCs/>
              </w:rPr>
            </w:pPr>
          </w:p>
        </w:tc>
        <w:tc>
          <w:tcPr>
            <w:tcW w:w="1139" w:type="dxa"/>
            <w:shd w:val="clear" w:color="auto" w:fill="BDD6EE" w:themeFill="accent1" w:themeFillTint="66"/>
            <w:vAlign w:val="center"/>
          </w:tcPr>
          <w:p w14:paraId="14BA2FA6" w14:textId="77777777" w:rsidR="005631A4" w:rsidRPr="005631A4" w:rsidRDefault="005631A4" w:rsidP="005631A4">
            <w:pPr>
              <w:spacing w:before="60" w:after="60"/>
              <w:jc w:val="center"/>
            </w:pPr>
            <w:r w:rsidRPr="005631A4">
              <w:t>2.</w:t>
            </w:r>
          </w:p>
        </w:tc>
        <w:tc>
          <w:tcPr>
            <w:tcW w:w="709" w:type="dxa"/>
            <w:shd w:val="clear" w:color="auto" w:fill="DEEAF6" w:themeFill="accent1" w:themeFillTint="33"/>
            <w:vAlign w:val="center"/>
          </w:tcPr>
          <w:p w14:paraId="45C2A6B5" w14:textId="77777777" w:rsidR="005631A4" w:rsidRPr="005631A4" w:rsidRDefault="005631A4" w:rsidP="005631A4">
            <w:pPr>
              <w:spacing w:before="60" w:after="60"/>
              <w:jc w:val="center"/>
            </w:pPr>
          </w:p>
        </w:tc>
        <w:tc>
          <w:tcPr>
            <w:tcW w:w="709" w:type="dxa"/>
            <w:shd w:val="clear" w:color="auto" w:fill="DEEAF6" w:themeFill="accent1" w:themeFillTint="33"/>
            <w:vAlign w:val="center"/>
          </w:tcPr>
          <w:p w14:paraId="57823875" w14:textId="77777777" w:rsidR="005631A4" w:rsidRPr="005631A4" w:rsidRDefault="005631A4" w:rsidP="005631A4">
            <w:pPr>
              <w:spacing w:before="60" w:after="60"/>
              <w:jc w:val="center"/>
              <w:rPr>
                <w:sz w:val="16"/>
                <w:szCs w:val="16"/>
              </w:rPr>
            </w:pPr>
          </w:p>
        </w:tc>
        <w:tc>
          <w:tcPr>
            <w:tcW w:w="727" w:type="dxa"/>
            <w:shd w:val="clear" w:color="auto" w:fill="DEEAF6" w:themeFill="accent1" w:themeFillTint="33"/>
            <w:vAlign w:val="center"/>
          </w:tcPr>
          <w:p w14:paraId="39BCBE04" w14:textId="77777777" w:rsidR="005631A4" w:rsidRPr="005631A4" w:rsidRDefault="005631A4" w:rsidP="005631A4">
            <w:pPr>
              <w:spacing w:before="60" w:after="60"/>
              <w:jc w:val="center"/>
              <w:rPr>
                <w:sz w:val="16"/>
                <w:szCs w:val="16"/>
              </w:rPr>
            </w:pPr>
          </w:p>
        </w:tc>
        <w:tc>
          <w:tcPr>
            <w:tcW w:w="691" w:type="dxa"/>
            <w:shd w:val="clear" w:color="auto" w:fill="BDD6EE" w:themeFill="accent1" w:themeFillTint="66"/>
            <w:vAlign w:val="center"/>
          </w:tcPr>
          <w:p w14:paraId="18D26D4E" w14:textId="723915CB" w:rsidR="005631A4" w:rsidRPr="005631A4" w:rsidRDefault="005631A4" w:rsidP="005631A4">
            <w:pPr>
              <w:spacing w:before="60" w:after="60"/>
              <w:jc w:val="center"/>
              <w:rPr>
                <w:sz w:val="16"/>
                <w:szCs w:val="16"/>
              </w:rPr>
            </w:pPr>
          </w:p>
        </w:tc>
        <w:tc>
          <w:tcPr>
            <w:tcW w:w="691" w:type="dxa"/>
            <w:shd w:val="clear" w:color="auto" w:fill="BDD6EE" w:themeFill="accent1" w:themeFillTint="66"/>
            <w:vAlign w:val="center"/>
          </w:tcPr>
          <w:p w14:paraId="5BB8189C" w14:textId="130603F6" w:rsidR="005631A4" w:rsidRPr="005631A4" w:rsidRDefault="005631A4" w:rsidP="005631A4">
            <w:pPr>
              <w:spacing w:before="60" w:after="60"/>
              <w:jc w:val="center"/>
              <w:rPr>
                <w:sz w:val="16"/>
                <w:szCs w:val="16"/>
              </w:rPr>
            </w:pPr>
          </w:p>
        </w:tc>
        <w:tc>
          <w:tcPr>
            <w:tcW w:w="691" w:type="dxa"/>
            <w:shd w:val="clear" w:color="auto" w:fill="BDD6EE" w:themeFill="accent1" w:themeFillTint="66"/>
            <w:vAlign w:val="center"/>
          </w:tcPr>
          <w:p w14:paraId="4094F941" w14:textId="68D2A78B" w:rsidR="005631A4" w:rsidRPr="005631A4" w:rsidRDefault="005631A4" w:rsidP="005631A4">
            <w:pPr>
              <w:spacing w:before="60" w:after="60"/>
              <w:jc w:val="center"/>
              <w:rPr>
                <w:sz w:val="16"/>
                <w:szCs w:val="16"/>
              </w:rPr>
            </w:pPr>
          </w:p>
        </w:tc>
        <w:tc>
          <w:tcPr>
            <w:tcW w:w="691" w:type="dxa"/>
            <w:shd w:val="clear" w:color="auto" w:fill="BDD6EE" w:themeFill="accent1" w:themeFillTint="66"/>
            <w:vAlign w:val="center"/>
          </w:tcPr>
          <w:p w14:paraId="2E2B11A0" w14:textId="74725BA8" w:rsidR="005631A4" w:rsidRPr="005631A4" w:rsidRDefault="005631A4" w:rsidP="005631A4">
            <w:pPr>
              <w:spacing w:before="60" w:after="60"/>
              <w:jc w:val="center"/>
              <w:rPr>
                <w:sz w:val="16"/>
                <w:szCs w:val="16"/>
              </w:rPr>
            </w:pPr>
          </w:p>
        </w:tc>
        <w:tc>
          <w:tcPr>
            <w:tcW w:w="666" w:type="dxa"/>
            <w:shd w:val="clear" w:color="auto" w:fill="BDD6EE" w:themeFill="accent1" w:themeFillTint="66"/>
          </w:tcPr>
          <w:p w14:paraId="454FE6E4" w14:textId="623325E7" w:rsidR="005631A4" w:rsidRPr="005631A4" w:rsidRDefault="005631A4" w:rsidP="005631A4">
            <w:pPr>
              <w:spacing w:before="60" w:after="60"/>
              <w:jc w:val="center"/>
              <w:rPr>
                <w:sz w:val="16"/>
                <w:szCs w:val="16"/>
              </w:rPr>
            </w:pPr>
          </w:p>
        </w:tc>
        <w:tc>
          <w:tcPr>
            <w:tcW w:w="693" w:type="dxa"/>
            <w:shd w:val="clear" w:color="auto" w:fill="BDD6EE" w:themeFill="accent1" w:themeFillTint="66"/>
          </w:tcPr>
          <w:p w14:paraId="25598269" w14:textId="5F420215" w:rsidR="005631A4" w:rsidRPr="005631A4" w:rsidRDefault="005631A4" w:rsidP="005631A4">
            <w:pPr>
              <w:spacing w:before="60" w:after="60"/>
              <w:jc w:val="center"/>
              <w:rPr>
                <w:sz w:val="16"/>
                <w:szCs w:val="16"/>
              </w:rPr>
            </w:pPr>
          </w:p>
        </w:tc>
        <w:tc>
          <w:tcPr>
            <w:tcW w:w="696" w:type="dxa"/>
            <w:shd w:val="clear" w:color="auto" w:fill="BDD6EE" w:themeFill="accent1" w:themeFillTint="66"/>
          </w:tcPr>
          <w:p w14:paraId="75ECB7DB" w14:textId="0256C071" w:rsidR="005631A4" w:rsidRPr="005631A4" w:rsidRDefault="005631A4" w:rsidP="005631A4">
            <w:pPr>
              <w:spacing w:before="60" w:after="60"/>
              <w:jc w:val="center"/>
              <w:rPr>
                <w:sz w:val="16"/>
                <w:szCs w:val="16"/>
              </w:rPr>
            </w:pPr>
          </w:p>
        </w:tc>
        <w:tc>
          <w:tcPr>
            <w:tcW w:w="695" w:type="dxa"/>
            <w:shd w:val="clear" w:color="auto" w:fill="BDD6EE" w:themeFill="accent1" w:themeFillTint="66"/>
          </w:tcPr>
          <w:p w14:paraId="155631DD" w14:textId="5521563D" w:rsidR="005631A4" w:rsidRPr="005631A4" w:rsidRDefault="005631A4" w:rsidP="005631A4">
            <w:pPr>
              <w:spacing w:before="60" w:after="60"/>
              <w:jc w:val="center"/>
              <w:rPr>
                <w:sz w:val="16"/>
                <w:szCs w:val="16"/>
              </w:rPr>
            </w:pPr>
          </w:p>
        </w:tc>
      </w:tr>
      <w:tr w:rsidR="005631A4" w:rsidRPr="005631A4" w14:paraId="26C2661F" w14:textId="77777777" w:rsidTr="005631A4">
        <w:trPr>
          <w:jc w:val="center"/>
        </w:trPr>
        <w:tc>
          <w:tcPr>
            <w:tcW w:w="1560" w:type="dxa"/>
            <w:shd w:val="clear" w:color="auto" w:fill="9CC2E5" w:themeFill="accent1" w:themeFillTint="99"/>
            <w:vAlign w:val="center"/>
          </w:tcPr>
          <w:p w14:paraId="3D014A3B" w14:textId="77777777" w:rsidR="005631A4" w:rsidRPr="005631A4" w:rsidRDefault="005631A4" w:rsidP="00CE3D48">
            <w:pPr>
              <w:spacing w:before="60" w:after="60"/>
              <w:jc w:val="center"/>
              <w:rPr>
                <w:b/>
                <w:bCs/>
              </w:rPr>
            </w:pPr>
            <w:r w:rsidRPr="005631A4">
              <w:rPr>
                <w:b/>
                <w:bCs/>
              </w:rPr>
              <w:t>Indykatywne źródła finansowania</w:t>
            </w:r>
          </w:p>
        </w:tc>
        <w:tc>
          <w:tcPr>
            <w:tcW w:w="8798" w:type="dxa"/>
            <w:gridSpan w:val="12"/>
            <w:shd w:val="clear" w:color="auto" w:fill="DEEAF6" w:themeFill="accent1" w:themeFillTint="33"/>
            <w:vAlign w:val="center"/>
          </w:tcPr>
          <w:p w14:paraId="47CFE355" w14:textId="77777777" w:rsidR="005B77E7" w:rsidRDefault="005631A4" w:rsidP="005B77E7">
            <w:pPr>
              <w:numPr>
                <w:ilvl w:val="0"/>
                <w:numId w:val="40"/>
              </w:numPr>
              <w:ind w:left="448" w:hanging="448"/>
              <w:jc w:val="both"/>
            </w:pPr>
            <w:r w:rsidRPr="005631A4">
              <w:t xml:space="preserve">Środki NPZ </w:t>
            </w:r>
          </w:p>
          <w:p w14:paraId="3AFD696E" w14:textId="4B74AB39" w:rsidR="005631A4" w:rsidRPr="005B77E7" w:rsidRDefault="005B77E7" w:rsidP="005B77E7">
            <w:pPr>
              <w:numPr>
                <w:ilvl w:val="0"/>
                <w:numId w:val="40"/>
              </w:numPr>
              <w:ind w:left="448" w:hanging="448"/>
              <w:jc w:val="both"/>
            </w:pPr>
            <w:r w:rsidRPr="005B77E7">
              <w:t>Finansowanie ze środków Europejskich</w:t>
            </w:r>
          </w:p>
        </w:tc>
      </w:tr>
      <w:tr w:rsidR="005631A4" w:rsidRPr="005631A4" w14:paraId="573AD938" w14:textId="77777777" w:rsidTr="005631A4">
        <w:trPr>
          <w:trHeight w:val="518"/>
          <w:jc w:val="center"/>
        </w:trPr>
        <w:tc>
          <w:tcPr>
            <w:tcW w:w="1560" w:type="dxa"/>
            <w:shd w:val="clear" w:color="auto" w:fill="9CC2E5" w:themeFill="accent1" w:themeFillTint="99"/>
            <w:vAlign w:val="center"/>
          </w:tcPr>
          <w:p w14:paraId="0AD47FD8" w14:textId="77777777" w:rsidR="005631A4" w:rsidRPr="005631A4" w:rsidRDefault="005631A4" w:rsidP="00CE3D48">
            <w:pPr>
              <w:spacing w:before="60" w:after="60"/>
              <w:jc w:val="center"/>
              <w:rPr>
                <w:b/>
                <w:bCs/>
              </w:rPr>
            </w:pPr>
            <w:r w:rsidRPr="005631A4">
              <w:rPr>
                <w:b/>
                <w:bCs/>
              </w:rPr>
              <w:t>Koordynacja</w:t>
            </w:r>
          </w:p>
        </w:tc>
        <w:tc>
          <w:tcPr>
            <w:tcW w:w="8798" w:type="dxa"/>
            <w:gridSpan w:val="12"/>
            <w:shd w:val="clear" w:color="auto" w:fill="DEEAF6" w:themeFill="accent1" w:themeFillTint="33"/>
            <w:vAlign w:val="center"/>
          </w:tcPr>
          <w:p w14:paraId="15392703" w14:textId="77777777" w:rsidR="005631A4" w:rsidRPr="005631A4" w:rsidRDefault="005631A4" w:rsidP="00A545BB">
            <w:pPr>
              <w:numPr>
                <w:ilvl w:val="1"/>
                <w:numId w:val="39"/>
              </w:numPr>
              <w:ind w:left="448" w:hanging="426"/>
              <w:jc w:val="both"/>
            </w:pPr>
            <w:r w:rsidRPr="005631A4">
              <w:t>MZ</w:t>
            </w:r>
          </w:p>
          <w:p w14:paraId="4C9A51A4" w14:textId="77777777" w:rsidR="005631A4" w:rsidRPr="005631A4" w:rsidRDefault="005631A4" w:rsidP="00A545BB">
            <w:pPr>
              <w:numPr>
                <w:ilvl w:val="1"/>
                <w:numId w:val="39"/>
              </w:numPr>
              <w:ind w:left="448" w:hanging="426"/>
              <w:jc w:val="both"/>
            </w:pPr>
            <w:r w:rsidRPr="005631A4">
              <w:t>IZ RPO, MZ</w:t>
            </w:r>
          </w:p>
        </w:tc>
      </w:tr>
    </w:tbl>
    <w:p w14:paraId="4472B36F" w14:textId="0B4D7A77" w:rsidR="00D36EA7" w:rsidRDefault="00D36EA7" w:rsidP="00D36EA7">
      <w:pPr>
        <w:keepNext/>
        <w:keepLines/>
        <w:spacing w:before="240" w:after="120"/>
        <w:jc w:val="both"/>
        <w:outlineLvl w:val="4"/>
        <w:rPr>
          <w:rFonts w:asciiTheme="majorHAnsi" w:eastAsiaTheme="majorEastAsia" w:hAnsiTheme="majorHAnsi" w:cstheme="majorBidi"/>
          <w:i/>
          <w:color w:val="2E74B5" w:themeColor="accent1" w:themeShade="BF"/>
          <w:sz w:val="23"/>
        </w:rPr>
      </w:pPr>
      <w:bookmarkStart w:id="21" w:name="_Hlk40096178"/>
      <w:r w:rsidRPr="005631A4">
        <w:rPr>
          <w:rFonts w:asciiTheme="majorHAnsi" w:eastAsiaTheme="majorEastAsia" w:hAnsiTheme="majorHAnsi" w:cstheme="majorBidi"/>
          <w:i/>
          <w:color w:val="2E74B5" w:themeColor="accent1" w:themeShade="BF"/>
          <w:sz w:val="23"/>
        </w:rPr>
        <w:t xml:space="preserve">Rezultat </w:t>
      </w:r>
      <w:r>
        <w:rPr>
          <w:rFonts w:asciiTheme="majorHAnsi" w:eastAsiaTheme="majorEastAsia" w:hAnsiTheme="majorHAnsi" w:cstheme="majorBidi"/>
          <w:i/>
          <w:color w:val="2E74B5" w:themeColor="accent1" w:themeShade="BF"/>
          <w:sz w:val="23"/>
        </w:rPr>
        <w:t>2</w:t>
      </w:r>
    </w:p>
    <w:p w14:paraId="172AD9DC" w14:textId="5DE1C822" w:rsidR="00D36EA7" w:rsidRPr="005631A4" w:rsidRDefault="00D36EA7" w:rsidP="00D36EA7">
      <w:pPr>
        <w:keepNext/>
        <w:keepLines/>
        <w:shd w:val="clear" w:color="auto" w:fill="BDD6EE" w:themeFill="accent1" w:themeFillTint="66"/>
        <w:spacing w:before="180" w:after="120"/>
        <w:ind w:left="284"/>
        <w:jc w:val="both"/>
        <w:outlineLvl w:val="5"/>
        <w:rPr>
          <w:rFonts w:eastAsia="Times New Roman" w:cstheme="majorBidi"/>
          <w:b/>
        </w:rPr>
      </w:pPr>
      <w:r w:rsidRPr="005631A4">
        <w:rPr>
          <w:rFonts w:ascii="Calibri" w:eastAsia="Calibri" w:hAnsi="Calibri" w:cs="F"/>
          <w:b/>
          <w:bCs/>
        </w:rPr>
        <w:t xml:space="preserve">Poprawa stanu psychicznego i umiejętności radzenia sobie z rolą opiekuna u opiekunów nieformalnych osób starszych i </w:t>
      </w:r>
      <w:r w:rsidR="009E373B">
        <w:rPr>
          <w:rFonts w:ascii="Calibri" w:eastAsia="Calibri" w:hAnsi="Calibri" w:cs="F"/>
          <w:b/>
          <w:bCs/>
        </w:rPr>
        <w:t>wymagających wsparcia w codziennym funkcjonowaniu</w:t>
      </w:r>
      <w:r w:rsidRPr="005631A4">
        <w:rPr>
          <w:rFonts w:ascii="Calibri" w:eastAsia="Calibri" w:hAnsi="Calibri" w:cs="F"/>
          <w:b/>
          <w:bCs/>
        </w:rPr>
        <w:t>,</w:t>
      </w:r>
      <w:r w:rsidRPr="005631A4">
        <w:rPr>
          <w:rFonts w:ascii="Calibri" w:eastAsia="Times New Roman" w:hAnsi="Calibri" w:cs="F"/>
          <w:b/>
          <w:bCs/>
        </w:rPr>
        <w:t xml:space="preserve"> w tym osób chorych na demencję</w:t>
      </w:r>
      <w:r w:rsidRPr="005631A4">
        <w:rPr>
          <w:rFonts w:eastAsiaTheme="majorEastAsia" w:cstheme="majorBidi"/>
          <w:b/>
        </w:rPr>
        <w:t xml:space="preserve"> – do końca 2030 r.</w:t>
      </w:r>
    </w:p>
    <w:p w14:paraId="5A631472" w14:textId="77777777" w:rsidR="005631A4" w:rsidRPr="005631A4" w:rsidRDefault="005631A4" w:rsidP="005631A4">
      <w:pPr>
        <w:keepNext/>
        <w:keepLines/>
        <w:spacing w:before="240" w:after="120"/>
        <w:jc w:val="both"/>
        <w:outlineLvl w:val="4"/>
        <w:rPr>
          <w:rFonts w:asciiTheme="majorHAnsi" w:eastAsiaTheme="majorEastAsia" w:hAnsiTheme="majorHAnsi" w:cstheme="majorBidi"/>
          <w:i/>
          <w:color w:val="2E74B5" w:themeColor="accent1" w:themeShade="BF"/>
          <w:sz w:val="23"/>
        </w:rPr>
      </w:pPr>
      <w:r w:rsidRPr="005631A4">
        <w:rPr>
          <w:rFonts w:asciiTheme="majorHAnsi" w:eastAsiaTheme="majorEastAsia" w:hAnsiTheme="majorHAnsi" w:cstheme="majorBidi"/>
          <w:i/>
          <w:color w:val="2E74B5" w:themeColor="accent1" w:themeShade="BF"/>
          <w:sz w:val="23"/>
        </w:rPr>
        <w:t>Działania</w:t>
      </w:r>
    </w:p>
    <w:p w14:paraId="26143727" w14:textId="39C795D8" w:rsidR="005631A4" w:rsidRPr="005631A4" w:rsidRDefault="005631A4" w:rsidP="005631A4">
      <w:pPr>
        <w:keepNext/>
        <w:keepLines/>
        <w:numPr>
          <w:ilvl w:val="0"/>
          <w:numId w:val="49"/>
        </w:numPr>
        <w:shd w:val="clear" w:color="auto" w:fill="DEEAF6" w:themeFill="accent1" w:themeFillTint="33"/>
        <w:spacing w:before="180" w:after="120"/>
        <w:ind w:left="567" w:hanging="283"/>
        <w:jc w:val="both"/>
        <w:outlineLvl w:val="5"/>
        <w:rPr>
          <w:rFonts w:eastAsiaTheme="majorEastAsia" w:cstheme="majorBidi"/>
          <w:b/>
        </w:rPr>
      </w:pPr>
      <w:r w:rsidRPr="005631A4">
        <w:rPr>
          <w:rFonts w:eastAsiaTheme="majorEastAsia" w:cstheme="majorBidi"/>
          <w:b/>
        </w:rPr>
        <w:t>Opracowanie założeń pilotażu wsparcia psychologicznego dla opiekunów osób starszych i </w:t>
      </w:r>
      <w:r w:rsidR="009E373B">
        <w:rPr>
          <w:rFonts w:ascii="Calibri" w:eastAsia="Calibri" w:hAnsi="Calibri" w:cs="F"/>
          <w:b/>
          <w:bCs/>
        </w:rPr>
        <w:t>wymagających wsparcia w codziennym funkcjonowaniu</w:t>
      </w:r>
      <w:r w:rsidRPr="005631A4">
        <w:rPr>
          <w:rFonts w:eastAsiaTheme="majorEastAsia" w:cstheme="majorBidi"/>
          <w:b/>
        </w:rPr>
        <w:t xml:space="preserve"> – do końca 2022 r.</w:t>
      </w:r>
    </w:p>
    <w:p w14:paraId="70948F8F" w14:textId="11821C4E" w:rsidR="005631A4" w:rsidRPr="005631A4" w:rsidRDefault="005E4EC9" w:rsidP="005631A4">
      <w:pPr>
        <w:suppressAutoHyphens/>
        <w:autoSpaceDN w:val="0"/>
        <w:spacing w:after="120"/>
        <w:ind w:left="567"/>
        <w:jc w:val="both"/>
        <w:textAlignment w:val="baseline"/>
        <w:rPr>
          <w:rFonts w:ascii="Calibri" w:eastAsia="Times New Roman" w:hAnsi="Calibri" w:cs="F"/>
        </w:rPr>
      </w:pPr>
      <w:r>
        <w:rPr>
          <w:rFonts w:ascii="Calibri" w:eastAsia="Times New Roman" w:hAnsi="Calibri" w:cs="F"/>
        </w:rPr>
        <w:t>W</w:t>
      </w:r>
      <w:r w:rsidR="005631A4" w:rsidRPr="005631A4">
        <w:rPr>
          <w:rFonts w:ascii="Calibri" w:eastAsia="Times New Roman" w:hAnsi="Calibri" w:cs="F"/>
        </w:rPr>
        <w:t xml:space="preserve"> cel</w:t>
      </w:r>
      <w:r>
        <w:rPr>
          <w:rFonts w:ascii="Calibri" w:eastAsia="Times New Roman" w:hAnsi="Calibri" w:cs="F"/>
        </w:rPr>
        <w:t>u</w:t>
      </w:r>
      <w:r w:rsidR="005631A4" w:rsidRPr="005631A4">
        <w:rPr>
          <w:rFonts w:ascii="Calibri" w:eastAsia="Times New Roman" w:hAnsi="Calibri" w:cs="F"/>
        </w:rPr>
        <w:t xml:space="preserve"> przeprowadzenia pilotażu wsparcia psychologicznego </w:t>
      </w:r>
      <w:r>
        <w:rPr>
          <w:rFonts w:ascii="Calibri" w:eastAsia="Times New Roman" w:hAnsi="Calibri" w:cs="F"/>
        </w:rPr>
        <w:t>skierowanego do</w:t>
      </w:r>
      <w:r w:rsidR="005631A4" w:rsidRPr="005631A4">
        <w:rPr>
          <w:rFonts w:ascii="Calibri" w:eastAsia="Times New Roman" w:hAnsi="Calibri" w:cs="F"/>
        </w:rPr>
        <w:t xml:space="preserve"> opiekunów nieformalnych planuje się opracowanie założeń realizacji poszczególnych działań w tym zakresie</w:t>
      </w:r>
      <w:r w:rsidRPr="005E4EC9">
        <w:rPr>
          <w:rFonts w:ascii="Calibri" w:eastAsia="Times New Roman" w:hAnsi="Calibri" w:cs="F"/>
        </w:rPr>
        <w:t xml:space="preserve"> </w:t>
      </w:r>
      <w:r w:rsidRPr="005631A4">
        <w:rPr>
          <w:rFonts w:ascii="Calibri" w:eastAsia="Times New Roman" w:hAnsi="Calibri" w:cs="F"/>
        </w:rPr>
        <w:t>przez wybranych ekspertów</w:t>
      </w:r>
      <w:r w:rsidR="005631A4" w:rsidRPr="005631A4">
        <w:rPr>
          <w:rFonts w:ascii="Calibri" w:eastAsia="Times New Roman" w:hAnsi="Calibri" w:cs="F"/>
        </w:rPr>
        <w:t>.</w:t>
      </w:r>
    </w:p>
    <w:p w14:paraId="0E544A3A" w14:textId="7CAB374F" w:rsidR="005631A4" w:rsidRPr="005631A4" w:rsidRDefault="005631A4" w:rsidP="005631A4">
      <w:pPr>
        <w:keepNext/>
        <w:keepLines/>
        <w:numPr>
          <w:ilvl w:val="0"/>
          <w:numId w:val="49"/>
        </w:numPr>
        <w:shd w:val="clear" w:color="auto" w:fill="DEEAF6" w:themeFill="accent1" w:themeFillTint="33"/>
        <w:spacing w:before="180" w:after="120"/>
        <w:ind w:left="567" w:hanging="283"/>
        <w:jc w:val="both"/>
        <w:outlineLvl w:val="5"/>
        <w:rPr>
          <w:rFonts w:eastAsiaTheme="majorEastAsia" w:cstheme="majorBidi"/>
          <w:b/>
        </w:rPr>
      </w:pPr>
      <w:bookmarkStart w:id="22" w:name="_Hlk40096593"/>
      <w:bookmarkEnd w:id="21"/>
      <w:r w:rsidRPr="005631A4">
        <w:rPr>
          <w:rFonts w:eastAsiaTheme="majorEastAsia" w:cstheme="majorBidi"/>
          <w:b/>
        </w:rPr>
        <w:t xml:space="preserve">Przeprowadzenie pilotażu wsparcia psychologicznego w postaci sesji wsparcia psychospołecznego dla co najmniej </w:t>
      </w:r>
      <w:r w:rsidR="00BA0928">
        <w:rPr>
          <w:rFonts w:eastAsiaTheme="majorEastAsia" w:cstheme="majorBidi"/>
          <w:b/>
        </w:rPr>
        <w:t>3</w:t>
      </w:r>
      <w:r w:rsidRPr="005631A4">
        <w:rPr>
          <w:rFonts w:eastAsiaTheme="majorEastAsia" w:cstheme="majorBidi"/>
          <w:b/>
        </w:rPr>
        <w:t xml:space="preserve"> 000 opiekunów osób starszych i </w:t>
      </w:r>
      <w:r w:rsidR="009E373B">
        <w:rPr>
          <w:rFonts w:ascii="Calibri" w:eastAsia="Calibri" w:hAnsi="Calibri" w:cs="F"/>
          <w:b/>
          <w:bCs/>
        </w:rPr>
        <w:t>wymagających wsparcia w codziennym funkcjonowaniu</w:t>
      </w:r>
      <w:r w:rsidRPr="005631A4">
        <w:rPr>
          <w:rFonts w:eastAsiaTheme="majorEastAsia" w:cstheme="majorBidi"/>
          <w:b/>
        </w:rPr>
        <w:t xml:space="preserve"> – do końca 2025 r.</w:t>
      </w:r>
    </w:p>
    <w:p w14:paraId="52B04E7D" w14:textId="425A5E13" w:rsidR="005631A4" w:rsidRPr="005631A4" w:rsidRDefault="005631A4" w:rsidP="005631A4">
      <w:pPr>
        <w:suppressAutoHyphens/>
        <w:autoSpaceDN w:val="0"/>
        <w:spacing w:after="120"/>
        <w:ind w:left="567"/>
        <w:jc w:val="both"/>
        <w:textAlignment w:val="baseline"/>
        <w:rPr>
          <w:rFonts w:ascii="Calibri" w:eastAsia="Times New Roman" w:hAnsi="Calibri" w:cs="F"/>
        </w:rPr>
      </w:pPr>
      <w:bookmarkStart w:id="23" w:name="_Hlk40096762"/>
      <w:bookmarkEnd w:id="22"/>
      <w:r w:rsidRPr="005631A4">
        <w:rPr>
          <w:rFonts w:ascii="Calibri" w:eastAsia="Calibri" w:hAnsi="Calibri" w:cs="F"/>
        </w:rPr>
        <w:t xml:space="preserve">Sesje wsparcia psychospołecznego dla opiekunów nieformalnych osób starszych i </w:t>
      </w:r>
      <w:r w:rsidR="00D20CEC" w:rsidRPr="00D20CEC">
        <w:rPr>
          <w:rFonts w:ascii="Calibri" w:eastAsia="Calibri" w:hAnsi="Calibri" w:cs="F"/>
        </w:rPr>
        <w:t>wymagających wsparcia w codziennym funkcjonowaniu</w:t>
      </w:r>
      <w:r w:rsidRPr="005631A4">
        <w:rPr>
          <w:rFonts w:ascii="Calibri" w:eastAsia="Calibri" w:hAnsi="Calibri" w:cs="F"/>
        </w:rPr>
        <w:t xml:space="preserve">, w tym osób chorych na demencję i inne choroby uniemożliwiające samoopiekę i samopielęgnację (np. osoby w terminalnej fazie choroby), zostaną pilotażowo wdrożone przez wybrane podmioty na terenie kraju zgodne z opracowaną </w:t>
      </w:r>
      <w:r w:rsidRPr="005631A4">
        <w:rPr>
          <w:rFonts w:ascii="Calibri" w:eastAsia="Calibri" w:hAnsi="Calibri" w:cs="F"/>
        </w:rPr>
        <w:lastRenderedPageBreak/>
        <w:t>formułą wsparcia psychologicznego. Działanie takie pozwoli na ocenę skuteczności proponowanych rozwiązań i możliwości ich wdrożenia na szerszą skalę.</w:t>
      </w:r>
    </w:p>
    <w:p w14:paraId="50BFECD2" w14:textId="77777777" w:rsidR="005631A4" w:rsidRPr="005631A4" w:rsidRDefault="005631A4" w:rsidP="005631A4">
      <w:pPr>
        <w:keepNext/>
        <w:keepLines/>
        <w:numPr>
          <w:ilvl w:val="0"/>
          <w:numId w:val="49"/>
        </w:numPr>
        <w:shd w:val="clear" w:color="auto" w:fill="DEEAF6" w:themeFill="accent1" w:themeFillTint="33"/>
        <w:spacing w:before="180" w:after="120"/>
        <w:ind w:left="567" w:hanging="283"/>
        <w:jc w:val="both"/>
        <w:outlineLvl w:val="5"/>
        <w:rPr>
          <w:rFonts w:eastAsiaTheme="majorEastAsia" w:cstheme="majorBidi"/>
          <w:b/>
          <w:bCs/>
        </w:rPr>
      </w:pPr>
      <w:bookmarkStart w:id="24" w:name="_Hlk40096605"/>
      <w:bookmarkEnd w:id="23"/>
      <w:r w:rsidRPr="005631A4">
        <w:rPr>
          <w:rFonts w:eastAsiaTheme="majorEastAsia" w:cstheme="majorBidi"/>
          <w:b/>
          <w:bCs/>
        </w:rPr>
        <w:t xml:space="preserve">Ewaluacja rezultatów </w:t>
      </w:r>
      <w:r w:rsidRPr="005631A4">
        <w:rPr>
          <w:rFonts w:eastAsiaTheme="majorEastAsia" w:cstheme="majorBidi"/>
          <w:b/>
          <w:bCs/>
          <w:lang w:eastAsia="pl-PL"/>
        </w:rPr>
        <w:t>przeprowadzonego pilotażu i analiza możliwości włączenia przetestowanych rozwiązań do systemu świadczeń gwarantowanych – do końca 2026 r.</w:t>
      </w:r>
    </w:p>
    <w:p w14:paraId="6DED2534" w14:textId="77777777" w:rsidR="005631A4" w:rsidRPr="005631A4" w:rsidRDefault="005631A4" w:rsidP="005631A4">
      <w:pPr>
        <w:suppressAutoHyphens/>
        <w:autoSpaceDN w:val="0"/>
        <w:spacing w:after="120"/>
        <w:ind w:left="567"/>
        <w:jc w:val="both"/>
        <w:textAlignment w:val="baseline"/>
        <w:rPr>
          <w:rFonts w:ascii="Calibri" w:eastAsia="Calibri" w:hAnsi="Calibri" w:cs="F"/>
        </w:rPr>
      </w:pPr>
      <w:bookmarkStart w:id="25" w:name="_Hlk40096776"/>
      <w:bookmarkEnd w:id="24"/>
      <w:r w:rsidRPr="005631A4">
        <w:rPr>
          <w:rFonts w:ascii="Calibri" w:eastAsia="Calibri" w:hAnsi="Calibri" w:cs="F"/>
        </w:rPr>
        <w:t>Wdrożenia pilotażowe mają zostać poddane ewaluacji oraz ocenie, czy zastosowane formy wsparcia mogą kwalifikować się do dofinansowania ze środków publicznych, tj. czy cechuje je wystarczająca efektywność i skuteczność.</w:t>
      </w:r>
    </w:p>
    <w:p w14:paraId="3DB931D4" w14:textId="1FD7C4E3" w:rsidR="005631A4" w:rsidRPr="005631A4" w:rsidRDefault="005631A4" w:rsidP="005631A4">
      <w:pPr>
        <w:keepNext/>
        <w:keepLines/>
        <w:numPr>
          <w:ilvl w:val="0"/>
          <w:numId w:val="49"/>
        </w:numPr>
        <w:shd w:val="clear" w:color="auto" w:fill="DEEAF6" w:themeFill="accent1" w:themeFillTint="33"/>
        <w:spacing w:before="180" w:after="120"/>
        <w:ind w:left="567" w:hanging="283"/>
        <w:jc w:val="both"/>
        <w:outlineLvl w:val="5"/>
        <w:rPr>
          <w:rFonts w:eastAsiaTheme="majorEastAsia" w:cstheme="majorBidi"/>
          <w:b/>
        </w:rPr>
      </w:pPr>
      <w:bookmarkStart w:id="26" w:name="_Hlk40096616"/>
      <w:bookmarkEnd w:id="25"/>
      <w:r w:rsidRPr="005631A4">
        <w:rPr>
          <w:rFonts w:eastAsiaTheme="majorEastAsia" w:cstheme="majorBidi"/>
          <w:b/>
        </w:rPr>
        <w:t xml:space="preserve">Włączenie pozytywnie zwalidowanych form wsparcia psychologicznego dla opiekunów nieformalnych osób starszych i </w:t>
      </w:r>
      <w:r w:rsidR="009E373B">
        <w:rPr>
          <w:rFonts w:ascii="Calibri" w:eastAsia="Calibri" w:hAnsi="Calibri" w:cs="F"/>
          <w:b/>
          <w:bCs/>
        </w:rPr>
        <w:t>wymagających wsparcia w codziennym funkcjonowaniu</w:t>
      </w:r>
      <w:r w:rsidRPr="005631A4">
        <w:rPr>
          <w:rFonts w:eastAsiaTheme="majorEastAsia" w:cstheme="majorBidi"/>
          <w:b/>
        </w:rPr>
        <w:t xml:space="preserve"> do systemu świadczeń gwarantowanych – do końca 2030 r.</w:t>
      </w:r>
    </w:p>
    <w:p w14:paraId="04B96843" w14:textId="77777777" w:rsidR="005631A4" w:rsidRPr="005631A4" w:rsidRDefault="005631A4" w:rsidP="005631A4">
      <w:pPr>
        <w:suppressAutoHyphens/>
        <w:autoSpaceDN w:val="0"/>
        <w:spacing w:after="240"/>
        <w:ind w:left="567"/>
        <w:jc w:val="both"/>
        <w:textAlignment w:val="baseline"/>
        <w:rPr>
          <w:rFonts w:ascii="Calibri" w:eastAsia="Calibri" w:hAnsi="Calibri" w:cs="F"/>
        </w:rPr>
      </w:pPr>
      <w:bookmarkStart w:id="27" w:name="_Hlk40096795"/>
      <w:bookmarkEnd w:id="26"/>
      <w:r w:rsidRPr="005631A4">
        <w:rPr>
          <w:rFonts w:ascii="Calibri" w:eastAsia="Calibri" w:hAnsi="Calibri" w:cs="F"/>
        </w:rPr>
        <w:t>Realizacja poradnictwa psychologicznego dla opiekunów nieformalnych (z naciskiem na terapie grupowe), ukierunkowanego na poprawę ogólnego stanu psychicznego, nabycie umiejętności radzenia sobie z łączeniem życia rodzinnego, społecznego i zawodowego ze sprawowaną opieką – do końca 2030 r.</w:t>
      </w:r>
    </w:p>
    <w:tbl>
      <w:tblPr>
        <w:tblStyle w:val="Tabela-Siatka"/>
        <w:tblW w:w="10358"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555"/>
        <w:gridCol w:w="1144"/>
        <w:gridCol w:w="709"/>
        <w:gridCol w:w="709"/>
        <w:gridCol w:w="727"/>
        <w:gridCol w:w="691"/>
        <w:gridCol w:w="691"/>
        <w:gridCol w:w="691"/>
        <w:gridCol w:w="691"/>
        <w:gridCol w:w="666"/>
        <w:gridCol w:w="693"/>
        <w:gridCol w:w="696"/>
        <w:gridCol w:w="695"/>
      </w:tblGrid>
      <w:tr w:rsidR="005631A4" w:rsidRPr="005631A4" w14:paraId="023C1013" w14:textId="77777777" w:rsidTr="005631A4">
        <w:trPr>
          <w:jc w:val="center"/>
        </w:trPr>
        <w:tc>
          <w:tcPr>
            <w:tcW w:w="10358" w:type="dxa"/>
            <w:gridSpan w:val="13"/>
            <w:shd w:val="clear" w:color="auto" w:fill="65A2D9"/>
            <w:vAlign w:val="center"/>
          </w:tcPr>
          <w:p w14:paraId="57E18870" w14:textId="77777777" w:rsidR="005631A4" w:rsidRPr="005631A4" w:rsidRDefault="005631A4" w:rsidP="005631A4">
            <w:pPr>
              <w:spacing w:before="60" w:after="60"/>
              <w:jc w:val="both"/>
              <w:rPr>
                <w:b/>
                <w:bCs/>
              </w:rPr>
            </w:pPr>
            <w:bookmarkStart w:id="28" w:name="_Hlk40096808"/>
            <w:bookmarkEnd w:id="27"/>
            <w:r w:rsidRPr="005631A4">
              <w:rPr>
                <w:b/>
                <w:bCs/>
                <w:sz w:val="24"/>
                <w:szCs w:val="24"/>
              </w:rPr>
              <w:t>REZULTAT 2</w:t>
            </w:r>
          </w:p>
        </w:tc>
      </w:tr>
      <w:tr w:rsidR="005631A4" w:rsidRPr="005631A4" w14:paraId="296290E1" w14:textId="77777777" w:rsidTr="005631A4">
        <w:trPr>
          <w:jc w:val="center"/>
        </w:trPr>
        <w:tc>
          <w:tcPr>
            <w:tcW w:w="1555" w:type="dxa"/>
            <w:vMerge w:val="restart"/>
            <w:shd w:val="clear" w:color="auto" w:fill="9CC2E5" w:themeFill="accent1" w:themeFillTint="99"/>
            <w:vAlign w:val="center"/>
          </w:tcPr>
          <w:p w14:paraId="55416525" w14:textId="77777777" w:rsidR="005631A4" w:rsidRPr="005631A4" w:rsidRDefault="005631A4" w:rsidP="00CE3D48">
            <w:pPr>
              <w:spacing w:before="60" w:after="60"/>
              <w:jc w:val="center"/>
              <w:rPr>
                <w:b/>
                <w:bCs/>
              </w:rPr>
            </w:pPr>
            <w:r w:rsidRPr="005631A4">
              <w:rPr>
                <w:b/>
                <w:bCs/>
              </w:rPr>
              <w:t>Termin realizacji działań</w:t>
            </w:r>
          </w:p>
        </w:tc>
        <w:tc>
          <w:tcPr>
            <w:tcW w:w="1144" w:type="dxa"/>
            <w:shd w:val="clear" w:color="auto" w:fill="9CC2E5" w:themeFill="accent1" w:themeFillTint="99"/>
            <w:vAlign w:val="center"/>
          </w:tcPr>
          <w:p w14:paraId="48D217C8" w14:textId="77777777" w:rsidR="005631A4" w:rsidRPr="005631A4" w:rsidRDefault="005631A4" w:rsidP="005631A4">
            <w:pPr>
              <w:spacing w:before="60" w:after="60"/>
              <w:jc w:val="center"/>
            </w:pPr>
            <w:r w:rsidRPr="005631A4">
              <w:t>Nr działania</w:t>
            </w:r>
          </w:p>
        </w:tc>
        <w:tc>
          <w:tcPr>
            <w:tcW w:w="709" w:type="dxa"/>
            <w:shd w:val="clear" w:color="auto" w:fill="9CC2E5" w:themeFill="accent1" w:themeFillTint="99"/>
            <w:vAlign w:val="center"/>
          </w:tcPr>
          <w:p w14:paraId="3EE72E3F" w14:textId="77777777" w:rsidR="005631A4" w:rsidRPr="005631A4" w:rsidRDefault="005631A4" w:rsidP="005631A4">
            <w:pPr>
              <w:spacing w:before="60" w:after="60"/>
              <w:jc w:val="both"/>
            </w:pPr>
            <w:r w:rsidRPr="005631A4">
              <w:t>2020</w:t>
            </w:r>
          </w:p>
        </w:tc>
        <w:tc>
          <w:tcPr>
            <w:tcW w:w="709" w:type="dxa"/>
            <w:shd w:val="clear" w:color="auto" w:fill="9CC2E5" w:themeFill="accent1" w:themeFillTint="99"/>
            <w:vAlign w:val="center"/>
          </w:tcPr>
          <w:p w14:paraId="45E5F184" w14:textId="77777777" w:rsidR="005631A4" w:rsidRPr="005631A4" w:rsidRDefault="005631A4" w:rsidP="005631A4">
            <w:pPr>
              <w:spacing w:before="60" w:after="60"/>
              <w:jc w:val="both"/>
            </w:pPr>
            <w:r w:rsidRPr="005631A4">
              <w:t>2021</w:t>
            </w:r>
          </w:p>
        </w:tc>
        <w:tc>
          <w:tcPr>
            <w:tcW w:w="727" w:type="dxa"/>
            <w:shd w:val="clear" w:color="auto" w:fill="9CC2E5" w:themeFill="accent1" w:themeFillTint="99"/>
            <w:vAlign w:val="center"/>
          </w:tcPr>
          <w:p w14:paraId="216F2B7F" w14:textId="77777777" w:rsidR="005631A4" w:rsidRPr="005631A4" w:rsidRDefault="005631A4" w:rsidP="005631A4">
            <w:pPr>
              <w:spacing w:before="60" w:after="60"/>
              <w:jc w:val="both"/>
            </w:pPr>
            <w:r w:rsidRPr="005631A4">
              <w:t>2022</w:t>
            </w:r>
          </w:p>
        </w:tc>
        <w:tc>
          <w:tcPr>
            <w:tcW w:w="691" w:type="dxa"/>
            <w:shd w:val="clear" w:color="auto" w:fill="9CC2E5" w:themeFill="accent1" w:themeFillTint="99"/>
            <w:vAlign w:val="center"/>
          </w:tcPr>
          <w:p w14:paraId="40E4791C" w14:textId="77777777" w:rsidR="005631A4" w:rsidRPr="005631A4" w:rsidRDefault="005631A4" w:rsidP="005631A4">
            <w:pPr>
              <w:spacing w:before="60" w:after="60"/>
              <w:jc w:val="both"/>
            </w:pPr>
            <w:r w:rsidRPr="005631A4">
              <w:t>2023</w:t>
            </w:r>
          </w:p>
        </w:tc>
        <w:tc>
          <w:tcPr>
            <w:tcW w:w="691" w:type="dxa"/>
            <w:shd w:val="clear" w:color="auto" w:fill="9CC2E5" w:themeFill="accent1" w:themeFillTint="99"/>
            <w:vAlign w:val="center"/>
          </w:tcPr>
          <w:p w14:paraId="1806F613" w14:textId="77777777" w:rsidR="005631A4" w:rsidRPr="005631A4" w:rsidRDefault="005631A4" w:rsidP="005631A4">
            <w:pPr>
              <w:spacing w:before="60" w:after="60"/>
              <w:jc w:val="both"/>
            </w:pPr>
            <w:r w:rsidRPr="005631A4">
              <w:t>2024</w:t>
            </w:r>
          </w:p>
        </w:tc>
        <w:tc>
          <w:tcPr>
            <w:tcW w:w="691" w:type="dxa"/>
            <w:shd w:val="clear" w:color="auto" w:fill="9CC2E5" w:themeFill="accent1" w:themeFillTint="99"/>
            <w:vAlign w:val="center"/>
          </w:tcPr>
          <w:p w14:paraId="5E1AF4A4" w14:textId="77777777" w:rsidR="005631A4" w:rsidRPr="005631A4" w:rsidRDefault="005631A4" w:rsidP="005631A4">
            <w:pPr>
              <w:spacing w:before="60" w:after="60"/>
              <w:jc w:val="both"/>
            </w:pPr>
            <w:r w:rsidRPr="005631A4">
              <w:t>2025</w:t>
            </w:r>
          </w:p>
        </w:tc>
        <w:tc>
          <w:tcPr>
            <w:tcW w:w="691" w:type="dxa"/>
            <w:shd w:val="clear" w:color="auto" w:fill="9CC2E5" w:themeFill="accent1" w:themeFillTint="99"/>
            <w:vAlign w:val="center"/>
          </w:tcPr>
          <w:p w14:paraId="4B282B31" w14:textId="77777777" w:rsidR="005631A4" w:rsidRPr="005631A4" w:rsidRDefault="005631A4" w:rsidP="005631A4">
            <w:pPr>
              <w:spacing w:before="60" w:after="60"/>
              <w:jc w:val="both"/>
            </w:pPr>
            <w:r w:rsidRPr="005631A4">
              <w:t>2026</w:t>
            </w:r>
          </w:p>
        </w:tc>
        <w:tc>
          <w:tcPr>
            <w:tcW w:w="666" w:type="dxa"/>
            <w:shd w:val="clear" w:color="auto" w:fill="9CC2E5" w:themeFill="accent1" w:themeFillTint="99"/>
            <w:vAlign w:val="center"/>
          </w:tcPr>
          <w:p w14:paraId="5F0DDB0E" w14:textId="77777777" w:rsidR="005631A4" w:rsidRPr="005631A4" w:rsidRDefault="005631A4" w:rsidP="005631A4">
            <w:pPr>
              <w:spacing w:before="60" w:after="60"/>
              <w:jc w:val="both"/>
            </w:pPr>
            <w:r w:rsidRPr="005631A4">
              <w:t>2027</w:t>
            </w:r>
          </w:p>
        </w:tc>
        <w:tc>
          <w:tcPr>
            <w:tcW w:w="693" w:type="dxa"/>
            <w:shd w:val="clear" w:color="auto" w:fill="9CC2E5" w:themeFill="accent1" w:themeFillTint="99"/>
            <w:vAlign w:val="center"/>
          </w:tcPr>
          <w:p w14:paraId="31998346" w14:textId="77777777" w:rsidR="005631A4" w:rsidRPr="005631A4" w:rsidRDefault="005631A4" w:rsidP="005631A4">
            <w:pPr>
              <w:spacing w:before="60" w:after="60"/>
              <w:jc w:val="both"/>
            </w:pPr>
            <w:r w:rsidRPr="005631A4">
              <w:t>2028</w:t>
            </w:r>
          </w:p>
        </w:tc>
        <w:tc>
          <w:tcPr>
            <w:tcW w:w="696" w:type="dxa"/>
            <w:shd w:val="clear" w:color="auto" w:fill="9CC2E5" w:themeFill="accent1" w:themeFillTint="99"/>
            <w:vAlign w:val="center"/>
          </w:tcPr>
          <w:p w14:paraId="694DF070" w14:textId="77777777" w:rsidR="005631A4" w:rsidRPr="005631A4" w:rsidRDefault="005631A4" w:rsidP="005631A4">
            <w:pPr>
              <w:spacing w:before="60" w:after="60"/>
              <w:jc w:val="both"/>
            </w:pPr>
            <w:r w:rsidRPr="005631A4">
              <w:t>2029</w:t>
            </w:r>
          </w:p>
        </w:tc>
        <w:tc>
          <w:tcPr>
            <w:tcW w:w="695" w:type="dxa"/>
            <w:shd w:val="clear" w:color="auto" w:fill="9CC2E5" w:themeFill="accent1" w:themeFillTint="99"/>
            <w:vAlign w:val="center"/>
          </w:tcPr>
          <w:p w14:paraId="6E0DFAFC" w14:textId="77777777" w:rsidR="005631A4" w:rsidRPr="005631A4" w:rsidRDefault="005631A4" w:rsidP="005631A4">
            <w:pPr>
              <w:spacing w:before="60" w:after="60"/>
              <w:jc w:val="both"/>
            </w:pPr>
            <w:r w:rsidRPr="005631A4">
              <w:t>2030</w:t>
            </w:r>
          </w:p>
        </w:tc>
      </w:tr>
      <w:tr w:rsidR="005631A4" w:rsidRPr="005631A4" w14:paraId="471A8B41" w14:textId="77777777" w:rsidTr="005631A4">
        <w:trPr>
          <w:jc w:val="center"/>
        </w:trPr>
        <w:tc>
          <w:tcPr>
            <w:tcW w:w="1555" w:type="dxa"/>
            <w:vMerge/>
            <w:vAlign w:val="center"/>
          </w:tcPr>
          <w:p w14:paraId="455CE0FA" w14:textId="77777777" w:rsidR="005631A4" w:rsidRPr="005631A4" w:rsidRDefault="005631A4" w:rsidP="00CE3D48">
            <w:pPr>
              <w:spacing w:before="60" w:after="60"/>
              <w:jc w:val="center"/>
              <w:rPr>
                <w:b/>
                <w:bCs/>
              </w:rPr>
            </w:pPr>
          </w:p>
        </w:tc>
        <w:tc>
          <w:tcPr>
            <w:tcW w:w="1144" w:type="dxa"/>
            <w:shd w:val="clear" w:color="auto" w:fill="BDD6EE" w:themeFill="accent1" w:themeFillTint="66"/>
            <w:vAlign w:val="center"/>
          </w:tcPr>
          <w:p w14:paraId="172FBD7A" w14:textId="77777777" w:rsidR="005631A4" w:rsidRPr="005631A4" w:rsidRDefault="005631A4" w:rsidP="005631A4">
            <w:pPr>
              <w:spacing w:before="60" w:after="60"/>
              <w:jc w:val="center"/>
            </w:pPr>
            <w:r w:rsidRPr="005631A4">
              <w:t>1.</w:t>
            </w:r>
          </w:p>
        </w:tc>
        <w:tc>
          <w:tcPr>
            <w:tcW w:w="709" w:type="dxa"/>
            <w:shd w:val="clear" w:color="auto" w:fill="DEEAF6" w:themeFill="accent1" w:themeFillTint="33"/>
            <w:vAlign w:val="center"/>
          </w:tcPr>
          <w:p w14:paraId="1D849EF4" w14:textId="77777777" w:rsidR="005631A4" w:rsidRPr="005631A4" w:rsidRDefault="005631A4" w:rsidP="005631A4">
            <w:pPr>
              <w:spacing w:before="60" w:after="60"/>
              <w:jc w:val="center"/>
            </w:pPr>
          </w:p>
        </w:tc>
        <w:tc>
          <w:tcPr>
            <w:tcW w:w="709" w:type="dxa"/>
            <w:shd w:val="clear" w:color="auto" w:fill="BDD6EE" w:themeFill="accent1" w:themeFillTint="66"/>
            <w:vAlign w:val="center"/>
          </w:tcPr>
          <w:p w14:paraId="03D2C1DF" w14:textId="7AF63BEC" w:rsidR="005631A4" w:rsidRPr="005631A4" w:rsidRDefault="005631A4" w:rsidP="005631A4">
            <w:pPr>
              <w:spacing w:before="60" w:after="60"/>
              <w:jc w:val="center"/>
              <w:rPr>
                <w:sz w:val="16"/>
                <w:szCs w:val="16"/>
              </w:rPr>
            </w:pPr>
          </w:p>
        </w:tc>
        <w:tc>
          <w:tcPr>
            <w:tcW w:w="727" w:type="dxa"/>
            <w:shd w:val="clear" w:color="auto" w:fill="BDD6EE" w:themeFill="accent1" w:themeFillTint="66"/>
            <w:vAlign w:val="center"/>
          </w:tcPr>
          <w:p w14:paraId="47644993" w14:textId="04A1B749" w:rsidR="005631A4" w:rsidRPr="005631A4" w:rsidRDefault="005631A4" w:rsidP="005631A4">
            <w:pPr>
              <w:spacing w:before="60" w:after="60"/>
              <w:jc w:val="center"/>
              <w:rPr>
                <w:sz w:val="16"/>
                <w:szCs w:val="16"/>
              </w:rPr>
            </w:pPr>
          </w:p>
        </w:tc>
        <w:tc>
          <w:tcPr>
            <w:tcW w:w="691" w:type="dxa"/>
            <w:shd w:val="clear" w:color="auto" w:fill="DEEAF6" w:themeFill="accent1" w:themeFillTint="33"/>
            <w:vAlign w:val="center"/>
          </w:tcPr>
          <w:p w14:paraId="6D6763C4" w14:textId="77777777" w:rsidR="005631A4" w:rsidRPr="005631A4" w:rsidRDefault="005631A4" w:rsidP="005631A4">
            <w:pPr>
              <w:spacing w:before="60" w:after="60"/>
              <w:jc w:val="center"/>
              <w:rPr>
                <w:sz w:val="16"/>
                <w:szCs w:val="16"/>
              </w:rPr>
            </w:pPr>
          </w:p>
        </w:tc>
        <w:tc>
          <w:tcPr>
            <w:tcW w:w="691" w:type="dxa"/>
            <w:shd w:val="clear" w:color="auto" w:fill="DEEAF6" w:themeFill="accent1" w:themeFillTint="33"/>
            <w:vAlign w:val="center"/>
          </w:tcPr>
          <w:p w14:paraId="326B4E77" w14:textId="77777777" w:rsidR="005631A4" w:rsidRPr="005631A4" w:rsidRDefault="005631A4" w:rsidP="005631A4">
            <w:pPr>
              <w:spacing w:before="60" w:after="60"/>
              <w:jc w:val="center"/>
              <w:rPr>
                <w:sz w:val="16"/>
                <w:szCs w:val="16"/>
              </w:rPr>
            </w:pPr>
          </w:p>
        </w:tc>
        <w:tc>
          <w:tcPr>
            <w:tcW w:w="691" w:type="dxa"/>
            <w:shd w:val="clear" w:color="auto" w:fill="DEEAF6" w:themeFill="accent1" w:themeFillTint="33"/>
            <w:vAlign w:val="center"/>
          </w:tcPr>
          <w:p w14:paraId="59ADF33C" w14:textId="77777777" w:rsidR="005631A4" w:rsidRPr="005631A4" w:rsidRDefault="005631A4" w:rsidP="005631A4">
            <w:pPr>
              <w:spacing w:before="60" w:after="60"/>
              <w:jc w:val="center"/>
              <w:rPr>
                <w:sz w:val="16"/>
                <w:szCs w:val="16"/>
              </w:rPr>
            </w:pPr>
          </w:p>
        </w:tc>
        <w:tc>
          <w:tcPr>
            <w:tcW w:w="691" w:type="dxa"/>
            <w:shd w:val="clear" w:color="auto" w:fill="DEEAF6" w:themeFill="accent1" w:themeFillTint="33"/>
            <w:vAlign w:val="center"/>
          </w:tcPr>
          <w:p w14:paraId="015933FF" w14:textId="77777777" w:rsidR="005631A4" w:rsidRPr="005631A4" w:rsidRDefault="005631A4" w:rsidP="005631A4">
            <w:pPr>
              <w:spacing w:before="60" w:after="60"/>
              <w:jc w:val="center"/>
              <w:rPr>
                <w:sz w:val="16"/>
                <w:szCs w:val="16"/>
              </w:rPr>
            </w:pPr>
          </w:p>
        </w:tc>
        <w:tc>
          <w:tcPr>
            <w:tcW w:w="666" w:type="dxa"/>
            <w:shd w:val="clear" w:color="auto" w:fill="DEEAF6" w:themeFill="accent1" w:themeFillTint="33"/>
          </w:tcPr>
          <w:p w14:paraId="562C6007" w14:textId="77777777" w:rsidR="005631A4" w:rsidRPr="005631A4" w:rsidRDefault="005631A4" w:rsidP="005631A4">
            <w:pPr>
              <w:spacing w:before="60" w:after="60"/>
              <w:jc w:val="center"/>
              <w:rPr>
                <w:sz w:val="16"/>
                <w:szCs w:val="16"/>
              </w:rPr>
            </w:pPr>
          </w:p>
        </w:tc>
        <w:tc>
          <w:tcPr>
            <w:tcW w:w="693" w:type="dxa"/>
            <w:shd w:val="clear" w:color="auto" w:fill="DEEAF6" w:themeFill="accent1" w:themeFillTint="33"/>
          </w:tcPr>
          <w:p w14:paraId="7F6CD4B1" w14:textId="77777777" w:rsidR="005631A4" w:rsidRPr="005631A4" w:rsidRDefault="005631A4" w:rsidP="005631A4">
            <w:pPr>
              <w:spacing w:before="60" w:after="60"/>
              <w:jc w:val="center"/>
              <w:rPr>
                <w:sz w:val="16"/>
                <w:szCs w:val="16"/>
              </w:rPr>
            </w:pPr>
          </w:p>
        </w:tc>
        <w:tc>
          <w:tcPr>
            <w:tcW w:w="696" w:type="dxa"/>
            <w:shd w:val="clear" w:color="auto" w:fill="DEEAF6" w:themeFill="accent1" w:themeFillTint="33"/>
          </w:tcPr>
          <w:p w14:paraId="0D28820A" w14:textId="77777777" w:rsidR="005631A4" w:rsidRPr="005631A4" w:rsidRDefault="005631A4" w:rsidP="005631A4">
            <w:pPr>
              <w:spacing w:before="60" w:after="60"/>
              <w:jc w:val="center"/>
              <w:rPr>
                <w:sz w:val="16"/>
                <w:szCs w:val="16"/>
              </w:rPr>
            </w:pPr>
          </w:p>
        </w:tc>
        <w:tc>
          <w:tcPr>
            <w:tcW w:w="695" w:type="dxa"/>
            <w:shd w:val="clear" w:color="auto" w:fill="DEEAF6" w:themeFill="accent1" w:themeFillTint="33"/>
          </w:tcPr>
          <w:p w14:paraId="6611774C" w14:textId="77777777" w:rsidR="005631A4" w:rsidRPr="005631A4" w:rsidRDefault="005631A4" w:rsidP="005631A4">
            <w:pPr>
              <w:spacing w:before="60" w:after="60"/>
              <w:jc w:val="center"/>
              <w:rPr>
                <w:sz w:val="16"/>
                <w:szCs w:val="16"/>
              </w:rPr>
            </w:pPr>
          </w:p>
        </w:tc>
      </w:tr>
      <w:tr w:rsidR="005631A4" w:rsidRPr="005631A4" w14:paraId="38D5ED13" w14:textId="77777777" w:rsidTr="005631A4">
        <w:trPr>
          <w:jc w:val="center"/>
        </w:trPr>
        <w:tc>
          <w:tcPr>
            <w:tcW w:w="1555" w:type="dxa"/>
            <w:vMerge/>
            <w:vAlign w:val="center"/>
          </w:tcPr>
          <w:p w14:paraId="605D24FD" w14:textId="77777777" w:rsidR="005631A4" w:rsidRPr="005631A4" w:rsidRDefault="005631A4" w:rsidP="00CE3D48">
            <w:pPr>
              <w:spacing w:before="60" w:after="60"/>
              <w:jc w:val="center"/>
              <w:rPr>
                <w:b/>
                <w:bCs/>
              </w:rPr>
            </w:pPr>
          </w:p>
        </w:tc>
        <w:tc>
          <w:tcPr>
            <w:tcW w:w="1144" w:type="dxa"/>
            <w:shd w:val="clear" w:color="auto" w:fill="BDD6EE" w:themeFill="accent1" w:themeFillTint="66"/>
            <w:vAlign w:val="center"/>
          </w:tcPr>
          <w:p w14:paraId="7060D8B8" w14:textId="77777777" w:rsidR="005631A4" w:rsidRPr="005631A4" w:rsidRDefault="005631A4" w:rsidP="005631A4">
            <w:pPr>
              <w:spacing w:before="60" w:after="60"/>
              <w:jc w:val="center"/>
            </w:pPr>
            <w:r w:rsidRPr="005631A4">
              <w:t>2.</w:t>
            </w:r>
          </w:p>
        </w:tc>
        <w:tc>
          <w:tcPr>
            <w:tcW w:w="709" w:type="dxa"/>
            <w:shd w:val="clear" w:color="auto" w:fill="DEEAF6" w:themeFill="accent1" w:themeFillTint="33"/>
            <w:vAlign w:val="center"/>
          </w:tcPr>
          <w:p w14:paraId="4E6710BD" w14:textId="77777777" w:rsidR="005631A4" w:rsidRPr="005631A4" w:rsidRDefault="005631A4" w:rsidP="005631A4">
            <w:pPr>
              <w:spacing w:before="60" w:after="60"/>
              <w:jc w:val="center"/>
            </w:pPr>
          </w:p>
        </w:tc>
        <w:tc>
          <w:tcPr>
            <w:tcW w:w="709" w:type="dxa"/>
            <w:shd w:val="clear" w:color="auto" w:fill="DEEAF6" w:themeFill="accent1" w:themeFillTint="33"/>
            <w:vAlign w:val="center"/>
          </w:tcPr>
          <w:p w14:paraId="62FA1347" w14:textId="77777777" w:rsidR="005631A4" w:rsidRPr="005631A4" w:rsidRDefault="005631A4" w:rsidP="005631A4">
            <w:pPr>
              <w:spacing w:before="60" w:after="60"/>
              <w:jc w:val="center"/>
              <w:rPr>
                <w:sz w:val="16"/>
                <w:szCs w:val="16"/>
              </w:rPr>
            </w:pPr>
          </w:p>
        </w:tc>
        <w:tc>
          <w:tcPr>
            <w:tcW w:w="727" w:type="dxa"/>
            <w:shd w:val="clear" w:color="auto" w:fill="DEEAF6" w:themeFill="accent1" w:themeFillTint="33"/>
            <w:vAlign w:val="center"/>
          </w:tcPr>
          <w:p w14:paraId="2EC264DC" w14:textId="77777777" w:rsidR="005631A4" w:rsidRPr="005631A4" w:rsidRDefault="005631A4" w:rsidP="005631A4">
            <w:pPr>
              <w:spacing w:before="60" w:after="60"/>
              <w:jc w:val="center"/>
              <w:rPr>
                <w:sz w:val="16"/>
                <w:szCs w:val="16"/>
              </w:rPr>
            </w:pPr>
          </w:p>
        </w:tc>
        <w:tc>
          <w:tcPr>
            <w:tcW w:w="691" w:type="dxa"/>
            <w:shd w:val="clear" w:color="auto" w:fill="BDD6EE" w:themeFill="accent1" w:themeFillTint="66"/>
            <w:vAlign w:val="center"/>
          </w:tcPr>
          <w:p w14:paraId="72A40C22" w14:textId="4B0113D5" w:rsidR="005631A4" w:rsidRPr="005631A4" w:rsidRDefault="005631A4" w:rsidP="005631A4">
            <w:pPr>
              <w:spacing w:before="60" w:after="60"/>
              <w:jc w:val="center"/>
              <w:rPr>
                <w:sz w:val="16"/>
                <w:szCs w:val="16"/>
              </w:rPr>
            </w:pPr>
          </w:p>
        </w:tc>
        <w:tc>
          <w:tcPr>
            <w:tcW w:w="691" w:type="dxa"/>
            <w:shd w:val="clear" w:color="auto" w:fill="BDD6EE" w:themeFill="accent1" w:themeFillTint="66"/>
            <w:vAlign w:val="center"/>
          </w:tcPr>
          <w:p w14:paraId="1A7267BE" w14:textId="0362A195" w:rsidR="005631A4" w:rsidRPr="005631A4" w:rsidRDefault="005631A4" w:rsidP="005631A4">
            <w:pPr>
              <w:spacing w:before="60" w:after="60"/>
              <w:jc w:val="center"/>
              <w:rPr>
                <w:sz w:val="16"/>
                <w:szCs w:val="16"/>
              </w:rPr>
            </w:pPr>
          </w:p>
        </w:tc>
        <w:tc>
          <w:tcPr>
            <w:tcW w:w="691" w:type="dxa"/>
            <w:shd w:val="clear" w:color="auto" w:fill="BDD6EE" w:themeFill="accent1" w:themeFillTint="66"/>
            <w:vAlign w:val="center"/>
          </w:tcPr>
          <w:p w14:paraId="3202B360" w14:textId="79DD8460" w:rsidR="005631A4" w:rsidRPr="005631A4" w:rsidRDefault="005631A4" w:rsidP="005631A4">
            <w:pPr>
              <w:spacing w:before="60" w:after="60"/>
              <w:jc w:val="center"/>
              <w:rPr>
                <w:sz w:val="16"/>
                <w:szCs w:val="16"/>
              </w:rPr>
            </w:pPr>
          </w:p>
        </w:tc>
        <w:tc>
          <w:tcPr>
            <w:tcW w:w="691" w:type="dxa"/>
            <w:shd w:val="clear" w:color="auto" w:fill="DEEAF6" w:themeFill="accent1" w:themeFillTint="33"/>
            <w:vAlign w:val="center"/>
          </w:tcPr>
          <w:p w14:paraId="2CA82B10" w14:textId="77777777" w:rsidR="005631A4" w:rsidRPr="005631A4" w:rsidRDefault="005631A4" w:rsidP="005631A4">
            <w:pPr>
              <w:spacing w:before="60" w:after="60"/>
              <w:jc w:val="center"/>
              <w:rPr>
                <w:sz w:val="16"/>
                <w:szCs w:val="16"/>
              </w:rPr>
            </w:pPr>
          </w:p>
        </w:tc>
        <w:tc>
          <w:tcPr>
            <w:tcW w:w="666" w:type="dxa"/>
            <w:shd w:val="clear" w:color="auto" w:fill="DEEAF6" w:themeFill="accent1" w:themeFillTint="33"/>
          </w:tcPr>
          <w:p w14:paraId="4A88DFB3" w14:textId="77777777" w:rsidR="005631A4" w:rsidRPr="005631A4" w:rsidRDefault="005631A4" w:rsidP="005631A4">
            <w:pPr>
              <w:spacing w:before="60" w:after="60"/>
              <w:jc w:val="center"/>
              <w:rPr>
                <w:sz w:val="16"/>
                <w:szCs w:val="16"/>
              </w:rPr>
            </w:pPr>
          </w:p>
        </w:tc>
        <w:tc>
          <w:tcPr>
            <w:tcW w:w="693" w:type="dxa"/>
            <w:shd w:val="clear" w:color="auto" w:fill="DEEAF6" w:themeFill="accent1" w:themeFillTint="33"/>
          </w:tcPr>
          <w:p w14:paraId="7FFABC87" w14:textId="77777777" w:rsidR="005631A4" w:rsidRPr="005631A4" w:rsidRDefault="005631A4" w:rsidP="005631A4">
            <w:pPr>
              <w:spacing w:before="60" w:after="60"/>
              <w:jc w:val="center"/>
              <w:rPr>
                <w:sz w:val="16"/>
                <w:szCs w:val="16"/>
              </w:rPr>
            </w:pPr>
          </w:p>
        </w:tc>
        <w:tc>
          <w:tcPr>
            <w:tcW w:w="696" w:type="dxa"/>
            <w:shd w:val="clear" w:color="auto" w:fill="DEEAF6" w:themeFill="accent1" w:themeFillTint="33"/>
          </w:tcPr>
          <w:p w14:paraId="511F7377" w14:textId="77777777" w:rsidR="005631A4" w:rsidRPr="005631A4" w:rsidRDefault="005631A4" w:rsidP="005631A4">
            <w:pPr>
              <w:spacing w:before="60" w:after="60"/>
              <w:jc w:val="center"/>
              <w:rPr>
                <w:sz w:val="16"/>
                <w:szCs w:val="16"/>
              </w:rPr>
            </w:pPr>
          </w:p>
        </w:tc>
        <w:tc>
          <w:tcPr>
            <w:tcW w:w="695" w:type="dxa"/>
            <w:shd w:val="clear" w:color="auto" w:fill="DEEAF6" w:themeFill="accent1" w:themeFillTint="33"/>
          </w:tcPr>
          <w:p w14:paraId="3E9D6FC7" w14:textId="77777777" w:rsidR="005631A4" w:rsidRPr="005631A4" w:rsidRDefault="005631A4" w:rsidP="005631A4">
            <w:pPr>
              <w:spacing w:before="60" w:after="60"/>
              <w:jc w:val="center"/>
              <w:rPr>
                <w:sz w:val="16"/>
                <w:szCs w:val="16"/>
              </w:rPr>
            </w:pPr>
          </w:p>
        </w:tc>
      </w:tr>
      <w:tr w:rsidR="005631A4" w:rsidRPr="005631A4" w14:paraId="40BAAF15" w14:textId="77777777" w:rsidTr="005631A4">
        <w:trPr>
          <w:jc w:val="center"/>
        </w:trPr>
        <w:tc>
          <w:tcPr>
            <w:tcW w:w="1555" w:type="dxa"/>
            <w:vMerge/>
            <w:vAlign w:val="center"/>
          </w:tcPr>
          <w:p w14:paraId="01F4CC32" w14:textId="77777777" w:rsidR="005631A4" w:rsidRPr="005631A4" w:rsidRDefault="005631A4" w:rsidP="00CE3D48">
            <w:pPr>
              <w:spacing w:before="60" w:after="60"/>
              <w:jc w:val="center"/>
              <w:rPr>
                <w:b/>
                <w:bCs/>
              </w:rPr>
            </w:pPr>
          </w:p>
        </w:tc>
        <w:tc>
          <w:tcPr>
            <w:tcW w:w="1144" w:type="dxa"/>
            <w:shd w:val="clear" w:color="auto" w:fill="BDD6EE" w:themeFill="accent1" w:themeFillTint="66"/>
            <w:vAlign w:val="center"/>
          </w:tcPr>
          <w:p w14:paraId="274A48EC" w14:textId="77777777" w:rsidR="005631A4" w:rsidRPr="005631A4" w:rsidRDefault="005631A4" w:rsidP="005631A4">
            <w:pPr>
              <w:spacing w:before="60" w:after="60"/>
              <w:jc w:val="center"/>
            </w:pPr>
            <w:r w:rsidRPr="005631A4">
              <w:t>3.</w:t>
            </w:r>
          </w:p>
        </w:tc>
        <w:tc>
          <w:tcPr>
            <w:tcW w:w="709" w:type="dxa"/>
            <w:shd w:val="clear" w:color="auto" w:fill="DEEAF6" w:themeFill="accent1" w:themeFillTint="33"/>
            <w:vAlign w:val="center"/>
          </w:tcPr>
          <w:p w14:paraId="67DC4666" w14:textId="77777777" w:rsidR="005631A4" w:rsidRPr="005631A4" w:rsidRDefault="005631A4" w:rsidP="005631A4">
            <w:pPr>
              <w:spacing w:before="60" w:after="60"/>
              <w:jc w:val="center"/>
            </w:pPr>
          </w:p>
        </w:tc>
        <w:tc>
          <w:tcPr>
            <w:tcW w:w="709" w:type="dxa"/>
            <w:shd w:val="clear" w:color="auto" w:fill="DEEAF6" w:themeFill="accent1" w:themeFillTint="33"/>
            <w:vAlign w:val="center"/>
          </w:tcPr>
          <w:p w14:paraId="08859E89" w14:textId="77777777" w:rsidR="005631A4" w:rsidRPr="005631A4" w:rsidRDefault="005631A4" w:rsidP="005631A4">
            <w:pPr>
              <w:spacing w:before="60" w:after="60"/>
              <w:jc w:val="center"/>
              <w:rPr>
                <w:sz w:val="16"/>
                <w:szCs w:val="16"/>
              </w:rPr>
            </w:pPr>
          </w:p>
        </w:tc>
        <w:tc>
          <w:tcPr>
            <w:tcW w:w="727" w:type="dxa"/>
            <w:shd w:val="clear" w:color="auto" w:fill="DEEAF6" w:themeFill="accent1" w:themeFillTint="33"/>
            <w:vAlign w:val="center"/>
          </w:tcPr>
          <w:p w14:paraId="091F9B54" w14:textId="77777777" w:rsidR="005631A4" w:rsidRPr="005631A4" w:rsidRDefault="005631A4" w:rsidP="005631A4">
            <w:pPr>
              <w:spacing w:before="60" w:after="60"/>
              <w:jc w:val="center"/>
              <w:rPr>
                <w:sz w:val="16"/>
                <w:szCs w:val="16"/>
              </w:rPr>
            </w:pPr>
          </w:p>
        </w:tc>
        <w:tc>
          <w:tcPr>
            <w:tcW w:w="691" w:type="dxa"/>
            <w:shd w:val="clear" w:color="auto" w:fill="DEEAF6" w:themeFill="accent1" w:themeFillTint="33"/>
            <w:vAlign w:val="center"/>
          </w:tcPr>
          <w:p w14:paraId="1C96A9C7" w14:textId="77777777" w:rsidR="005631A4" w:rsidRPr="005631A4" w:rsidRDefault="005631A4" w:rsidP="005631A4">
            <w:pPr>
              <w:spacing w:before="60" w:after="60"/>
              <w:jc w:val="center"/>
              <w:rPr>
                <w:sz w:val="16"/>
                <w:szCs w:val="16"/>
              </w:rPr>
            </w:pPr>
          </w:p>
        </w:tc>
        <w:tc>
          <w:tcPr>
            <w:tcW w:w="691" w:type="dxa"/>
            <w:shd w:val="clear" w:color="auto" w:fill="DEEAF6" w:themeFill="accent1" w:themeFillTint="33"/>
            <w:vAlign w:val="center"/>
          </w:tcPr>
          <w:p w14:paraId="5AFBFCFA" w14:textId="77777777" w:rsidR="005631A4" w:rsidRPr="005631A4" w:rsidRDefault="005631A4" w:rsidP="005631A4">
            <w:pPr>
              <w:spacing w:before="60" w:after="60"/>
              <w:jc w:val="center"/>
              <w:rPr>
                <w:sz w:val="16"/>
                <w:szCs w:val="16"/>
              </w:rPr>
            </w:pPr>
          </w:p>
        </w:tc>
        <w:tc>
          <w:tcPr>
            <w:tcW w:w="691" w:type="dxa"/>
            <w:shd w:val="clear" w:color="auto" w:fill="DEEAF6" w:themeFill="accent1" w:themeFillTint="33"/>
            <w:vAlign w:val="center"/>
          </w:tcPr>
          <w:p w14:paraId="1024D9D1" w14:textId="77777777" w:rsidR="005631A4" w:rsidRPr="005631A4" w:rsidRDefault="005631A4" w:rsidP="005631A4">
            <w:pPr>
              <w:spacing w:before="60" w:after="60"/>
              <w:jc w:val="center"/>
              <w:rPr>
                <w:sz w:val="16"/>
                <w:szCs w:val="16"/>
              </w:rPr>
            </w:pPr>
          </w:p>
        </w:tc>
        <w:tc>
          <w:tcPr>
            <w:tcW w:w="691" w:type="dxa"/>
            <w:shd w:val="clear" w:color="auto" w:fill="BDD6EE" w:themeFill="accent1" w:themeFillTint="66"/>
            <w:vAlign w:val="center"/>
          </w:tcPr>
          <w:p w14:paraId="70C4D5FA" w14:textId="422C605E" w:rsidR="005631A4" w:rsidRPr="005631A4" w:rsidRDefault="005631A4" w:rsidP="005631A4">
            <w:pPr>
              <w:spacing w:before="60" w:after="60"/>
              <w:jc w:val="center"/>
              <w:rPr>
                <w:sz w:val="16"/>
                <w:szCs w:val="16"/>
              </w:rPr>
            </w:pPr>
          </w:p>
        </w:tc>
        <w:tc>
          <w:tcPr>
            <w:tcW w:w="666" w:type="dxa"/>
            <w:shd w:val="clear" w:color="auto" w:fill="DEEAF6" w:themeFill="accent1" w:themeFillTint="33"/>
          </w:tcPr>
          <w:p w14:paraId="4A51DAB8" w14:textId="77777777" w:rsidR="005631A4" w:rsidRPr="005631A4" w:rsidRDefault="005631A4" w:rsidP="005631A4">
            <w:pPr>
              <w:spacing w:before="60" w:after="60"/>
              <w:jc w:val="center"/>
              <w:rPr>
                <w:sz w:val="16"/>
                <w:szCs w:val="16"/>
              </w:rPr>
            </w:pPr>
          </w:p>
        </w:tc>
        <w:tc>
          <w:tcPr>
            <w:tcW w:w="693" w:type="dxa"/>
            <w:shd w:val="clear" w:color="auto" w:fill="DEEAF6" w:themeFill="accent1" w:themeFillTint="33"/>
          </w:tcPr>
          <w:p w14:paraId="4140AB45" w14:textId="77777777" w:rsidR="005631A4" w:rsidRPr="005631A4" w:rsidRDefault="005631A4" w:rsidP="005631A4">
            <w:pPr>
              <w:spacing w:before="60" w:after="60"/>
              <w:jc w:val="center"/>
              <w:rPr>
                <w:sz w:val="16"/>
                <w:szCs w:val="16"/>
              </w:rPr>
            </w:pPr>
          </w:p>
        </w:tc>
        <w:tc>
          <w:tcPr>
            <w:tcW w:w="696" w:type="dxa"/>
            <w:shd w:val="clear" w:color="auto" w:fill="DEEAF6" w:themeFill="accent1" w:themeFillTint="33"/>
          </w:tcPr>
          <w:p w14:paraId="68F75B84" w14:textId="77777777" w:rsidR="005631A4" w:rsidRPr="005631A4" w:rsidRDefault="005631A4" w:rsidP="005631A4">
            <w:pPr>
              <w:spacing w:before="60" w:after="60"/>
              <w:jc w:val="center"/>
              <w:rPr>
                <w:sz w:val="16"/>
                <w:szCs w:val="16"/>
              </w:rPr>
            </w:pPr>
          </w:p>
        </w:tc>
        <w:tc>
          <w:tcPr>
            <w:tcW w:w="695" w:type="dxa"/>
            <w:shd w:val="clear" w:color="auto" w:fill="DEEAF6" w:themeFill="accent1" w:themeFillTint="33"/>
          </w:tcPr>
          <w:p w14:paraId="747ED4E8" w14:textId="77777777" w:rsidR="005631A4" w:rsidRPr="005631A4" w:rsidRDefault="005631A4" w:rsidP="005631A4">
            <w:pPr>
              <w:spacing w:before="60" w:after="60"/>
              <w:jc w:val="center"/>
              <w:rPr>
                <w:sz w:val="16"/>
                <w:szCs w:val="16"/>
              </w:rPr>
            </w:pPr>
          </w:p>
        </w:tc>
      </w:tr>
      <w:tr w:rsidR="005631A4" w:rsidRPr="005631A4" w14:paraId="421AA6D5" w14:textId="77777777" w:rsidTr="005631A4">
        <w:trPr>
          <w:jc w:val="center"/>
        </w:trPr>
        <w:tc>
          <w:tcPr>
            <w:tcW w:w="1555" w:type="dxa"/>
            <w:vMerge/>
            <w:vAlign w:val="center"/>
          </w:tcPr>
          <w:p w14:paraId="54DB9A8F" w14:textId="77777777" w:rsidR="005631A4" w:rsidRPr="005631A4" w:rsidRDefault="005631A4" w:rsidP="00CE3D48">
            <w:pPr>
              <w:spacing w:before="60" w:after="60"/>
              <w:jc w:val="center"/>
              <w:rPr>
                <w:b/>
                <w:bCs/>
              </w:rPr>
            </w:pPr>
          </w:p>
        </w:tc>
        <w:tc>
          <w:tcPr>
            <w:tcW w:w="1144" w:type="dxa"/>
            <w:shd w:val="clear" w:color="auto" w:fill="BDD6EE" w:themeFill="accent1" w:themeFillTint="66"/>
            <w:vAlign w:val="center"/>
          </w:tcPr>
          <w:p w14:paraId="07C5494D" w14:textId="77777777" w:rsidR="005631A4" w:rsidRPr="005631A4" w:rsidRDefault="005631A4" w:rsidP="005631A4">
            <w:pPr>
              <w:spacing w:before="60" w:after="60"/>
              <w:jc w:val="center"/>
            </w:pPr>
            <w:r w:rsidRPr="005631A4">
              <w:t>4.</w:t>
            </w:r>
          </w:p>
        </w:tc>
        <w:tc>
          <w:tcPr>
            <w:tcW w:w="709" w:type="dxa"/>
            <w:shd w:val="clear" w:color="auto" w:fill="DEEAF6" w:themeFill="accent1" w:themeFillTint="33"/>
            <w:vAlign w:val="center"/>
          </w:tcPr>
          <w:p w14:paraId="3699D149" w14:textId="77777777" w:rsidR="005631A4" w:rsidRPr="005631A4" w:rsidRDefault="005631A4" w:rsidP="005631A4">
            <w:pPr>
              <w:spacing w:before="60" w:after="60"/>
              <w:jc w:val="center"/>
            </w:pPr>
          </w:p>
        </w:tc>
        <w:tc>
          <w:tcPr>
            <w:tcW w:w="709" w:type="dxa"/>
            <w:shd w:val="clear" w:color="auto" w:fill="DEEAF6" w:themeFill="accent1" w:themeFillTint="33"/>
            <w:vAlign w:val="center"/>
          </w:tcPr>
          <w:p w14:paraId="45FEADD8" w14:textId="77777777" w:rsidR="005631A4" w:rsidRPr="005631A4" w:rsidRDefault="005631A4" w:rsidP="005631A4">
            <w:pPr>
              <w:spacing w:before="60" w:after="60"/>
              <w:jc w:val="center"/>
            </w:pPr>
          </w:p>
        </w:tc>
        <w:tc>
          <w:tcPr>
            <w:tcW w:w="727" w:type="dxa"/>
            <w:shd w:val="clear" w:color="auto" w:fill="DEEAF6" w:themeFill="accent1" w:themeFillTint="33"/>
            <w:vAlign w:val="center"/>
          </w:tcPr>
          <w:p w14:paraId="56600684" w14:textId="77777777" w:rsidR="005631A4" w:rsidRPr="005631A4" w:rsidRDefault="005631A4" w:rsidP="005631A4">
            <w:pPr>
              <w:spacing w:before="60" w:after="60"/>
              <w:jc w:val="center"/>
            </w:pPr>
          </w:p>
        </w:tc>
        <w:tc>
          <w:tcPr>
            <w:tcW w:w="691" w:type="dxa"/>
            <w:shd w:val="clear" w:color="auto" w:fill="DEEAF6" w:themeFill="accent1" w:themeFillTint="33"/>
            <w:vAlign w:val="center"/>
          </w:tcPr>
          <w:p w14:paraId="3CE6E7FF" w14:textId="77777777" w:rsidR="005631A4" w:rsidRPr="005631A4" w:rsidRDefault="005631A4" w:rsidP="005631A4">
            <w:pPr>
              <w:spacing w:before="60" w:after="60"/>
              <w:jc w:val="center"/>
            </w:pPr>
          </w:p>
        </w:tc>
        <w:tc>
          <w:tcPr>
            <w:tcW w:w="691" w:type="dxa"/>
            <w:shd w:val="clear" w:color="auto" w:fill="DEEAF6" w:themeFill="accent1" w:themeFillTint="33"/>
            <w:vAlign w:val="center"/>
          </w:tcPr>
          <w:p w14:paraId="015EE6A6" w14:textId="77777777" w:rsidR="005631A4" w:rsidRPr="005631A4" w:rsidRDefault="005631A4" w:rsidP="005631A4">
            <w:pPr>
              <w:spacing w:before="60" w:after="60"/>
              <w:jc w:val="center"/>
            </w:pPr>
          </w:p>
        </w:tc>
        <w:tc>
          <w:tcPr>
            <w:tcW w:w="691" w:type="dxa"/>
            <w:shd w:val="clear" w:color="auto" w:fill="DEEAF6" w:themeFill="accent1" w:themeFillTint="33"/>
            <w:vAlign w:val="center"/>
          </w:tcPr>
          <w:p w14:paraId="30C32CF2" w14:textId="77777777" w:rsidR="005631A4" w:rsidRPr="005631A4" w:rsidRDefault="005631A4" w:rsidP="005631A4">
            <w:pPr>
              <w:spacing w:before="60" w:after="60"/>
              <w:jc w:val="center"/>
            </w:pPr>
          </w:p>
        </w:tc>
        <w:tc>
          <w:tcPr>
            <w:tcW w:w="691" w:type="dxa"/>
            <w:shd w:val="clear" w:color="auto" w:fill="DEEAF6" w:themeFill="accent1" w:themeFillTint="33"/>
            <w:vAlign w:val="center"/>
          </w:tcPr>
          <w:p w14:paraId="4AA0140F" w14:textId="77777777" w:rsidR="005631A4" w:rsidRPr="005631A4" w:rsidRDefault="005631A4" w:rsidP="005631A4">
            <w:pPr>
              <w:spacing w:before="60" w:after="60"/>
              <w:jc w:val="center"/>
            </w:pPr>
          </w:p>
        </w:tc>
        <w:tc>
          <w:tcPr>
            <w:tcW w:w="666" w:type="dxa"/>
            <w:shd w:val="clear" w:color="auto" w:fill="BDD6EE" w:themeFill="accent1" w:themeFillTint="66"/>
          </w:tcPr>
          <w:p w14:paraId="7A2E681D" w14:textId="3B79DBFA" w:rsidR="005631A4" w:rsidRPr="005631A4" w:rsidRDefault="005631A4" w:rsidP="005631A4">
            <w:pPr>
              <w:spacing w:before="60" w:after="60"/>
              <w:jc w:val="center"/>
              <w:rPr>
                <w:sz w:val="16"/>
                <w:szCs w:val="16"/>
              </w:rPr>
            </w:pPr>
          </w:p>
        </w:tc>
        <w:tc>
          <w:tcPr>
            <w:tcW w:w="693" w:type="dxa"/>
            <w:shd w:val="clear" w:color="auto" w:fill="BDD6EE" w:themeFill="accent1" w:themeFillTint="66"/>
          </w:tcPr>
          <w:p w14:paraId="615D0ED4" w14:textId="4CF8D9E4" w:rsidR="005631A4" w:rsidRPr="005631A4" w:rsidRDefault="005631A4" w:rsidP="005631A4">
            <w:pPr>
              <w:spacing w:before="60" w:after="60"/>
              <w:jc w:val="center"/>
              <w:rPr>
                <w:sz w:val="16"/>
                <w:szCs w:val="16"/>
              </w:rPr>
            </w:pPr>
          </w:p>
        </w:tc>
        <w:tc>
          <w:tcPr>
            <w:tcW w:w="696" w:type="dxa"/>
            <w:shd w:val="clear" w:color="auto" w:fill="BDD6EE" w:themeFill="accent1" w:themeFillTint="66"/>
          </w:tcPr>
          <w:p w14:paraId="4A0EC33E" w14:textId="01CBD207" w:rsidR="005631A4" w:rsidRPr="005631A4" w:rsidRDefault="005631A4" w:rsidP="005631A4">
            <w:pPr>
              <w:spacing w:before="60" w:after="60"/>
              <w:jc w:val="center"/>
              <w:rPr>
                <w:sz w:val="16"/>
                <w:szCs w:val="16"/>
              </w:rPr>
            </w:pPr>
          </w:p>
        </w:tc>
        <w:tc>
          <w:tcPr>
            <w:tcW w:w="695" w:type="dxa"/>
            <w:shd w:val="clear" w:color="auto" w:fill="BDD6EE" w:themeFill="accent1" w:themeFillTint="66"/>
          </w:tcPr>
          <w:p w14:paraId="3364EE67" w14:textId="034513FD" w:rsidR="005631A4" w:rsidRPr="005631A4" w:rsidRDefault="005631A4" w:rsidP="005631A4">
            <w:pPr>
              <w:spacing w:before="60" w:after="60"/>
              <w:jc w:val="center"/>
              <w:rPr>
                <w:sz w:val="16"/>
                <w:szCs w:val="16"/>
              </w:rPr>
            </w:pPr>
          </w:p>
        </w:tc>
      </w:tr>
      <w:tr w:rsidR="005631A4" w:rsidRPr="005631A4" w14:paraId="14B2A357" w14:textId="77777777" w:rsidTr="005631A4">
        <w:trPr>
          <w:jc w:val="center"/>
        </w:trPr>
        <w:tc>
          <w:tcPr>
            <w:tcW w:w="1555" w:type="dxa"/>
            <w:shd w:val="clear" w:color="auto" w:fill="9CC2E5" w:themeFill="accent1" w:themeFillTint="99"/>
            <w:vAlign w:val="center"/>
          </w:tcPr>
          <w:p w14:paraId="137F02D0" w14:textId="77777777" w:rsidR="005631A4" w:rsidRPr="005631A4" w:rsidRDefault="005631A4" w:rsidP="00CE3D48">
            <w:pPr>
              <w:spacing w:before="60" w:after="60"/>
              <w:jc w:val="center"/>
              <w:rPr>
                <w:b/>
                <w:bCs/>
              </w:rPr>
            </w:pPr>
            <w:r w:rsidRPr="005631A4">
              <w:rPr>
                <w:b/>
                <w:bCs/>
              </w:rPr>
              <w:t>Indykatywne źródła finansowania</w:t>
            </w:r>
          </w:p>
        </w:tc>
        <w:tc>
          <w:tcPr>
            <w:tcW w:w="8803" w:type="dxa"/>
            <w:gridSpan w:val="12"/>
            <w:shd w:val="clear" w:color="auto" w:fill="DEEAF6" w:themeFill="accent1" w:themeFillTint="33"/>
            <w:vAlign w:val="center"/>
          </w:tcPr>
          <w:p w14:paraId="61B9A179" w14:textId="77777777" w:rsidR="005B77E7" w:rsidRDefault="005631A4" w:rsidP="005B77E7">
            <w:pPr>
              <w:numPr>
                <w:ilvl w:val="0"/>
                <w:numId w:val="73"/>
              </w:numPr>
              <w:jc w:val="both"/>
            </w:pPr>
            <w:r w:rsidRPr="005631A4">
              <w:t xml:space="preserve">Środki NPZ </w:t>
            </w:r>
          </w:p>
          <w:p w14:paraId="4DA4451A" w14:textId="7EDFFE6D" w:rsidR="005B77E7" w:rsidRPr="005B77E7" w:rsidRDefault="005B77E7" w:rsidP="005B77E7">
            <w:pPr>
              <w:numPr>
                <w:ilvl w:val="0"/>
                <w:numId w:val="73"/>
              </w:numPr>
              <w:jc w:val="both"/>
            </w:pPr>
            <w:r w:rsidRPr="005B77E7">
              <w:t>Finansowanie ze środków Europejskich</w:t>
            </w:r>
          </w:p>
          <w:p w14:paraId="76DBCE31" w14:textId="77777777" w:rsidR="005B77E7" w:rsidRPr="005B77E7" w:rsidRDefault="005B77E7" w:rsidP="005B77E7">
            <w:pPr>
              <w:numPr>
                <w:ilvl w:val="0"/>
                <w:numId w:val="73"/>
              </w:numPr>
              <w:jc w:val="both"/>
            </w:pPr>
            <w:r w:rsidRPr="005B77E7">
              <w:t>Finansowanie ze środków Europejskich</w:t>
            </w:r>
          </w:p>
          <w:p w14:paraId="4336499B" w14:textId="77777777" w:rsidR="005631A4" w:rsidRPr="005631A4" w:rsidRDefault="005631A4" w:rsidP="005B77E7">
            <w:pPr>
              <w:numPr>
                <w:ilvl w:val="0"/>
                <w:numId w:val="73"/>
              </w:numPr>
              <w:jc w:val="both"/>
            </w:pPr>
            <w:r w:rsidRPr="005631A4">
              <w:t>Budżet NFZ</w:t>
            </w:r>
          </w:p>
        </w:tc>
      </w:tr>
      <w:tr w:rsidR="005631A4" w:rsidRPr="005631A4" w14:paraId="0976F1F7" w14:textId="77777777" w:rsidTr="005631A4">
        <w:trPr>
          <w:trHeight w:val="518"/>
          <w:jc w:val="center"/>
        </w:trPr>
        <w:tc>
          <w:tcPr>
            <w:tcW w:w="1555" w:type="dxa"/>
            <w:shd w:val="clear" w:color="auto" w:fill="9CC2E5" w:themeFill="accent1" w:themeFillTint="99"/>
            <w:vAlign w:val="center"/>
          </w:tcPr>
          <w:p w14:paraId="243106E4" w14:textId="77777777" w:rsidR="005631A4" w:rsidRPr="005631A4" w:rsidRDefault="005631A4" w:rsidP="00CE3D48">
            <w:pPr>
              <w:spacing w:before="60" w:after="60"/>
              <w:jc w:val="center"/>
              <w:rPr>
                <w:b/>
                <w:bCs/>
              </w:rPr>
            </w:pPr>
            <w:r w:rsidRPr="005631A4">
              <w:rPr>
                <w:b/>
                <w:bCs/>
              </w:rPr>
              <w:t>Koordynacja</w:t>
            </w:r>
          </w:p>
        </w:tc>
        <w:tc>
          <w:tcPr>
            <w:tcW w:w="8803" w:type="dxa"/>
            <w:gridSpan w:val="12"/>
            <w:shd w:val="clear" w:color="auto" w:fill="DEEAF6" w:themeFill="accent1" w:themeFillTint="33"/>
            <w:vAlign w:val="center"/>
          </w:tcPr>
          <w:p w14:paraId="07E21AD8" w14:textId="77777777" w:rsidR="005631A4" w:rsidRPr="005631A4" w:rsidRDefault="005631A4" w:rsidP="00A545BB">
            <w:pPr>
              <w:numPr>
                <w:ilvl w:val="0"/>
                <w:numId w:val="44"/>
              </w:numPr>
              <w:ind w:left="306" w:hanging="306"/>
              <w:jc w:val="both"/>
            </w:pPr>
            <w:r w:rsidRPr="005631A4">
              <w:t>MZ</w:t>
            </w:r>
          </w:p>
          <w:p w14:paraId="082C84EC" w14:textId="77777777" w:rsidR="005631A4" w:rsidRPr="005631A4" w:rsidRDefault="005631A4" w:rsidP="00A545BB">
            <w:pPr>
              <w:numPr>
                <w:ilvl w:val="0"/>
                <w:numId w:val="44"/>
              </w:numPr>
              <w:ind w:left="306" w:hanging="306"/>
              <w:jc w:val="both"/>
            </w:pPr>
            <w:r w:rsidRPr="005631A4">
              <w:t>MZ</w:t>
            </w:r>
          </w:p>
          <w:p w14:paraId="2EF40AE8" w14:textId="77777777" w:rsidR="005631A4" w:rsidRPr="005631A4" w:rsidRDefault="005631A4" w:rsidP="00A545BB">
            <w:pPr>
              <w:numPr>
                <w:ilvl w:val="0"/>
                <w:numId w:val="44"/>
              </w:numPr>
              <w:ind w:left="306" w:hanging="306"/>
              <w:jc w:val="both"/>
            </w:pPr>
            <w:r w:rsidRPr="005631A4">
              <w:t>MZ</w:t>
            </w:r>
          </w:p>
          <w:p w14:paraId="63533075" w14:textId="77777777" w:rsidR="005631A4" w:rsidRPr="005631A4" w:rsidRDefault="005631A4" w:rsidP="00A545BB">
            <w:pPr>
              <w:numPr>
                <w:ilvl w:val="0"/>
                <w:numId w:val="44"/>
              </w:numPr>
              <w:ind w:left="306" w:hanging="306"/>
              <w:jc w:val="both"/>
            </w:pPr>
            <w:r w:rsidRPr="005631A4">
              <w:t>MZ we współpracy z NFZ</w:t>
            </w:r>
          </w:p>
        </w:tc>
      </w:tr>
    </w:tbl>
    <w:bookmarkEnd w:id="28"/>
    <w:p w14:paraId="332D5511" w14:textId="03FF0391" w:rsidR="005631A4" w:rsidRDefault="005631A4" w:rsidP="005631A4">
      <w:pPr>
        <w:keepNext/>
        <w:keepLines/>
        <w:spacing w:before="240" w:after="120"/>
        <w:jc w:val="both"/>
        <w:outlineLvl w:val="4"/>
        <w:rPr>
          <w:rFonts w:asciiTheme="majorHAnsi" w:eastAsiaTheme="majorEastAsia" w:hAnsiTheme="majorHAnsi" w:cstheme="majorBidi"/>
          <w:i/>
          <w:color w:val="2E74B5" w:themeColor="accent1" w:themeShade="BF"/>
          <w:sz w:val="23"/>
        </w:rPr>
      </w:pPr>
      <w:r w:rsidRPr="005631A4">
        <w:rPr>
          <w:rFonts w:asciiTheme="majorHAnsi" w:eastAsiaTheme="majorEastAsia" w:hAnsiTheme="majorHAnsi" w:cstheme="majorBidi"/>
          <w:i/>
          <w:color w:val="2E74B5" w:themeColor="accent1" w:themeShade="BF"/>
          <w:sz w:val="23"/>
        </w:rPr>
        <w:t>Rezultat 3</w:t>
      </w:r>
    </w:p>
    <w:p w14:paraId="376A6593" w14:textId="36D22CE0" w:rsidR="0036315B" w:rsidRPr="005631A4" w:rsidRDefault="0036315B" w:rsidP="0036315B">
      <w:pPr>
        <w:keepNext/>
        <w:keepLines/>
        <w:shd w:val="clear" w:color="auto" w:fill="BDD6EE" w:themeFill="accent1" w:themeFillTint="66"/>
        <w:spacing w:before="180" w:after="120"/>
        <w:ind w:left="284"/>
        <w:jc w:val="both"/>
        <w:outlineLvl w:val="5"/>
        <w:rPr>
          <w:rFonts w:eastAsia="Times New Roman" w:cstheme="majorBidi"/>
          <w:b/>
        </w:rPr>
      </w:pPr>
      <w:r w:rsidRPr="005631A4">
        <w:rPr>
          <w:rFonts w:ascii="Calibri" w:eastAsia="Calibri" w:hAnsi="Calibri" w:cs="F"/>
          <w:b/>
          <w:bCs/>
        </w:rPr>
        <w:t>Zapewnienie profesjonalnej telefonicznej informacji na temat zaburzeń otępiennych i wsparcia psychologicznego dla opiekunów i chorych</w:t>
      </w:r>
      <w:r w:rsidRPr="005631A4">
        <w:rPr>
          <w:rFonts w:eastAsiaTheme="majorEastAsia" w:cstheme="majorBidi"/>
          <w:b/>
        </w:rPr>
        <w:t xml:space="preserve"> – do końca 2030 r.</w:t>
      </w:r>
    </w:p>
    <w:p w14:paraId="48284CE3" w14:textId="77777777" w:rsidR="005631A4" w:rsidRPr="005631A4" w:rsidRDefault="005631A4" w:rsidP="005631A4">
      <w:pPr>
        <w:keepNext/>
        <w:keepLines/>
        <w:spacing w:before="240" w:after="120"/>
        <w:jc w:val="both"/>
        <w:outlineLvl w:val="4"/>
        <w:rPr>
          <w:rFonts w:asciiTheme="majorHAnsi" w:eastAsiaTheme="majorEastAsia" w:hAnsiTheme="majorHAnsi" w:cstheme="majorBidi"/>
          <w:i/>
          <w:color w:val="2E74B5" w:themeColor="accent1" w:themeShade="BF"/>
          <w:sz w:val="23"/>
        </w:rPr>
      </w:pPr>
      <w:r w:rsidRPr="005631A4">
        <w:rPr>
          <w:rFonts w:asciiTheme="majorHAnsi" w:eastAsiaTheme="majorEastAsia" w:hAnsiTheme="majorHAnsi" w:cstheme="majorBidi"/>
          <w:i/>
          <w:color w:val="2E74B5" w:themeColor="accent1" w:themeShade="BF"/>
          <w:sz w:val="23"/>
        </w:rPr>
        <w:t>Działania</w:t>
      </w:r>
    </w:p>
    <w:p w14:paraId="4D1A7668" w14:textId="5FDFA2D6" w:rsidR="005631A4" w:rsidRPr="005631A4" w:rsidRDefault="005631A4" w:rsidP="005631A4">
      <w:pPr>
        <w:keepNext/>
        <w:keepLines/>
        <w:numPr>
          <w:ilvl w:val="6"/>
          <w:numId w:val="38"/>
        </w:numPr>
        <w:shd w:val="clear" w:color="auto" w:fill="DEEAF6" w:themeFill="accent1" w:themeFillTint="33"/>
        <w:spacing w:before="180" w:after="120"/>
        <w:ind w:left="567" w:hanging="283"/>
        <w:jc w:val="both"/>
        <w:outlineLvl w:val="5"/>
        <w:rPr>
          <w:rFonts w:eastAsiaTheme="majorEastAsia" w:cstheme="majorBidi"/>
          <w:b/>
        </w:rPr>
      </w:pPr>
      <w:r w:rsidRPr="005631A4">
        <w:rPr>
          <w:rFonts w:eastAsiaTheme="majorEastAsia" w:cstheme="majorBidi"/>
          <w:b/>
        </w:rPr>
        <w:t xml:space="preserve">Opracowanie założeń pilotażu </w:t>
      </w:r>
      <w:bookmarkStart w:id="29" w:name="_Hlk40100457"/>
      <w:r w:rsidRPr="005631A4">
        <w:rPr>
          <w:rFonts w:eastAsiaTheme="majorEastAsia" w:cstheme="majorBidi"/>
          <w:b/>
        </w:rPr>
        <w:t xml:space="preserve">telefonicznej informacji i wsparcia psychologicznego dla osób </w:t>
      </w:r>
      <w:r w:rsidR="008F75B8">
        <w:rPr>
          <w:rFonts w:eastAsiaTheme="majorEastAsia" w:cstheme="majorBidi"/>
          <w:b/>
        </w:rPr>
        <w:t>z zaburzeniami</w:t>
      </w:r>
      <w:r w:rsidRPr="005631A4">
        <w:rPr>
          <w:rFonts w:eastAsiaTheme="majorEastAsia" w:cstheme="majorBidi"/>
          <w:b/>
        </w:rPr>
        <w:t xml:space="preserve"> otępien</w:t>
      </w:r>
      <w:r w:rsidR="008F75B8">
        <w:rPr>
          <w:rFonts w:eastAsiaTheme="majorEastAsia" w:cstheme="majorBidi"/>
          <w:b/>
        </w:rPr>
        <w:t>nymi</w:t>
      </w:r>
      <w:r w:rsidRPr="005631A4">
        <w:rPr>
          <w:rFonts w:eastAsiaTheme="majorEastAsia" w:cstheme="majorBidi"/>
          <w:b/>
        </w:rPr>
        <w:t xml:space="preserve"> </w:t>
      </w:r>
      <w:r w:rsidR="008F75B8">
        <w:rPr>
          <w:rFonts w:eastAsiaTheme="majorEastAsia" w:cstheme="majorBidi"/>
          <w:b/>
        </w:rPr>
        <w:t>oraz</w:t>
      </w:r>
      <w:r w:rsidRPr="005631A4">
        <w:rPr>
          <w:rFonts w:eastAsiaTheme="majorEastAsia" w:cstheme="majorBidi"/>
          <w:b/>
        </w:rPr>
        <w:t xml:space="preserve"> ich opiekunów </w:t>
      </w:r>
      <w:bookmarkEnd w:id="29"/>
      <w:r w:rsidRPr="005631A4">
        <w:rPr>
          <w:rFonts w:eastAsiaTheme="majorEastAsia" w:cstheme="majorBidi"/>
          <w:b/>
        </w:rPr>
        <w:t xml:space="preserve">– do końca 2022 r. </w:t>
      </w:r>
    </w:p>
    <w:p w14:paraId="0B3D5ABC" w14:textId="77777777" w:rsidR="005631A4" w:rsidRPr="005631A4" w:rsidRDefault="005631A4" w:rsidP="005631A4">
      <w:pPr>
        <w:suppressAutoHyphens/>
        <w:autoSpaceDN w:val="0"/>
        <w:spacing w:after="120"/>
        <w:ind w:left="567"/>
        <w:jc w:val="both"/>
        <w:textAlignment w:val="baseline"/>
        <w:rPr>
          <w:rFonts w:ascii="Calibri" w:eastAsia="Times New Roman" w:hAnsi="Calibri" w:cs="F"/>
        </w:rPr>
      </w:pPr>
      <w:r w:rsidRPr="005631A4">
        <w:rPr>
          <w:rFonts w:ascii="Calibri" w:eastAsia="Times New Roman" w:hAnsi="Calibri" w:cs="F"/>
        </w:rPr>
        <w:t>Dla celów przeprowadzenia pilotażu telefonicznej informacji i wsparcia psychologicznego dla osób chorych na otępienia i ich opiekunów planuje się opracowanie przez wybranych ekspertów założeń realizacji poszczególnych działań w tym zakresie.</w:t>
      </w:r>
    </w:p>
    <w:p w14:paraId="4BCEA7CD" w14:textId="2C75410F" w:rsidR="005631A4" w:rsidRPr="005631A4" w:rsidRDefault="005631A4" w:rsidP="005631A4">
      <w:pPr>
        <w:keepNext/>
        <w:keepLines/>
        <w:numPr>
          <w:ilvl w:val="6"/>
          <w:numId w:val="38"/>
        </w:numPr>
        <w:shd w:val="clear" w:color="auto" w:fill="DEEAF6" w:themeFill="accent1" w:themeFillTint="33"/>
        <w:spacing w:before="180" w:after="120"/>
        <w:ind w:left="567" w:hanging="283"/>
        <w:jc w:val="both"/>
        <w:outlineLvl w:val="5"/>
        <w:rPr>
          <w:rFonts w:eastAsiaTheme="majorEastAsia" w:cstheme="majorBidi"/>
          <w:b/>
        </w:rPr>
      </w:pPr>
      <w:r w:rsidRPr="005631A4">
        <w:rPr>
          <w:rFonts w:eastAsiaTheme="majorEastAsia" w:cstheme="majorBidi"/>
          <w:b/>
        </w:rPr>
        <w:lastRenderedPageBreak/>
        <w:t xml:space="preserve">Przeprowadzenie pilotażu telefonicznej informacji i wsparcia psychologicznego dla co najmniej 30 000 osób </w:t>
      </w:r>
      <w:r w:rsidR="008F75B8">
        <w:rPr>
          <w:rFonts w:eastAsiaTheme="majorEastAsia" w:cstheme="majorBidi"/>
          <w:b/>
        </w:rPr>
        <w:t>z zaburzeniami</w:t>
      </w:r>
      <w:r w:rsidRPr="005631A4">
        <w:rPr>
          <w:rFonts w:eastAsiaTheme="majorEastAsia" w:cstheme="majorBidi"/>
          <w:b/>
        </w:rPr>
        <w:t xml:space="preserve"> otępien</w:t>
      </w:r>
      <w:r w:rsidR="008F75B8">
        <w:rPr>
          <w:rFonts w:eastAsiaTheme="majorEastAsia" w:cstheme="majorBidi"/>
          <w:b/>
        </w:rPr>
        <w:t>nymi</w:t>
      </w:r>
      <w:r w:rsidRPr="005631A4">
        <w:rPr>
          <w:rFonts w:eastAsiaTheme="majorEastAsia" w:cstheme="majorBidi"/>
          <w:b/>
        </w:rPr>
        <w:t xml:space="preserve"> </w:t>
      </w:r>
      <w:r w:rsidR="008F75B8">
        <w:rPr>
          <w:rFonts w:eastAsiaTheme="majorEastAsia" w:cstheme="majorBidi"/>
          <w:b/>
        </w:rPr>
        <w:t>oraz</w:t>
      </w:r>
      <w:r w:rsidRPr="005631A4">
        <w:rPr>
          <w:rFonts w:eastAsiaTheme="majorEastAsia" w:cstheme="majorBidi"/>
          <w:b/>
        </w:rPr>
        <w:t xml:space="preserve"> ich opiekunów – do końca 2025 r.</w:t>
      </w:r>
    </w:p>
    <w:p w14:paraId="52084494" w14:textId="77777777" w:rsidR="005631A4" w:rsidRPr="005631A4" w:rsidRDefault="005631A4" w:rsidP="005631A4">
      <w:pPr>
        <w:spacing w:after="120"/>
        <w:ind w:left="567"/>
        <w:jc w:val="both"/>
      </w:pPr>
      <w:r w:rsidRPr="005631A4">
        <w:t xml:space="preserve">Pilotażowe uruchomienie telefonicznej informacji i wsparcia psychologicznego dla osób chorych na otępienia i ich opiekunów pozwoli na udzielenie osobom dzwoniącym bieżących informacji odnośnie przebiegu choroby, dostępnych usług społecznych stanowiących wsparcie dla osób chorych i ich opiekunów, kwestii prawnych, a także zapewnienie wsparcia emocjonalnego oraz pomocy w zakresie radzenia sobie z chorobą. </w:t>
      </w:r>
    </w:p>
    <w:p w14:paraId="223BCB31" w14:textId="3408E08A" w:rsidR="005631A4" w:rsidRPr="005631A4" w:rsidRDefault="00060AAF" w:rsidP="005631A4">
      <w:pPr>
        <w:keepNext/>
        <w:keepLines/>
        <w:numPr>
          <w:ilvl w:val="6"/>
          <w:numId w:val="38"/>
        </w:numPr>
        <w:shd w:val="clear" w:color="auto" w:fill="DEEAF6" w:themeFill="accent1" w:themeFillTint="33"/>
        <w:spacing w:before="180" w:after="120"/>
        <w:ind w:left="567" w:hanging="283"/>
        <w:jc w:val="both"/>
        <w:outlineLvl w:val="5"/>
        <w:rPr>
          <w:rFonts w:eastAsiaTheme="majorEastAsia" w:cstheme="majorBidi"/>
          <w:b/>
          <w:bCs/>
          <w:lang w:eastAsia="pl-PL"/>
        </w:rPr>
      </w:pPr>
      <w:r>
        <w:rPr>
          <w:rFonts w:eastAsiaTheme="majorEastAsia" w:cstheme="majorBidi"/>
          <w:b/>
          <w:bCs/>
        </w:rPr>
        <w:t xml:space="preserve">Ewaluacja </w:t>
      </w:r>
      <w:r w:rsidR="005631A4" w:rsidRPr="005631A4">
        <w:rPr>
          <w:rFonts w:eastAsiaTheme="majorEastAsia" w:cstheme="majorBidi"/>
          <w:b/>
          <w:bCs/>
        </w:rPr>
        <w:t xml:space="preserve">rezultatów </w:t>
      </w:r>
      <w:r w:rsidR="005631A4" w:rsidRPr="005631A4">
        <w:rPr>
          <w:rFonts w:eastAsiaTheme="majorEastAsia" w:cstheme="majorBidi"/>
          <w:b/>
          <w:bCs/>
          <w:lang w:eastAsia="pl-PL"/>
        </w:rPr>
        <w:t>przeprowadzonego pilotażu i analiza możliwości dalszego finansowania infolinii ze środków krajowych – do końca 2026 r.</w:t>
      </w:r>
    </w:p>
    <w:p w14:paraId="6AEEE014" w14:textId="77777777" w:rsidR="005631A4" w:rsidRPr="005631A4" w:rsidRDefault="005631A4" w:rsidP="005631A4">
      <w:pPr>
        <w:suppressAutoHyphens/>
        <w:autoSpaceDN w:val="0"/>
        <w:spacing w:after="120"/>
        <w:ind w:left="567"/>
        <w:jc w:val="both"/>
        <w:textAlignment w:val="baseline"/>
        <w:rPr>
          <w:rFonts w:ascii="Calibri" w:eastAsia="Calibri" w:hAnsi="Calibri" w:cs="F"/>
        </w:rPr>
      </w:pPr>
      <w:r w:rsidRPr="005631A4">
        <w:rPr>
          <w:rFonts w:ascii="Calibri" w:eastAsia="Calibri" w:hAnsi="Calibri" w:cs="F"/>
        </w:rPr>
        <w:t>Pilotaż zostanie poddany ewaluacji w celu sporządzenia oceny, czy zastosowana forma wsparcia może kwalifikować się do dofinansowania ze środków publicznych, tj. czy cechuje ją wystarczająca efektywność i skuteczność.</w:t>
      </w:r>
    </w:p>
    <w:p w14:paraId="691751D4" w14:textId="77777777" w:rsidR="005631A4" w:rsidRPr="005631A4" w:rsidRDefault="005631A4" w:rsidP="005631A4">
      <w:pPr>
        <w:keepNext/>
        <w:keepLines/>
        <w:numPr>
          <w:ilvl w:val="6"/>
          <w:numId w:val="38"/>
        </w:numPr>
        <w:shd w:val="clear" w:color="auto" w:fill="DEEAF6" w:themeFill="accent1" w:themeFillTint="33"/>
        <w:spacing w:before="180" w:after="120"/>
        <w:ind w:left="567" w:hanging="283"/>
        <w:jc w:val="both"/>
        <w:outlineLvl w:val="5"/>
        <w:rPr>
          <w:rFonts w:eastAsiaTheme="majorEastAsia" w:cstheme="majorBidi"/>
          <w:b/>
          <w:bCs/>
        </w:rPr>
      </w:pPr>
      <w:r w:rsidRPr="005631A4">
        <w:rPr>
          <w:rFonts w:eastAsiaTheme="majorEastAsia" w:cstheme="majorBidi"/>
          <w:b/>
          <w:bCs/>
        </w:rPr>
        <w:t>Utrzymanie funkcjonowania infolinii ze środków krajowych – do końca 2030 r.</w:t>
      </w:r>
    </w:p>
    <w:p w14:paraId="3EAB27E1" w14:textId="77777777" w:rsidR="005631A4" w:rsidRPr="005631A4" w:rsidRDefault="005631A4" w:rsidP="005631A4">
      <w:pPr>
        <w:suppressAutoHyphens/>
        <w:autoSpaceDN w:val="0"/>
        <w:spacing w:after="240"/>
        <w:ind w:left="567"/>
        <w:jc w:val="both"/>
        <w:textAlignment w:val="baseline"/>
        <w:rPr>
          <w:rFonts w:ascii="Calibri" w:eastAsia="Calibri" w:hAnsi="Calibri" w:cs="F"/>
        </w:rPr>
      </w:pPr>
      <w:r w:rsidRPr="005631A4">
        <w:rPr>
          <w:rFonts w:ascii="Calibri" w:eastAsia="Calibri" w:hAnsi="Calibri" w:cs="F"/>
        </w:rPr>
        <w:t>Opcjonalnie utrzymanie działania infolinii zostanie sfinansowane ze środków Narodowego Programu Zdrowia lub ze środków pozyskanych na realizację krajowego planu na rzecz demencji.</w:t>
      </w:r>
    </w:p>
    <w:tbl>
      <w:tblPr>
        <w:tblStyle w:val="Tabela-Siatka"/>
        <w:tblW w:w="10358"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555"/>
        <w:gridCol w:w="1144"/>
        <w:gridCol w:w="709"/>
        <w:gridCol w:w="709"/>
        <w:gridCol w:w="727"/>
        <w:gridCol w:w="691"/>
        <w:gridCol w:w="691"/>
        <w:gridCol w:w="691"/>
        <w:gridCol w:w="691"/>
        <w:gridCol w:w="666"/>
        <w:gridCol w:w="693"/>
        <w:gridCol w:w="696"/>
        <w:gridCol w:w="695"/>
      </w:tblGrid>
      <w:tr w:rsidR="005631A4" w:rsidRPr="005631A4" w14:paraId="0C253DEF" w14:textId="77777777" w:rsidTr="005631A4">
        <w:trPr>
          <w:jc w:val="center"/>
        </w:trPr>
        <w:tc>
          <w:tcPr>
            <w:tcW w:w="10358" w:type="dxa"/>
            <w:gridSpan w:val="13"/>
            <w:shd w:val="clear" w:color="auto" w:fill="65A2D9"/>
            <w:vAlign w:val="center"/>
          </w:tcPr>
          <w:p w14:paraId="4725B1DD" w14:textId="77777777" w:rsidR="005631A4" w:rsidRPr="005631A4" w:rsidRDefault="005631A4" w:rsidP="005631A4">
            <w:pPr>
              <w:spacing w:before="60" w:after="60"/>
              <w:jc w:val="both"/>
              <w:rPr>
                <w:b/>
                <w:bCs/>
              </w:rPr>
            </w:pPr>
            <w:r w:rsidRPr="005631A4">
              <w:rPr>
                <w:b/>
                <w:bCs/>
                <w:sz w:val="24"/>
                <w:szCs w:val="24"/>
              </w:rPr>
              <w:t>REZULTAT 3</w:t>
            </w:r>
          </w:p>
        </w:tc>
      </w:tr>
      <w:tr w:rsidR="005631A4" w:rsidRPr="005631A4" w14:paraId="321C2BDB" w14:textId="77777777" w:rsidTr="005631A4">
        <w:trPr>
          <w:jc w:val="center"/>
        </w:trPr>
        <w:tc>
          <w:tcPr>
            <w:tcW w:w="1555" w:type="dxa"/>
            <w:vMerge w:val="restart"/>
            <w:shd w:val="clear" w:color="auto" w:fill="9CC2E5" w:themeFill="accent1" w:themeFillTint="99"/>
            <w:vAlign w:val="center"/>
          </w:tcPr>
          <w:p w14:paraId="0BC5BAB7" w14:textId="77777777" w:rsidR="005631A4" w:rsidRPr="005631A4" w:rsidRDefault="005631A4" w:rsidP="00CE3D48">
            <w:pPr>
              <w:spacing w:before="60" w:after="60"/>
              <w:jc w:val="center"/>
              <w:rPr>
                <w:b/>
                <w:bCs/>
              </w:rPr>
            </w:pPr>
            <w:r w:rsidRPr="005631A4">
              <w:rPr>
                <w:b/>
                <w:bCs/>
              </w:rPr>
              <w:t>Termin realizacji działań</w:t>
            </w:r>
          </w:p>
        </w:tc>
        <w:tc>
          <w:tcPr>
            <w:tcW w:w="1144" w:type="dxa"/>
            <w:shd w:val="clear" w:color="auto" w:fill="9CC2E5" w:themeFill="accent1" w:themeFillTint="99"/>
            <w:vAlign w:val="center"/>
          </w:tcPr>
          <w:p w14:paraId="3B98BD7F" w14:textId="77777777" w:rsidR="005631A4" w:rsidRPr="005631A4" w:rsidRDefault="005631A4" w:rsidP="005631A4">
            <w:pPr>
              <w:spacing w:before="60" w:after="60"/>
              <w:jc w:val="center"/>
            </w:pPr>
            <w:r w:rsidRPr="005631A4">
              <w:t>Nr działania</w:t>
            </w:r>
          </w:p>
        </w:tc>
        <w:tc>
          <w:tcPr>
            <w:tcW w:w="709" w:type="dxa"/>
            <w:shd w:val="clear" w:color="auto" w:fill="9CC2E5" w:themeFill="accent1" w:themeFillTint="99"/>
            <w:vAlign w:val="center"/>
          </w:tcPr>
          <w:p w14:paraId="6DAA81C2" w14:textId="77777777" w:rsidR="005631A4" w:rsidRPr="005631A4" w:rsidRDefault="005631A4" w:rsidP="005631A4">
            <w:pPr>
              <w:spacing w:before="60" w:after="60"/>
              <w:jc w:val="both"/>
            </w:pPr>
            <w:r w:rsidRPr="005631A4">
              <w:t>2020</w:t>
            </w:r>
          </w:p>
        </w:tc>
        <w:tc>
          <w:tcPr>
            <w:tcW w:w="709" w:type="dxa"/>
            <w:shd w:val="clear" w:color="auto" w:fill="9CC2E5" w:themeFill="accent1" w:themeFillTint="99"/>
            <w:vAlign w:val="center"/>
          </w:tcPr>
          <w:p w14:paraId="4140DA66" w14:textId="77777777" w:rsidR="005631A4" w:rsidRPr="005631A4" w:rsidRDefault="005631A4" w:rsidP="005631A4">
            <w:pPr>
              <w:spacing w:before="60" w:after="60"/>
              <w:jc w:val="both"/>
            </w:pPr>
            <w:r w:rsidRPr="005631A4">
              <w:t>2021</w:t>
            </w:r>
          </w:p>
        </w:tc>
        <w:tc>
          <w:tcPr>
            <w:tcW w:w="727" w:type="dxa"/>
            <w:shd w:val="clear" w:color="auto" w:fill="9CC2E5" w:themeFill="accent1" w:themeFillTint="99"/>
            <w:vAlign w:val="center"/>
          </w:tcPr>
          <w:p w14:paraId="70075CAF" w14:textId="77777777" w:rsidR="005631A4" w:rsidRPr="005631A4" w:rsidRDefault="005631A4" w:rsidP="005631A4">
            <w:pPr>
              <w:spacing w:before="60" w:after="60"/>
              <w:jc w:val="both"/>
            </w:pPr>
            <w:r w:rsidRPr="005631A4">
              <w:t>2022</w:t>
            </w:r>
          </w:p>
        </w:tc>
        <w:tc>
          <w:tcPr>
            <w:tcW w:w="691" w:type="dxa"/>
            <w:shd w:val="clear" w:color="auto" w:fill="9CC2E5" w:themeFill="accent1" w:themeFillTint="99"/>
            <w:vAlign w:val="center"/>
          </w:tcPr>
          <w:p w14:paraId="657B9969" w14:textId="77777777" w:rsidR="005631A4" w:rsidRPr="005631A4" w:rsidRDefault="005631A4" w:rsidP="005631A4">
            <w:pPr>
              <w:spacing w:before="60" w:after="60"/>
              <w:jc w:val="both"/>
            </w:pPr>
            <w:r w:rsidRPr="005631A4">
              <w:t>2023</w:t>
            </w:r>
          </w:p>
        </w:tc>
        <w:tc>
          <w:tcPr>
            <w:tcW w:w="691" w:type="dxa"/>
            <w:shd w:val="clear" w:color="auto" w:fill="9CC2E5" w:themeFill="accent1" w:themeFillTint="99"/>
            <w:vAlign w:val="center"/>
          </w:tcPr>
          <w:p w14:paraId="51B94A74" w14:textId="77777777" w:rsidR="005631A4" w:rsidRPr="005631A4" w:rsidRDefault="005631A4" w:rsidP="005631A4">
            <w:pPr>
              <w:spacing w:before="60" w:after="60"/>
              <w:jc w:val="both"/>
            </w:pPr>
            <w:r w:rsidRPr="005631A4">
              <w:t>2024</w:t>
            </w:r>
          </w:p>
        </w:tc>
        <w:tc>
          <w:tcPr>
            <w:tcW w:w="691" w:type="dxa"/>
            <w:shd w:val="clear" w:color="auto" w:fill="9CC2E5" w:themeFill="accent1" w:themeFillTint="99"/>
            <w:vAlign w:val="center"/>
          </w:tcPr>
          <w:p w14:paraId="4C6A20E7" w14:textId="77777777" w:rsidR="005631A4" w:rsidRPr="005631A4" w:rsidRDefault="005631A4" w:rsidP="005631A4">
            <w:pPr>
              <w:spacing w:before="60" w:after="60"/>
              <w:jc w:val="both"/>
            </w:pPr>
            <w:r w:rsidRPr="005631A4">
              <w:t>2025</w:t>
            </w:r>
          </w:p>
        </w:tc>
        <w:tc>
          <w:tcPr>
            <w:tcW w:w="691" w:type="dxa"/>
            <w:shd w:val="clear" w:color="auto" w:fill="9CC2E5" w:themeFill="accent1" w:themeFillTint="99"/>
            <w:vAlign w:val="center"/>
          </w:tcPr>
          <w:p w14:paraId="1E7D12D0" w14:textId="77777777" w:rsidR="005631A4" w:rsidRPr="005631A4" w:rsidRDefault="005631A4" w:rsidP="005631A4">
            <w:pPr>
              <w:spacing w:before="60" w:after="60"/>
              <w:jc w:val="both"/>
            </w:pPr>
            <w:r w:rsidRPr="005631A4">
              <w:t>2026</w:t>
            </w:r>
          </w:p>
        </w:tc>
        <w:tc>
          <w:tcPr>
            <w:tcW w:w="666" w:type="dxa"/>
            <w:shd w:val="clear" w:color="auto" w:fill="9CC2E5" w:themeFill="accent1" w:themeFillTint="99"/>
            <w:vAlign w:val="center"/>
          </w:tcPr>
          <w:p w14:paraId="3F4787AF" w14:textId="77777777" w:rsidR="005631A4" w:rsidRPr="005631A4" w:rsidRDefault="005631A4" w:rsidP="005631A4">
            <w:pPr>
              <w:spacing w:before="60" w:after="60"/>
              <w:jc w:val="both"/>
            </w:pPr>
            <w:r w:rsidRPr="005631A4">
              <w:t>2027</w:t>
            </w:r>
          </w:p>
        </w:tc>
        <w:tc>
          <w:tcPr>
            <w:tcW w:w="693" w:type="dxa"/>
            <w:shd w:val="clear" w:color="auto" w:fill="9CC2E5" w:themeFill="accent1" w:themeFillTint="99"/>
            <w:vAlign w:val="center"/>
          </w:tcPr>
          <w:p w14:paraId="362D2169" w14:textId="77777777" w:rsidR="005631A4" w:rsidRPr="005631A4" w:rsidRDefault="005631A4" w:rsidP="005631A4">
            <w:pPr>
              <w:spacing w:before="60" w:after="60"/>
              <w:jc w:val="both"/>
            </w:pPr>
            <w:r w:rsidRPr="005631A4">
              <w:t>2028</w:t>
            </w:r>
          </w:p>
        </w:tc>
        <w:tc>
          <w:tcPr>
            <w:tcW w:w="696" w:type="dxa"/>
            <w:shd w:val="clear" w:color="auto" w:fill="9CC2E5" w:themeFill="accent1" w:themeFillTint="99"/>
            <w:vAlign w:val="center"/>
          </w:tcPr>
          <w:p w14:paraId="7C679501" w14:textId="77777777" w:rsidR="005631A4" w:rsidRPr="005631A4" w:rsidRDefault="005631A4" w:rsidP="005631A4">
            <w:pPr>
              <w:spacing w:before="60" w:after="60"/>
              <w:jc w:val="both"/>
            </w:pPr>
            <w:r w:rsidRPr="005631A4">
              <w:t>2029</w:t>
            </w:r>
          </w:p>
        </w:tc>
        <w:tc>
          <w:tcPr>
            <w:tcW w:w="695" w:type="dxa"/>
            <w:shd w:val="clear" w:color="auto" w:fill="9CC2E5" w:themeFill="accent1" w:themeFillTint="99"/>
            <w:vAlign w:val="center"/>
          </w:tcPr>
          <w:p w14:paraId="2CCC3BBA" w14:textId="77777777" w:rsidR="005631A4" w:rsidRPr="005631A4" w:rsidRDefault="005631A4" w:rsidP="005631A4">
            <w:pPr>
              <w:spacing w:before="60" w:after="60"/>
              <w:jc w:val="both"/>
            </w:pPr>
            <w:r w:rsidRPr="005631A4">
              <w:t>2030</w:t>
            </w:r>
          </w:p>
        </w:tc>
      </w:tr>
      <w:tr w:rsidR="005631A4" w:rsidRPr="005631A4" w14:paraId="10D82DB2" w14:textId="77777777" w:rsidTr="005631A4">
        <w:trPr>
          <w:jc w:val="center"/>
        </w:trPr>
        <w:tc>
          <w:tcPr>
            <w:tcW w:w="1555" w:type="dxa"/>
            <w:vMerge/>
            <w:vAlign w:val="center"/>
          </w:tcPr>
          <w:p w14:paraId="7DCB4FDD" w14:textId="77777777" w:rsidR="005631A4" w:rsidRPr="005631A4" w:rsidRDefault="005631A4" w:rsidP="00CE3D48">
            <w:pPr>
              <w:spacing w:before="60" w:after="60"/>
              <w:jc w:val="center"/>
              <w:rPr>
                <w:b/>
                <w:bCs/>
              </w:rPr>
            </w:pPr>
          </w:p>
        </w:tc>
        <w:tc>
          <w:tcPr>
            <w:tcW w:w="1144" w:type="dxa"/>
            <w:shd w:val="clear" w:color="auto" w:fill="BDD6EE" w:themeFill="accent1" w:themeFillTint="66"/>
            <w:vAlign w:val="center"/>
          </w:tcPr>
          <w:p w14:paraId="7BC3D348" w14:textId="77777777" w:rsidR="005631A4" w:rsidRPr="005631A4" w:rsidRDefault="005631A4" w:rsidP="005631A4">
            <w:pPr>
              <w:spacing w:before="60" w:after="60"/>
              <w:jc w:val="center"/>
            </w:pPr>
            <w:r w:rsidRPr="005631A4">
              <w:t>1.</w:t>
            </w:r>
          </w:p>
        </w:tc>
        <w:tc>
          <w:tcPr>
            <w:tcW w:w="709" w:type="dxa"/>
            <w:shd w:val="clear" w:color="auto" w:fill="DEEAF6" w:themeFill="accent1" w:themeFillTint="33"/>
            <w:vAlign w:val="center"/>
          </w:tcPr>
          <w:p w14:paraId="228D770E" w14:textId="77777777" w:rsidR="005631A4" w:rsidRPr="005631A4" w:rsidRDefault="005631A4" w:rsidP="005631A4">
            <w:pPr>
              <w:spacing w:before="60" w:after="60"/>
              <w:jc w:val="center"/>
            </w:pPr>
          </w:p>
        </w:tc>
        <w:tc>
          <w:tcPr>
            <w:tcW w:w="709" w:type="dxa"/>
            <w:shd w:val="clear" w:color="auto" w:fill="BDD6EE" w:themeFill="accent1" w:themeFillTint="66"/>
            <w:vAlign w:val="center"/>
          </w:tcPr>
          <w:p w14:paraId="281D1E57" w14:textId="0C1C824B" w:rsidR="005631A4" w:rsidRPr="005631A4" w:rsidRDefault="005631A4" w:rsidP="005631A4">
            <w:pPr>
              <w:spacing w:before="60" w:after="60"/>
              <w:jc w:val="center"/>
              <w:rPr>
                <w:sz w:val="16"/>
                <w:szCs w:val="16"/>
              </w:rPr>
            </w:pPr>
          </w:p>
        </w:tc>
        <w:tc>
          <w:tcPr>
            <w:tcW w:w="727" w:type="dxa"/>
            <w:shd w:val="clear" w:color="auto" w:fill="BDD6EE" w:themeFill="accent1" w:themeFillTint="66"/>
            <w:vAlign w:val="center"/>
          </w:tcPr>
          <w:p w14:paraId="0021C9AC" w14:textId="3CBF3642" w:rsidR="005631A4" w:rsidRPr="005631A4" w:rsidRDefault="005631A4" w:rsidP="005631A4">
            <w:pPr>
              <w:spacing w:before="60" w:after="60"/>
              <w:jc w:val="center"/>
              <w:rPr>
                <w:sz w:val="16"/>
                <w:szCs w:val="16"/>
              </w:rPr>
            </w:pPr>
          </w:p>
        </w:tc>
        <w:tc>
          <w:tcPr>
            <w:tcW w:w="691" w:type="dxa"/>
            <w:shd w:val="clear" w:color="auto" w:fill="DEEAF6" w:themeFill="accent1" w:themeFillTint="33"/>
            <w:vAlign w:val="center"/>
          </w:tcPr>
          <w:p w14:paraId="2B428BB3" w14:textId="77777777" w:rsidR="005631A4" w:rsidRPr="005631A4" w:rsidRDefault="005631A4" w:rsidP="005631A4">
            <w:pPr>
              <w:spacing w:before="60" w:after="60"/>
              <w:jc w:val="center"/>
              <w:rPr>
                <w:sz w:val="16"/>
                <w:szCs w:val="16"/>
              </w:rPr>
            </w:pPr>
          </w:p>
        </w:tc>
        <w:tc>
          <w:tcPr>
            <w:tcW w:w="691" w:type="dxa"/>
            <w:shd w:val="clear" w:color="auto" w:fill="DEEAF6" w:themeFill="accent1" w:themeFillTint="33"/>
            <w:vAlign w:val="center"/>
          </w:tcPr>
          <w:p w14:paraId="32F61F0E" w14:textId="77777777" w:rsidR="005631A4" w:rsidRPr="005631A4" w:rsidRDefault="005631A4" w:rsidP="005631A4">
            <w:pPr>
              <w:spacing w:before="60" w:after="60"/>
              <w:jc w:val="center"/>
              <w:rPr>
                <w:sz w:val="16"/>
                <w:szCs w:val="16"/>
              </w:rPr>
            </w:pPr>
          </w:p>
        </w:tc>
        <w:tc>
          <w:tcPr>
            <w:tcW w:w="691" w:type="dxa"/>
            <w:shd w:val="clear" w:color="auto" w:fill="DEEAF6" w:themeFill="accent1" w:themeFillTint="33"/>
            <w:vAlign w:val="center"/>
          </w:tcPr>
          <w:p w14:paraId="271239D3" w14:textId="77777777" w:rsidR="005631A4" w:rsidRPr="005631A4" w:rsidRDefault="005631A4" w:rsidP="005631A4">
            <w:pPr>
              <w:spacing w:before="60" w:after="60"/>
              <w:jc w:val="center"/>
              <w:rPr>
                <w:sz w:val="16"/>
                <w:szCs w:val="16"/>
              </w:rPr>
            </w:pPr>
          </w:p>
        </w:tc>
        <w:tc>
          <w:tcPr>
            <w:tcW w:w="691" w:type="dxa"/>
            <w:shd w:val="clear" w:color="auto" w:fill="DEEAF6" w:themeFill="accent1" w:themeFillTint="33"/>
            <w:vAlign w:val="center"/>
          </w:tcPr>
          <w:p w14:paraId="0141100C" w14:textId="77777777" w:rsidR="005631A4" w:rsidRPr="005631A4" w:rsidRDefault="005631A4" w:rsidP="005631A4">
            <w:pPr>
              <w:spacing w:before="60" w:after="60"/>
              <w:jc w:val="center"/>
              <w:rPr>
                <w:sz w:val="16"/>
                <w:szCs w:val="16"/>
              </w:rPr>
            </w:pPr>
          </w:p>
        </w:tc>
        <w:tc>
          <w:tcPr>
            <w:tcW w:w="666" w:type="dxa"/>
            <w:shd w:val="clear" w:color="auto" w:fill="DEEAF6" w:themeFill="accent1" w:themeFillTint="33"/>
          </w:tcPr>
          <w:p w14:paraId="38115F45" w14:textId="77777777" w:rsidR="005631A4" w:rsidRPr="005631A4" w:rsidRDefault="005631A4" w:rsidP="005631A4">
            <w:pPr>
              <w:spacing w:before="60" w:after="60"/>
              <w:jc w:val="center"/>
              <w:rPr>
                <w:sz w:val="16"/>
                <w:szCs w:val="16"/>
              </w:rPr>
            </w:pPr>
          </w:p>
        </w:tc>
        <w:tc>
          <w:tcPr>
            <w:tcW w:w="693" w:type="dxa"/>
            <w:shd w:val="clear" w:color="auto" w:fill="DEEAF6" w:themeFill="accent1" w:themeFillTint="33"/>
          </w:tcPr>
          <w:p w14:paraId="0D80BBC7" w14:textId="77777777" w:rsidR="005631A4" w:rsidRPr="005631A4" w:rsidRDefault="005631A4" w:rsidP="005631A4">
            <w:pPr>
              <w:spacing w:before="60" w:after="60"/>
              <w:jc w:val="center"/>
              <w:rPr>
                <w:sz w:val="16"/>
                <w:szCs w:val="16"/>
              </w:rPr>
            </w:pPr>
          </w:p>
        </w:tc>
        <w:tc>
          <w:tcPr>
            <w:tcW w:w="696" w:type="dxa"/>
            <w:shd w:val="clear" w:color="auto" w:fill="DEEAF6" w:themeFill="accent1" w:themeFillTint="33"/>
          </w:tcPr>
          <w:p w14:paraId="1EB07AD7" w14:textId="77777777" w:rsidR="005631A4" w:rsidRPr="005631A4" w:rsidRDefault="005631A4" w:rsidP="005631A4">
            <w:pPr>
              <w:spacing w:before="60" w:after="60"/>
              <w:jc w:val="center"/>
              <w:rPr>
                <w:sz w:val="16"/>
                <w:szCs w:val="16"/>
              </w:rPr>
            </w:pPr>
          </w:p>
        </w:tc>
        <w:tc>
          <w:tcPr>
            <w:tcW w:w="695" w:type="dxa"/>
            <w:shd w:val="clear" w:color="auto" w:fill="DEEAF6" w:themeFill="accent1" w:themeFillTint="33"/>
          </w:tcPr>
          <w:p w14:paraId="736550C3" w14:textId="77777777" w:rsidR="005631A4" w:rsidRPr="005631A4" w:rsidRDefault="005631A4" w:rsidP="005631A4">
            <w:pPr>
              <w:spacing w:before="60" w:after="60"/>
              <w:jc w:val="center"/>
              <w:rPr>
                <w:sz w:val="16"/>
                <w:szCs w:val="16"/>
              </w:rPr>
            </w:pPr>
          </w:p>
        </w:tc>
      </w:tr>
      <w:tr w:rsidR="005631A4" w:rsidRPr="005631A4" w14:paraId="0A4B9C33" w14:textId="77777777" w:rsidTr="005631A4">
        <w:trPr>
          <w:jc w:val="center"/>
        </w:trPr>
        <w:tc>
          <w:tcPr>
            <w:tcW w:w="1555" w:type="dxa"/>
            <w:vMerge/>
            <w:vAlign w:val="center"/>
          </w:tcPr>
          <w:p w14:paraId="505DCC05" w14:textId="77777777" w:rsidR="005631A4" w:rsidRPr="005631A4" w:rsidRDefault="005631A4" w:rsidP="00CE3D48">
            <w:pPr>
              <w:spacing w:before="60" w:after="60"/>
              <w:jc w:val="center"/>
              <w:rPr>
                <w:b/>
                <w:bCs/>
              </w:rPr>
            </w:pPr>
          </w:p>
        </w:tc>
        <w:tc>
          <w:tcPr>
            <w:tcW w:w="1144" w:type="dxa"/>
            <w:shd w:val="clear" w:color="auto" w:fill="BDD6EE" w:themeFill="accent1" w:themeFillTint="66"/>
            <w:vAlign w:val="center"/>
          </w:tcPr>
          <w:p w14:paraId="3968CB29" w14:textId="77777777" w:rsidR="005631A4" w:rsidRPr="005631A4" w:rsidRDefault="005631A4" w:rsidP="005631A4">
            <w:pPr>
              <w:spacing w:before="60" w:after="60"/>
              <w:jc w:val="center"/>
            </w:pPr>
            <w:r w:rsidRPr="005631A4">
              <w:t>2.</w:t>
            </w:r>
          </w:p>
        </w:tc>
        <w:tc>
          <w:tcPr>
            <w:tcW w:w="709" w:type="dxa"/>
            <w:shd w:val="clear" w:color="auto" w:fill="DEEAF6" w:themeFill="accent1" w:themeFillTint="33"/>
            <w:vAlign w:val="center"/>
          </w:tcPr>
          <w:p w14:paraId="0446BA97" w14:textId="77777777" w:rsidR="005631A4" w:rsidRPr="005631A4" w:rsidRDefault="005631A4" w:rsidP="005631A4">
            <w:pPr>
              <w:spacing w:before="60" w:after="60"/>
              <w:jc w:val="center"/>
            </w:pPr>
          </w:p>
        </w:tc>
        <w:tc>
          <w:tcPr>
            <w:tcW w:w="709" w:type="dxa"/>
            <w:shd w:val="clear" w:color="auto" w:fill="DEEAF6" w:themeFill="accent1" w:themeFillTint="33"/>
            <w:vAlign w:val="center"/>
          </w:tcPr>
          <w:p w14:paraId="2870EC67" w14:textId="77777777" w:rsidR="005631A4" w:rsidRPr="005631A4" w:rsidRDefault="005631A4" w:rsidP="005631A4">
            <w:pPr>
              <w:spacing w:before="60" w:after="60"/>
              <w:jc w:val="center"/>
              <w:rPr>
                <w:sz w:val="16"/>
                <w:szCs w:val="16"/>
              </w:rPr>
            </w:pPr>
          </w:p>
        </w:tc>
        <w:tc>
          <w:tcPr>
            <w:tcW w:w="727" w:type="dxa"/>
            <w:shd w:val="clear" w:color="auto" w:fill="DEEAF6" w:themeFill="accent1" w:themeFillTint="33"/>
            <w:vAlign w:val="center"/>
          </w:tcPr>
          <w:p w14:paraId="0F29F214" w14:textId="77777777" w:rsidR="005631A4" w:rsidRPr="005631A4" w:rsidRDefault="005631A4" w:rsidP="005631A4">
            <w:pPr>
              <w:spacing w:before="60" w:after="60"/>
              <w:jc w:val="center"/>
              <w:rPr>
                <w:sz w:val="16"/>
                <w:szCs w:val="16"/>
              </w:rPr>
            </w:pPr>
          </w:p>
        </w:tc>
        <w:tc>
          <w:tcPr>
            <w:tcW w:w="691" w:type="dxa"/>
            <w:shd w:val="clear" w:color="auto" w:fill="BDD6EE" w:themeFill="accent1" w:themeFillTint="66"/>
            <w:vAlign w:val="center"/>
          </w:tcPr>
          <w:p w14:paraId="5738A7C1" w14:textId="0E914AFB" w:rsidR="005631A4" w:rsidRPr="005631A4" w:rsidRDefault="005631A4" w:rsidP="005631A4">
            <w:pPr>
              <w:spacing w:before="60" w:after="60"/>
              <w:jc w:val="center"/>
              <w:rPr>
                <w:sz w:val="16"/>
                <w:szCs w:val="16"/>
              </w:rPr>
            </w:pPr>
          </w:p>
        </w:tc>
        <w:tc>
          <w:tcPr>
            <w:tcW w:w="691" w:type="dxa"/>
            <w:shd w:val="clear" w:color="auto" w:fill="BDD6EE" w:themeFill="accent1" w:themeFillTint="66"/>
            <w:vAlign w:val="center"/>
          </w:tcPr>
          <w:p w14:paraId="338883AF" w14:textId="76F627A4" w:rsidR="005631A4" w:rsidRPr="005631A4" w:rsidRDefault="005631A4" w:rsidP="005631A4">
            <w:pPr>
              <w:spacing w:before="60" w:after="60"/>
              <w:jc w:val="center"/>
              <w:rPr>
                <w:sz w:val="16"/>
                <w:szCs w:val="16"/>
              </w:rPr>
            </w:pPr>
          </w:p>
        </w:tc>
        <w:tc>
          <w:tcPr>
            <w:tcW w:w="691" w:type="dxa"/>
            <w:shd w:val="clear" w:color="auto" w:fill="BDD6EE" w:themeFill="accent1" w:themeFillTint="66"/>
            <w:vAlign w:val="center"/>
          </w:tcPr>
          <w:p w14:paraId="1730B1FC" w14:textId="5C5BC213" w:rsidR="005631A4" w:rsidRPr="005631A4" w:rsidRDefault="005631A4" w:rsidP="005631A4">
            <w:pPr>
              <w:spacing w:before="60" w:after="60"/>
              <w:jc w:val="center"/>
              <w:rPr>
                <w:sz w:val="16"/>
                <w:szCs w:val="16"/>
              </w:rPr>
            </w:pPr>
          </w:p>
        </w:tc>
        <w:tc>
          <w:tcPr>
            <w:tcW w:w="691" w:type="dxa"/>
            <w:shd w:val="clear" w:color="auto" w:fill="DEEAF6" w:themeFill="accent1" w:themeFillTint="33"/>
            <w:vAlign w:val="center"/>
          </w:tcPr>
          <w:p w14:paraId="4228C91E" w14:textId="77777777" w:rsidR="005631A4" w:rsidRPr="005631A4" w:rsidRDefault="005631A4" w:rsidP="005631A4">
            <w:pPr>
              <w:spacing w:before="60" w:after="60"/>
              <w:jc w:val="center"/>
              <w:rPr>
                <w:sz w:val="16"/>
                <w:szCs w:val="16"/>
              </w:rPr>
            </w:pPr>
          </w:p>
        </w:tc>
        <w:tc>
          <w:tcPr>
            <w:tcW w:w="666" w:type="dxa"/>
            <w:shd w:val="clear" w:color="auto" w:fill="DEEAF6" w:themeFill="accent1" w:themeFillTint="33"/>
          </w:tcPr>
          <w:p w14:paraId="31B8630F" w14:textId="77777777" w:rsidR="005631A4" w:rsidRPr="005631A4" w:rsidRDefault="005631A4" w:rsidP="005631A4">
            <w:pPr>
              <w:spacing w:before="60" w:after="60"/>
              <w:jc w:val="center"/>
              <w:rPr>
                <w:sz w:val="16"/>
                <w:szCs w:val="16"/>
              </w:rPr>
            </w:pPr>
          </w:p>
        </w:tc>
        <w:tc>
          <w:tcPr>
            <w:tcW w:w="693" w:type="dxa"/>
            <w:shd w:val="clear" w:color="auto" w:fill="DEEAF6" w:themeFill="accent1" w:themeFillTint="33"/>
          </w:tcPr>
          <w:p w14:paraId="09BD0427" w14:textId="77777777" w:rsidR="005631A4" w:rsidRPr="005631A4" w:rsidRDefault="005631A4" w:rsidP="005631A4">
            <w:pPr>
              <w:spacing w:before="60" w:after="60"/>
              <w:jc w:val="center"/>
              <w:rPr>
                <w:sz w:val="16"/>
                <w:szCs w:val="16"/>
              </w:rPr>
            </w:pPr>
          </w:p>
        </w:tc>
        <w:tc>
          <w:tcPr>
            <w:tcW w:w="696" w:type="dxa"/>
            <w:shd w:val="clear" w:color="auto" w:fill="DEEAF6" w:themeFill="accent1" w:themeFillTint="33"/>
          </w:tcPr>
          <w:p w14:paraId="33550D82" w14:textId="77777777" w:rsidR="005631A4" w:rsidRPr="005631A4" w:rsidRDefault="005631A4" w:rsidP="005631A4">
            <w:pPr>
              <w:spacing w:before="60" w:after="60"/>
              <w:jc w:val="center"/>
              <w:rPr>
                <w:sz w:val="16"/>
                <w:szCs w:val="16"/>
              </w:rPr>
            </w:pPr>
          </w:p>
        </w:tc>
        <w:tc>
          <w:tcPr>
            <w:tcW w:w="695" w:type="dxa"/>
            <w:shd w:val="clear" w:color="auto" w:fill="DEEAF6" w:themeFill="accent1" w:themeFillTint="33"/>
          </w:tcPr>
          <w:p w14:paraId="60F3F6B0" w14:textId="77777777" w:rsidR="005631A4" w:rsidRPr="005631A4" w:rsidRDefault="005631A4" w:rsidP="005631A4">
            <w:pPr>
              <w:spacing w:before="60" w:after="60"/>
              <w:jc w:val="center"/>
              <w:rPr>
                <w:sz w:val="16"/>
                <w:szCs w:val="16"/>
              </w:rPr>
            </w:pPr>
          </w:p>
        </w:tc>
      </w:tr>
      <w:tr w:rsidR="005631A4" w:rsidRPr="005631A4" w14:paraId="3A551E45" w14:textId="77777777" w:rsidTr="005631A4">
        <w:trPr>
          <w:jc w:val="center"/>
        </w:trPr>
        <w:tc>
          <w:tcPr>
            <w:tcW w:w="1555" w:type="dxa"/>
            <w:vMerge/>
            <w:vAlign w:val="center"/>
          </w:tcPr>
          <w:p w14:paraId="11B41756" w14:textId="77777777" w:rsidR="005631A4" w:rsidRPr="005631A4" w:rsidRDefault="005631A4" w:rsidP="00CE3D48">
            <w:pPr>
              <w:spacing w:before="60" w:after="60"/>
              <w:jc w:val="center"/>
              <w:rPr>
                <w:b/>
                <w:bCs/>
              </w:rPr>
            </w:pPr>
          </w:p>
        </w:tc>
        <w:tc>
          <w:tcPr>
            <w:tcW w:w="1144" w:type="dxa"/>
            <w:shd w:val="clear" w:color="auto" w:fill="BDD6EE" w:themeFill="accent1" w:themeFillTint="66"/>
            <w:vAlign w:val="center"/>
          </w:tcPr>
          <w:p w14:paraId="44F00AAB" w14:textId="77777777" w:rsidR="005631A4" w:rsidRPr="005631A4" w:rsidRDefault="005631A4" w:rsidP="005631A4">
            <w:pPr>
              <w:spacing w:before="60" w:after="60"/>
              <w:jc w:val="center"/>
            </w:pPr>
            <w:r w:rsidRPr="005631A4">
              <w:t>3.</w:t>
            </w:r>
          </w:p>
        </w:tc>
        <w:tc>
          <w:tcPr>
            <w:tcW w:w="709" w:type="dxa"/>
            <w:shd w:val="clear" w:color="auto" w:fill="DEEAF6" w:themeFill="accent1" w:themeFillTint="33"/>
            <w:vAlign w:val="center"/>
          </w:tcPr>
          <w:p w14:paraId="47D62673" w14:textId="77777777" w:rsidR="005631A4" w:rsidRPr="005631A4" w:rsidRDefault="005631A4" w:rsidP="005631A4">
            <w:pPr>
              <w:spacing w:before="60" w:after="60"/>
              <w:jc w:val="center"/>
            </w:pPr>
          </w:p>
        </w:tc>
        <w:tc>
          <w:tcPr>
            <w:tcW w:w="709" w:type="dxa"/>
            <w:shd w:val="clear" w:color="auto" w:fill="DEEAF6" w:themeFill="accent1" w:themeFillTint="33"/>
            <w:vAlign w:val="center"/>
          </w:tcPr>
          <w:p w14:paraId="7D8DEBEE" w14:textId="77777777" w:rsidR="005631A4" w:rsidRPr="005631A4" w:rsidRDefault="005631A4" w:rsidP="005631A4">
            <w:pPr>
              <w:spacing w:before="60" w:after="60"/>
              <w:jc w:val="center"/>
              <w:rPr>
                <w:sz w:val="16"/>
                <w:szCs w:val="16"/>
              </w:rPr>
            </w:pPr>
          </w:p>
        </w:tc>
        <w:tc>
          <w:tcPr>
            <w:tcW w:w="727" w:type="dxa"/>
            <w:shd w:val="clear" w:color="auto" w:fill="DEEAF6" w:themeFill="accent1" w:themeFillTint="33"/>
            <w:vAlign w:val="center"/>
          </w:tcPr>
          <w:p w14:paraId="48A107B7" w14:textId="77777777" w:rsidR="005631A4" w:rsidRPr="005631A4" w:rsidRDefault="005631A4" w:rsidP="005631A4">
            <w:pPr>
              <w:spacing w:before="60" w:after="60"/>
              <w:jc w:val="center"/>
              <w:rPr>
                <w:sz w:val="16"/>
                <w:szCs w:val="16"/>
              </w:rPr>
            </w:pPr>
          </w:p>
        </w:tc>
        <w:tc>
          <w:tcPr>
            <w:tcW w:w="691" w:type="dxa"/>
            <w:shd w:val="clear" w:color="auto" w:fill="DEEAF6" w:themeFill="accent1" w:themeFillTint="33"/>
            <w:vAlign w:val="center"/>
          </w:tcPr>
          <w:p w14:paraId="64B1D3DD" w14:textId="77777777" w:rsidR="005631A4" w:rsidRPr="005631A4" w:rsidRDefault="005631A4" w:rsidP="005631A4">
            <w:pPr>
              <w:spacing w:before="60" w:after="60"/>
              <w:jc w:val="center"/>
              <w:rPr>
                <w:sz w:val="16"/>
                <w:szCs w:val="16"/>
              </w:rPr>
            </w:pPr>
          </w:p>
        </w:tc>
        <w:tc>
          <w:tcPr>
            <w:tcW w:w="691" w:type="dxa"/>
            <w:shd w:val="clear" w:color="auto" w:fill="DEEAF6" w:themeFill="accent1" w:themeFillTint="33"/>
            <w:vAlign w:val="center"/>
          </w:tcPr>
          <w:p w14:paraId="1519C411" w14:textId="77777777" w:rsidR="005631A4" w:rsidRPr="005631A4" w:rsidRDefault="005631A4" w:rsidP="005631A4">
            <w:pPr>
              <w:spacing w:before="60" w:after="60"/>
              <w:jc w:val="center"/>
              <w:rPr>
                <w:sz w:val="16"/>
                <w:szCs w:val="16"/>
              </w:rPr>
            </w:pPr>
          </w:p>
        </w:tc>
        <w:tc>
          <w:tcPr>
            <w:tcW w:w="691" w:type="dxa"/>
            <w:shd w:val="clear" w:color="auto" w:fill="DEEAF6" w:themeFill="accent1" w:themeFillTint="33"/>
            <w:vAlign w:val="center"/>
          </w:tcPr>
          <w:p w14:paraId="1883808B" w14:textId="77777777" w:rsidR="005631A4" w:rsidRPr="005631A4" w:rsidRDefault="005631A4" w:rsidP="005631A4">
            <w:pPr>
              <w:spacing w:before="60" w:after="60"/>
              <w:jc w:val="center"/>
              <w:rPr>
                <w:sz w:val="16"/>
                <w:szCs w:val="16"/>
              </w:rPr>
            </w:pPr>
          </w:p>
        </w:tc>
        <w:tc>
          <w:tcPr>
            <w:tcW w:w="691" w:type="dxa"/>
            <w:shd w:val="clear" w:color="auto" w:fill="BDD6EE" w:themeFill="accent1" w:themeFillTint="66"/>
            <w:vAlign w:val="center"/>
          </w:tcPr>
          <w:p w14:paraId="07E70919" w14:textId="47314AB6" w:rsidR="005631A4" w:rsidRPr="005631A4" w:rsidRDefault="005631A4" w:rsidP="005631A4">
            <w:pPr>
              <w:spacing w:before="60" w:after="60"/>
              <w:jc w:val="center"/>
              <w:rPr>
                <w:sz w:val="16"/>
                <w:szCs w:val="16"/>
              </w:rPr>
            </w:pPr>
          </w:p>
        </w:tc>
        <w:tc>
          <w:tcPr>
            <w:tcW w:w="666" w:type="dxa"/>
            <w:shd w:val="clear" w:color="auto" w:fill="DEEAF6" w:themeFill="accent1" w:themeFillTint="33"/>
          </w:tcPr>
          <w:p w14:paraId="4554CB30" w14:textId="77777777" w:rsidR="005631A4" w:rsidRPr="005631A4" w:rsidRDefault="005631A4" w:rsidP="005631A4">
            <w:pPr>
              <w:spacing w:before="60" w:after="60"/>
              <w:jc w:val="center"/>
              <w:rPr>
                <w:sz w:val="16"/>
                <w:szCs w:val="16"/>
              </w:rPr>
            </w:pPr>
          </w:p>
        </w:tc>
        <w:tc>
          <w:tcPr>
            <w:tcW w:w="693" w:type="dxa"/>
            <w:shd w:val="clear" w:color="auto" w:fill="DEEAF6" w:themeFill="accent1" w:themeFillTint="33"/>
          </w:tcPr>
          <w:p w14:paraId="6103D8BC" w14:textId="77777777" w:rsidR="005631A4" w:rsidRPr="005631A4" w:rsidRDefault="005631A4" w:rsidP="005631A4">
            <w:pPr>
              <w:spacing w:before="60" w:after="60"/>
              <w:jc w:val="center"/>
              <w:rPr>
                <w:sz w:val="16"/>
                <w:szCs w:val="16"/>
              </w:rPr>
            </w:pPr>
          </w:p>
        </w:tc>
        <w:tc>
          <w:tcPr>
            <w:tcW w:w="696" w:type="dxa"/>
            <w:shd w:val="clear" w:color="auto" w:fill="DEEAF6" w:themeFill="accent1" w:themeFillTint="33"/>
          </w:tcPr>
          <w:p w14:paraId="6B9E9E81" w14:textId="77777777" w:rsidR="005631A4" w:rsidRPr="005631A4" w:rsidRDefault="005631A4" w:rsidP="005631A4">
            <w:pPr>
              <w:spacing w:before="60" w:after="60"/>
              <w:jc w:val="center"/>
              <w:rPr>
                <w:sz w:val="16"/>
                <w:szCs w:val="16"/>
              </w:rPr>
            </w:pPr>
          </w:p>
        </w:tc>
        <w:tc>
          <w:tcPr>
            <w:tcW w:w="695" w:type="dxa"/>
            <w:shd w:val="clear" w:color="auto" w:fill="DEEAF6" w:themeFill="accent1" w:themeFillTint="33"/>
          </w:tcPr>
          <w:p w14:paraId="3F339E85" w14:textId="77777777" w:rsidR="005631A4" w:rsidRPr="005631A4" w:rsidRDefault="005631A4" w:rsidP="005631A4">
            <w:pPr>
              <w:spacing w:before="60" w:after="60"/>
              <w:jc w:val="center"/>
              <w:rPr>
                <w:sz w:val="16"/>
                <w:szCs w:val="16"/>
              </w:rPr>
            </w:pPr>
          </w:p>
        </w:tc>
      </w:tr>
      <w:tr w:rsidR="005631A4" w:rsidRPr="005631A4" w14:paraId="50B29F4E" w14:textId="77777777" w:rsidTr="005631A4">
        <w:trPr>
          <w:jc w:val="center"/>
        </w:trPr>
        <w:tc>
          <w:tcPr>
            <w:tcW w:w="1555" w:type="dxa"/>
            <w:vMerge/>
            <w:vAlign w:val="center"/>
          </w:tcPr>
          <w:p w14:paraId="6E77219E" w14:textId="77777777" w:rsidR="005631A4" w:rsidRPr="005631A4" w:rsidRDefault="005631A4" w:rsidP="00CE3D48">
            <w:pPr>
              <w:spacing w:before="60" w:after="60"/>
              <w:jc w:val="center"/>
              <w:rPr>
                <w:b/>
                <w:bCs/>
              </w:rPr>
            </w:pPr>
          </w:p>
        </w:tc>
        <w:tc>
          <w:tcPr>
            <w:tcW w:w="1144" w:type="dxa"/>
            <w:shd w:val="clear" w:color="auto" w:fill="BDD6EE" w:themeFill="accent1" w:themeFillTint="66"/>
            <w:vAlign w:val="center"/>
          </w:tcPr>
          <w:p w14:paraId="6B51A175" w14:textId="77777777" w:rsidR="005631A4" w:rsidRPr="005631A4" w:rsidRDefault="005631A4" w:rsidP="005631A4">
            <w:pPr>
              <w:spacing w:before="60" w:after="60"/>
              <w:jc w:val="center"/>
            </w:pPr>
            <w:r w:rsidRPr="005631A4">
              <w:t>4.</w:t>
            </w:r>
          </w:p>
        </w:tc>
        <w:tc>
          <w:tcPr>
            <w:tcW w:w="709" w:type="dxa"/>
            <w:shd w:val="clear" w:color="auto" w:fill="DEEAF6" w:themeFill="accent1" w:themeFillTint="33"/>
            <w:vAlign w:val="center"/>
          </w:tcPr>
          <w:p w14:paraId="35ABF779" w14:textId="77777777" w:rsidR="005631A4" w:rsidRPr="005631A4" w:rsidRDefault="005631A4" w:rsidP="005631A4">
            <w:pPr>
              <w:spacing w:before="60" w:after="60"/>
              <w:jc w:val="center"/>
            </w:pPr>
          </w:p>
        </w:tc>
        <w:tc>
          <w:tcPr>
            <w:tcW w:w="709" w:type="dxa"/>
            <w:shd w:val="clear" w:color="auto" w:fill="DEEAF6" w:themeFill="accent1" w:themeFillTint="33"/>
            <w:vAlign w:val="center"/>
          </w:tcPr>
          <w:p w14:paraId="21419B13" w14:textId="77777777" w:rsidR="005631A4" w:rsidRPr="005631A4" w:rsidRDefault="005631A4" w:rsidP="005631A4">
            <w:pPr>
              <w:spacing w:before="60" w:after="60"/>
              <w:jc w:val="center"/>
              <w:rPr>
                <w:sz w:val="16"/>
                <w:szCs w:val="16"/>
              </w:rPr>
            </w:pPr>
          </w:p>
        </w:tc>
        <w:tc>
          <w:tcPr>
            <w:tcW w:w="727" w:type="dxa"/>
            <w:shd w:val="clear" w:color="auto" w:fill="DEEAF6" w:themeFill="accent1" w:themeFillTint="33"/>
            <w:vAlign w:val="center"/>
          </w:tcPr>
          <w:p w14:paraId="6CE6F1A1" w14:textId="77777777" w:rsidR="005631A4" w:rsidRPr="005631A4" w:rsidRDefault="005631A4" w:rsidP="005631A4">
            <w:pPr>
              <w:spacing w:before="60" w:after="60"/>
              <w:jc w:val="center"/>
              <w:rPr>
                <w:sz w:val="16"/>
                <w:szCs w:val="16"/>
              </w:rPr>
            </w:pPr>
          </w:p>
        </w:tc>
        <w:tc>
          <w:tcPr>
            <w:tcW w:w="691" w:type="dxa"/>
            <w:shd w:val="clear" w:color="auto" w:fill="DEEAF6" w:themeFill="accent1" w:themeFillTint="33"/>
            <w:vAlign w:val="center"/>
          </w:tcPr>
          <w:p w14:paraId="72D0A37F" w14:textId="77777777" w:rsidR="005631A4" w:rsidRPr="005631A4" w:rsidRDefault="005631A4" w:rsidP="005631A4">
            <w:pPr>
              <w:spacing w:before="60" w:after="60"/>
              <w:jc w:val="center"/>
              <w:rPr>
                <w:sz w:val="16"/>
                <w:szCs w:val="16"/>
              </w:rPr>
            </w:pPr>
          </w:p>
        </w:tc>
        <w:tc>
          <w:tcPr>
            <w:tcW w:w="691" w:type="dxa"/>
            <w:shd w:val="clear" w:color="auto" w:fill="DEEAF6" w:themeFill="accent1" w:themeFillTint="33"/>
            <w:vAlign w:val="center"/>
          </w:tcPr>
          <w:p w14:paraId="491D42A3" w14:textId="77777777" w:rsidR="005631A4" w:rsidRPr="005631A4" w:rsidRDefault="005631A4" w:rsidP="005631A4">
            <w:pPr>
              <w:spacing w:before="60" w:after="60"/>
              <w:jc w:val="center"/>
              <w:rPr>
                <w:sz w:val="16"/>
                <w:szCs w:val="16"/>
              </w:rPr>
            </w:pPr>
          </w:p>
        </w:tc>
        <w:tc>
          <w:tcPr>
            <w:tcW w:w="691" w:type="dxa"/>
            <w:shd w:val="clear" w:color="auto" w:fill="DEEAF6" w:themeFill="accent1" w:themeFillTint="33"/>
            <w:vAlign w:val="center"/>
          </w:tcPr>
          <w:p w14:paraId="029238AA" w14:textId="77777777" w:rsidR="005631A4" w:rsidRPr="005631A4" w:rsidRDefault="005631A4" w:rsidP="005631A4">
            <w:pPr>
              <w:spacing w:before="60" w:after="60"/>
              <w:jc w:val="center"/>
              <w:rPr>
                <w:sz w:val="16"/>
                <w:szCs w:val="16"/>
              </w:rPr>
            </w:pPr>
          </w:p>
        </w:tc>
        <w:tc>
          <w:tcPr>
            <w:tcW w:w="691" w:type="dxa"/>
            <w:shd w:val="clear" w:color="auto" w:fill="DEEAF6" w:themeFill="accent1" w:themeFillTint="33"/>
            <w:vAlign w:val="center"/>
          </w:tcPr>
          <w:p w14:paraId="3E94963E" w14:textId="77777777" w:rsidR="005631A4" w:rsidRPr="005631A4" w:rsidRDefault="005631A4" w:rsidP="005631A4">
            <w:pPr>
              <w:spacing w:before="60" w:after="60"/>
              <w:jc w:val="center"/>
              <w:rPr>
                <w:sz w:val="16"/>
                <w:szCs w:val="16"/>
              </w:rPr>
            </w:pPr>
          </w:p>
        </w:tc>
        <w:tc>
          <w:tcPr>
            <w:tcW w:w="666" w:type="dxa"/>
            <w:shd w:val="clear" w:color="auto" w:fill="BDD6EE" w:themeFill="accent1" w:themeFillTint="66"/>
          </w:tcPr>
          <w:p w14:paraId="6554A31D" w14:textId="490C12F7" w:rsidR="005631A4" w:rsidRPr="005631A4" w:rsidRDefault="005631A4" w:rsidP="005631A4">
            <w:pPr>
              <w:spacing w:before="60" w:after="60"/>
              <w:jc w:val="center"/>
              <w:rPr>
                <w:sz w:val="16"/>
                <w:szCs w:val="16"/>
              </w:rPr>
            </w:pPr>
          </w:p>
        </w:tc>
        <w:tc>
          <w:tcPr>
            <w:tcW w:w="693" w:type="dxa"/>
            <w:shd w:val="clear" w:color="auto" w:fill="BDD6EE" w:themeFill="accent1" w:themeFillTint="66"/>
          </w:tcPr>
          <w:p w14:paraId="7B02712A" w14:textId="6F406851" w:rsidR="005631A4" w:rsidRPr="005631A4" w:rsidRDefault="005631A4" w:rsidP="005631A4">
            <w:pPr>
              <w:spacing w:before="60" w:after="60"/>
              <w:jc w:val="center"/>
              <w:rPr>
                <w:sz w:val="16"/>
                <w:szCs w:val="16"/>
              </w:rPr>
            </w:pPr>
          </w:p>
        </w:tc>
        <w:tc>
          <w:tcPr>
            <w:tcW w:w="696" w:type="dxa"/>
            <w:shd w:val="clear" w:color="auto" w:fill="BDD6EE" w:themeFill="accent1" w:themeFillTint="66"/>
          </w:tcPr>
          <w:p w14:paraId="27BC4C19" w14:textId="14EEDC6C" w:rsidR="005631A4" w:rsidRPr="005631A4" w:rsidRDefault="005631A4" w:rsidP="005631A4">
            <w:pPr>
              <w:spacing w:before="60" w:after="60"/>
              <w:jc w:val="center"/>
              <w:rPr>
                <w:sz w:val="16"/>
                <w:szCs w:val="16"/>
              </w:rPr>
            </w:pPr>
          </w:p>
        </w:tc>
        <w:tc>
          <w:tcPr>
            <w:tcW w:w="695" w:type="dxa"/>
            <w:shd w:val="clear" w:color="auto" w:fill="BDD6EE" w:themeFill="accent1" w:themeFillTint="66"/>
          </w:tcPr>
          <w:p w14:paraId="7DC02E06" w14:textId="2A8ACB6A" w:rsidR="005631A4" w:rsidRPr="005631A4" w:rsidRDefault="005631A4" w:rsidP="005631A4">
            <w:pPr>
              <w:spacing w:before="60" w:after="60"/>
              <w:jc w:val="center"/>
              <w:rPr>
                <w:sz w:val="16"/>
                <w:szCs w:val="16"/>
              </w:rPr>
            </w:pPr>
          </w:p>
        </w:tc>
      </w:tr>
      <w:tr w:rsidR="005631A4" w:rsidRPr="005631A4" w14:paraId="4912C3F3" w14:textId="77777777" w:rsidTr="005631A4">
        <w:trPr>
          <w:jc w:val="center"/>
        </w:trPr>
        <w:tc>
          <w:tcPr>
            <w:tcW w:w="1555" w:type="dxa"/>
            <w:shd w:val="clear" w:color="auto" w:fill="9CC2E5" w:themeFill="accent1" w:themeFillTint="99"/>
            <w:vAlign w:val="center"/>
          </w:tcPr>
          <w:p w14:paraId="6F964861" w14:textId="77777777" w:rsidR="005631A4" w:rsidRPr="005631A4" w:rsidRDefault="005631A4" w:rsidP="00CE3D48">
            <w:pPr>
              <w:spacing w:before="60" w:after="60"/>
              <w:jc w:val="center"/>
              <w:rPr>
                <w:b/>
                <w:bCs/>
              </w:rPr>
            </w:pPr>
            <w:r w:rsidRPr="005631A4">
              <w:rPr>
                <w:b/>
                <w:bCs/>
              </w:rPr>
              <w:t>Indykatywne źródła finansowania</w:t>
            </w:r>
          </w:p>
        </w:tc>
        <w:tc>
          <w:tcPr>
            <w:tcW w:w="8803" w:type="dxa"/>
            <w:gridSpan w:val="12"/>
            <w:shd w:val="clear" w:color="auto" w:fill="DEEAF6" w:themeFill="accent1" w:themeFillTint="33"/>
            <w:vAlign w:val="center"/>
          </w:tcPr>
          <w:p w14:paraId="7363914B" w14:textId="3343D5C7" w:rsidR="005631A4" w:rsidRPr="005631A4" w:rsidRDefault="005631A4" w:rsidP="005B77E7">
            <w:pPr>
              <w:numPr>
                <w:ilvl w:val="0"/>
                <w:numId w:val="59"/>
              </w:numPr>
              <w:jc w:val="both"/>
            </w:pPr>
            <w:r w:rsidRPr="005631A4">
              <w:t xml:space="preserve">Środki NPZ </w:t>
            </w:r>
          </w:p>
          <w:p w14:paraId="26CC40DA" w14:textId="77777777" w:rsidR="005B77E7" w:rsidRPr="005B77E7" w:rsidRDefault="005B77E7" w:rsidP="005B77E7">
            <w:pPr>
              <w:numPr>
                <w:ilvl w:val="0"/>
                <w:numId w:val="59"/>
              </w:numPr>
              <w:jc w:val="both"/>
            </w:pPr>
            <w:r w:rsidRPr="005B77E7">
              <w:t>Finansowanie ze środków Europejskich</w:t>
            </w:r>
          </w:p>
          <w:p w14:paraId="56DA57BB" w14:textId="6C90466B" w:rsidR="005B77E7" w:rsidRPr="005B77E7" w:rsidRDefault="005B77E7" w:rsidP="005B77E7">
            <w:pPr>
              <w:numPr>
                <w:ilvl w:val="0"/>
                <w:numId w:val="59"/>
              </w:numPr>
              <w:jc w:val="both"/>
            </w:pPr>
            <w:r w:rsidRPr="005B77E7">
              <w:t xml:space="preserve">Finansowanie ze środków Europejskich </w:t>
            </w:r>
          </w:p>
          <w:p w14:paraId="5B904779" w14:textId="4C6CF0F5" w:rsidR="005631A4" w:rsidRPr="005631A4" w:rsidRDefault="005631A4" w:rsidP="005B77E7">
            <w:pPr>
              <w:numPr>
                <w:ilvl w:val="0"/>
                <w:numId w:val="59"/>
              </w:numPr>
              <w:jc w:val="both"/>
            </w:pPr>
            <w:r w:rsidRPr="005631A4">
              <w:t xml:space="preserve">Środki NPZ </w:t>
            </w:r>
          </w:p>
        </w:tc>
      </w:tr>
      <w:tr w:rsidR="005631A4" w:rsidRPr="005631A4" w14:paraId="29D474CD" w14:textId="77777777" w:rsidTr="005631A4">
        <w:trPr>
          <w:trHeight w:val="518"/>
          <w:jc w:val="center"/>
        </w:trPr>
        <w:tc>
          <w:tcPr>
            <w:tcW w:w="1555" w:type="dxa"/>
            <w:shd w:val="clear" w:color="auto" w:fill="9CC2E5" w:themeFill="accent1" w:themeFillTint="99"/>
            <w:vAlign w:val="center"/>
          </w:tcPr>
          <w:p w14:paraId="6FF416B1" w14:textId="77777777" w:rsidR="005631A4" w:rsidRPr="005631A4" w:rsidRDefault="005631A4" w:rsidP="00CE3D48">
            <w:pPr>
              <w:spacing w:before="60" w:after="60"/>
              <w:jc w:val="center"/>
              <w:rPr>
                <w:b/>
                <w:bCs/>
              </w:rPr>
            </w:pPr>
            <w:r w:rsidRPr="005631A4">
              <w:rPr>
                <w:b/>
                <w:bCs/>
              </w:rPr>
              <w:t>Koordynacja</w:t>
            </w:r>
          </w:p>
        </w:tc>
        <w:tc>
          <w:tcPr>
            <w:tcW w:w="8803" w:type="dxa"/>
            <w:gridSpan w:val="12"/>
            <w:shd w:val="clear" w:color="auto" w:fill="DEEAF6" w:themeFill="accent1" w:themeFillTint="33"/>
            <w:vAlign w:val="center"/>
          </w:tcPr>
          <w:p w14:paraId="02178734" w14:textId="77777777" w:rsidR="005631A4" w:rsidRPr="005631A4" w:rsidRDefault="005631A4" w:rsidP="00A545BB">
            <w:pPr>
              <w:numPr>
                <w:ilvl w:val="0"/>
                <w:numId w:val="61"/>
              </w:numPr>
              <w:ind w:left="323" w:hanging="284"/>
              <w:jc w:val="both"/>
            </w:pPr>
            <w:r w:rsidRPr="005631A4">
              <w:t>MZ</w:t>
            </w:r>
          </w:p>
          <w:p w14:paraId="5BAA95F4" w14:textId="77777777" w:rsidR="005631A4" w:rsidRPr="005631A4" w:rsidRDefault="005631A4" w:rsidP="00A545BB">
            <w:pPr>
              <w:numPr>
                <w:ilvl w:val="0"/>
                <w:numId w:val="61"/>
              </w:numPr>
              <w:ind w:left="323" w:hanging="284"/>
              <w:jc w:val="both"/>
            </w:pPr>
            <w:r w:rsidRPr="005631A4">
              <w:t>MZ</w:t>
            </w:r>
          </w:p>
          <w:p w14:paraId="3A479719" w14:textId="77777777" w:rsidR="005631A4" w:rsidRPr="005631A4" w:rsidRDefault="005631A4" w:rsidP="00A545BB">
            <w:pPr>
              <w:numPr>
                <w:ilvl w:val="0"/>
                <w:numId w:val="61"/>
              </w:numPr>
              <w:ind w:left="323" w:hanging="284"/>
              <w:jc w:val="both"/>
            </w:pPr>
            <w:r w:rsidRPr="005631A4">
              <w:t>MZ</w:t>
            </w:r>
          </w:p>
          <w:p w14:paraId="677C6250" w14:textId="77777777" w:rsidR="005631A4" w:rsidRPr="005631A4" w:rsidRDefault="005631A4" w:rsidP="00A545BB">
            <w:pPr>
              <w:numPr>
                <w:ilvl w:val="0"/>
                <w:numId w:val="61"/>
              </w:numPr>
              <w:ind w:left="323" w:hanging="284"/>
              <w:jc w:val="both"/>
            </w:pPr>
            <w:r w:rsidRPr="005631A4">
              <w:t xml:space="preserve">MZ </w:t>
            </w:r>
          </w:p>
        </w:tc>
      </w:tr>
    </w:tbl>
    <w:p w14:paraId="569198DD" w14:textId="77777777" w:rsidR="005631A4" w:rsidRPr="005631A4" w:rsidRDefault="005631A4" w:rsidP="005631A4">
      <w:pPr>
        <w:rPr>
          <w:rFonts w:ascii="Calibri" w:eastAsia="Times New Roman" w:hAnsi="Calibri" w:cs="F"/>
        </w:rPr>
      </w:pPr>
      <w:r w:rsidRPr="005631A4">
        <w:rPr>
          <w:rFonts w:eastAsia="Times New Roman"/>
        </w:rPr>
        <w:br w:type="page"/>
      </w:r>
    </w:p>
    <w:p w14:paraId="2AA23F90" w14:textId="60B20A52" w:rsidR="005631A4" w:rsidRPr="00D36EA7" w:rsidRDefault="005631A4" w:rsidP="00D36EA7">
      <w:pPr>
        <w:pStyle w:val="Nagwek2"/>
        <w:numPr>
          <w:ilvl w:val="1"/>
          <w:numId w:val="26"/>
        </w:numPr>
        <w:shd w:val="clear" w:color="auto" w:fill="FFDDEE"/>
        <w:tabs>
          <w:tab w:val="clear" w:pos="1080"/>
          <w:tab w:val="num" w:pos="426"/>
        </w:tabs>
        <w:ind w:hanging="1080"/>
        <w:rPr>
          <w:color w:val="FF0066"/>
        </w:rPr>
      </w:pPr>
      <w:r w:rsidRPr="00D36EA7">
        <w:rPr>
          <w:color w:val="FF0066"/>
        </w:rPr>
        <w:lastRenderedPageBreak/>
        <w:t>KOORDYNACJA OPIEKI ŚRODOWISKOWEJ</w:t>
      </w:r>
    </w:p>
    <w:p w14:paraId="2D6D32A8" w14:textId="77777777" w:rsidR="005631A4" w:rsidRPr="005631A4" w:rsidRDefault="005631A4" w:rsidP="005631A4">
      <w:pPr>
        <w:keepNext/>
        <w:keepLines/>
        <w:shd w:val="clear" w:color="auto" w:fill="BDD6EE" w:themeFill="accent1" w:themeFillTint="66"/>
        <w:spacing w:before="240" w:after="120"/>
        <w:ind w:left="426"/>
        <w:jc w:val="both"/>
        <w:outlineLvl w:val="3"/>
        <w:rPr>
          <w:rFonts w:asciiTheme="majorHAnsi" w:eastAsiaTheme="majorEastAsia" w:hAnsiTheme="majorHAnsi" w:cstheme="majorBidi"/>
          <w:b/>
          <w:iCs/>
          <w:color w:val="0070C0"/>
          <w:sz w:val="24"/>
          <w:szCs w:val="24"/>
        </w:rPr>
      </w:pPr>
      <w:r w:rsidRPr="005631A4">
        <w:rPr>
          <w:rFonts w:asciiTheme="majorHAnsi" w:eastAsiaTheme="majorEastAsia" w:hAnsiTheme="majorHAnsi" w:cstheme="majorBidi"/>
          <w:b/>
          <w:iCs/>
          <w:color w:val="0070C0"/>
          <w:sz w:val="24"/>
          <w:szCs w:val="24"/>
        </w:rPr>
        <w:t>CEL SZCZEGÓŁOWY: Zwiększenie dostępu do kompleksowej informacji na temat dostępnego wsparcia zdrowotnego dla osób starszych i ich opiekunów</w:t>
      </w:r>
    </w:p>
    <w:p w14:paraId="513D2B7A" w14:textId="77777777" w:rsidR="005631A4" w:rsidRPr="005631A4" w:rsidRDefault="005631A4" w:rsidP="005631A4">
      <w:pPr>
        <w:keepNext/>
        <w:keepLines/>
        <w:spacing w:before="240" w:after="120"/>
        <w:jc w:val="both"/>
        <w:outlineLvl w:val="4"/>
        <w:rPr>
          <w:rFonts w:asciiTheme="majorHAnsi" w:eastAsiaTheme="majorEastAsia" w:hAnsiTheme="majorHAnsi" w:cstheme="majorBidi"/>
          <w:i/>
          <w:color w:val="2E74B5" w:themeColor="accent1" w:themeShade="BF"/>
          <w:sz w:val="23"/>
        </w:rPr>
      </w:pPr>
      <w:r w:rsidRPr="005631A4">
        <w:rPr>
          <w:rFonts w:asciiTheme="majorHAnsi" w:eastAsiaTheme="majorEastAsia" w:hAnsiTheme="majorHAnsi" w:cstheme="majorBidi"/>
          <w:i/>
          <w:color w:val="2E74B5" w:themeColor="accent1" w:themeShade="BF"/>
          <w:sz w:val="23"/>
        </w:rPr>
        <w:t>Diagnoza</w:t>
      </w:r>
    </w:p>
    <w:p w14:paraId="32B9B5FF" w14:textId="77777777" w:rsidR="005631A4" w:rsidRPr="005631A4" w:rsidRDefault="005631A4" w:rsidP="005631A4">
      <w:pPr>
        <w:suppressAutoHyphens/>
        <w:spacing w:after="120"/>
        <w:jc w:val="both"/>
        <w:textAlignment w:val="baseline"/>
      </w:pPr>
      <w:r w:rsidRPr="005631A4">
        <w:rPr>
          <w:rFonts w:eastAsia="Times New Roman" w:cs="Calibri"/>
          <w:szCs w:val="14"/>
          <w:lang w:eastAsia="pl-PL"/>
        </w:rPr>
        <w:t>Istotnym problemem systemowym wpływającym na właściwe korzystanie z przysługujących świadczeń opieki zdrowotnej oraz innych dostępnych usług zdrowotnych jest niska świadomość i wiedza społeczna na temat dostępnych form opieki i wsparcia publicznego.</w:t>
      </w:r>
    </w:p>
    <w:p w14:paraId="1987C6D7" w14:textId="294DA14F" w:rsidR="005631A4" w:rsidRPr="005631A4" w:rsidRDefault="005631A4" w:rsidP="005631A4">
      <w:pPr>
        <w:suppressAutoHyphens/>
        <w:autoSpaceDN w:val="0"/>
        <w:spacing w:after="120"/>
        <w:jc w:val="both"/>
        <w:textAlignment w:val="baseline"/>
        <w:rPr>
          <w:rFonts w:ascii="Calibri" w:eastAsia="Calibri" w:hAnsi="Calibri" w:cs="F"/>
          <w:lang w:eastAsia="pl-PL"/>
        </w:rPr>
      </w:pPr>
      <w:r w:rsidRPr="005631A4">
        <w:rPr>
          <w:rFonts w:ascii="Calibri" w:eastAsia="Calibri" w:hAnsi="Calibri" w:cs="F"/>
          <w:lang w:eastAsia="pl-PL"/>
        </w:rPr>
        <w:t xml:space="preserve">Osoby starsze i </w:t>
      </w:r>
      <w:r w:rsidR="00D20CEC" w:rsidRPr="00D20CEC">
        <w:rPr>
          <w:rFonts w:ascii="Calibri" w:eastAsia="Calibri" w:hAnsi="Calibri" w:cs="F"/>
          <w:lang w:eastAsia="pl-PL"/>
        </w:rPr>
        <w:t>wymagając</w:t>
      </w:r>
      <w:r w:rsidR="00D20CEC">
        <w:rPr>
          <w:rFonts w:ascii="Calibri" w:eastAsia="Calibri" w:hAnsi="Calibri" w:cs="F"/>
          <w:lang w:eastAsia="pl-PL"/>
        </w:rPr>
        <w:t>e</w:t>
      </w:r>
      <w:r w:rsidR="00D20CEC" w:rsidRPr="00D20CEC">
        <w:rPr>
          <w:rFonts w:ascii="Calibri" w:eastAsia="Calibri" w:hAnsi="Calibri" w:cs="F"/>
          <w:lang w:eastAsia="pl-PL"/>
        </w:rPr>
        <w:t xml:space="preserve"> wsparcia w codziennym funkcjonowaniu</w:t>
      </w:r>
      <w:r w:rsidRPr="005631A4">
        <w:rPr>
          <w:rFonts w:ascii="Calibri" w:eastAsia="Calibri" w:hAnsi="Calibri" w:cs="F"/>
          <w:lang w:eastAsia="pl-PL"/>
        </w:rPr>
        <w:t xml:space="preserve"> wymagające ze względu na swój stan zdrowia jakiejś formy opieki, pielęgnacji lub innego rodzaju wsparcia, jak również ich opiekunowie nieformalni mają niejednokrotnie problem z poruszaniem się w obrębie systemu ochrony zdrowia i usług zdrowotnych oraz otrzymaniem przysługującej im pomocy.</w:t>
      </w:r>
    </w:p>
    <w:p w14:paraId="08E3D95C" w14:textId="1BB83661" w:rsidR="005631A4" w:rsidRPr="005631A4" w:rsidRDefault="005631A4" w:rsidP="005631A4">
      <w:pPr>
        <w:suppressAutoHyphens/>
        <w:autoSpaceDN w:val="0"/>
        <w:spacing w:after="120"/>
        <w:jc w:val="both"/>
        <w:textAlignment w:val="baseline"/>
        <w:rPr>
          <w:rFonts w:ascii="Calibri" w:eastAsia="Calibri" w:hAnsi="Calibri" w:cs="F"/>
        </w:rPr>
      </w:pPr>
      <w:r w:rsidRPr="005631A4">
        <w:rPr>
          <w:rFonts w:ascii="Calibri" w:eastAsia="Calibri" w:hAnsi="Calibri" w:cs="F"/>
          <w:lang w:eastAsia="pl-PL"/>
        </w:rPr>
        <w:t xml:space="preserve">Brakuje kompleksowej bazy informacji na temat </w:t>
      </w:r>
      <w:r w:rsidRPr="005631A4">
        <w:rPr>
          <w:rFonts w:ascii="Calibri" w:eastAsia="Calibri" w:hAnsi="Calibri" w:cs="F"/>
        </w:rPr>
        <w:t>systemu wsparcia zdrowotnego oraz innych kwestii użytecznych dla osób starszych i ich opiekunów, w ramach którego osoby te mogłyby w sposób szybki i łatwy pozyskać interesujące ich informacje</w:t>
      </w:r>
      <w:r w:rsidR="002D2781">
        <w:rPr>
          <w:rFonts w:ascii="Calibri" w:eastAsia="Calibri" w:hAnsi="Calibri" w:cs="F"/>
        </w:rPr>
        <w:t xml:space="preserve"> (</w:t>
      </w:r>
      <w:r w:rsidRPr="005631A4">
        <w:rPr>
          <w:rFonts w:ascii="Calibri" w:eastAsia="Calibri" w:hAnsi="Calibri" w:cs="F"/>
        </w:rPr>
        <w:t xml:space="preserve">m.in. w zakresie dostępnych świadczeń opieki zdrowotnej oraz innych usług o charakterze zdrowotnym, </w:t>
      </w:r>
      <w:r w:rsidR="002D2781">
        <w:rPr>
          <w:rFonts w:ascii="Calibri" w:eastAsia="Calibri" w:hAnsi="Calibri" w:cs="F"/>
        </w:rPr>
        <w:t xml:space="preserve">innych </w:t>
      </w:r>
      <w:r w:rsidR="002D2781" w:rsidRPr="005631A4">
        <w:rPr>
          <w:rFonts w:ascii="Calibri" w:eastAsia="Calibri" w:hAnsi="Calibri" w:cs="F"/>
        </w:rPr>
        <w:t xml:space="preserve">wspierających </w:t>
      </w:r>
      <w:r w:rsidRPr="005631A4">
        <w:rPr>
          <w:rFonts w:ascii="Calibri" w:eastAsia="Calibri" w:hAnsi="Calibri" w:cs="F"/>
        </w:rPr>
        <w:t xml:space="preserve">działań </w:t>
      </w:r>
      <w:r w:rsidR="002D2781">
        <w:rPr>
          <w:rFonts w:ascii="Calibri" w:eastAsia="Calibri" w:hAnsi="Calibri" w:cs="F"/>
        </w:rPr>
        <w:t xml:space="preserve">o charakterze prozdrowotnym </w:t>
      </w:r>
      <w:r w:rsidRPr="005631A4">
        <w:rPr>
          <w:rFonts w:ascii="Calibri" w:eastAsia="Calibri" w:hAnsi="Calibri" w:cs="F"/>
        </w:rPr>
        <w:t xml:space="preserve">realizowanych regionalnie i lokalnie oraz danych teleadresowych </w:t>
      </w:r>
      <w:r w:rsidR="002D2781">
        <w:rPr>
          <w:rFonts w:ascii="Calibri" w:eastAsia="Calibri" w:hAnsi="Calibri" w:cs="F"/>
        </w:rPr>
        <w:t>instytucji i podmiotów udzielających takiego wsparcia oraz</w:t>
      </w:r>
      <w:r w:rsidRPr="005631A4">
        <w:rPr>
          <w:rFonts w:ascii="Calibri" w:eastAsia="Calibri" w:hAnsi="Calibri" w:cs="F"/>
        </w:rPr>
        <w:t xml:space="preserve"> innych informacji użytecznych w codziennym radzeniu sobie z chorobą lub rol</w:t>
      </w:r>
      <w:r w:rsidR="00A028CA">
        <w:rPr>
          <w:rFonts w:ascii="Calibri" w:eastAsia="Calibri" w:hAnsi="Calibri" w:cs="F"/>
        </w:rPr>
        <w:t>ą</w:t>
      </w:r>
      <w:r w:rsidRPr="005631A4">
        <w:rPr>
          <w:rFonts w:ascii="Calibri" w:eastAsia="Calibri" w:hAnsi="Calibri" w:cs="F"/>
        </w:rPr>
        <w:t xml:space="preserve"> opiekuna</w:t>
      </w:r>
      <w:r w:rsidR="002D2781">
        <w:rPr>
          <w:rFonts w:ascii="Calibri" w:eastAsia="Calibri" w:hAnsi="Calibri" w:cs="F"/>
        </w:rPr>
        <w:t>,</w:t>
      </w:r>
      <w:r w:rsidRPr="005631A4">
        <w:rPr>
          <w:rFonts w:ascii="Calibri" w:eastAsia="Calibri" w:hAnsi="Calibri" w:cs="F"/>
        </w:rPr>
        <w:t xml:space="preserve"> np. dotyczących przebiegu danych chorób, objawów towarzyszących itp.).</w:t>
      </w:r>
    </w:p>
    <w:p w14:paraId="28165B31" w14:textId="4F68EF86" w:rsidR="005631A4" w:rsidRPr="005631A4" w:rsidRDefault="005631A4" w:rsidP="005631A4">
      <w:pPr>
        <w:suppressAutoHyphens/>
        <w:autoSpaceDN w:val="0"/>
        <w:spacing w:after="120"/>
        <w:jc w:val="both"/>
        <w:textAlignment w:val="baseline"/>
        <w:rPr>
          <w:rFonts w:ascii="Calibri" w:eastAsia="Calibri" w:hAnsi="Calibri" w:cs="F"/>
        </w:rPr>
      </w:pPr>
      <w:r w:rsidRPr="005631A4">
        <w:rPr>
          <w:rFonts w:ascii="Calibri" w:eastAsia="Calibri" w:hAnsi="Calibri" w:cs="F"/>
        </w:rPr>
        <w:t xml:space="preserve">Również pracownicy instytucji i placówek </w:t>
      </w:r>
      <w:r w:rsidR="002D2781">
        <w:rPr>
          <w:rFonts w:ascii="Calibri" w:eastAsia="Calibri" w:hAnsi="Calibri" w:cs="F"/>
        </w:rPr>
        <w:t xml:space="preserve">uczestniczących w udzielanie opieki i wsparcia zdrowotnego starszym pacjentom i ich opiekunom </w:t>
      </w:r>
      <w:r w:rsidRPr="005631A4">
        <w:rPr>
          <w:rFonts w:ascii="Calibri" w:eastAsia="Calibri" w:hAnsi="Calibri" w:cs="F"/>
        </w:rPr>
        <w:t>najczęściej nie posiadają wyst</w:t>
      </w:r>
      <w:r w:rsidR="00A028CA">
        <w:rPr>
          <w:rFonts w:ascii="Calibri" w:eastAsia="Calibri" w:hAnsi="Calibri" w:cs="F"/>
        </w:rPr>
        <w:t>ar</w:t>
      </w:r>
      <w:r w:rsidRPr="005631A4">
        <w:rPr>
          <w:rFonts w:ascii="Calibri" w:eastAsia="Calibri" w:hAnsi="Calibri" w:cs="F"/>
        </w:rPr>
        <w:t xml:space="preserve">czającej wiedzy, aby odpowiednio pokierować pacjentów i ich bliskich w zakresie wsparcia zdrowotnego wykraczającego poza obszar pomocy udzielanej przez podmioty, w których pracują. Powoduje to sytuację, w której w celu uzyskania dalszego lub dodatkowego wsparcia w innym obszarze ochrony zdrowia pacjenci i ich opiekunowie są zmuszeni szukać </w:t>
      </w:r>
      <w:r w:rsidR="003E4779">
        <w:rPr>
          <w:rFonts w:ascii="Calibri" w:eastAsia="Calibri" w:hAnsi="Calibri" w:cs="F"/>
        </w:rPr>
        <w:t>informacji</w:t>
      </w:r>
      <w:r w:rsidR="003E4779" w:rsidRPr="005631A4">
        <w:rPr>
          <w:rFonts w:ascii="Calibri" w:eastAsia="Calibri" w:hAnsi="Calibri" w:cs="F"/>
        </w:rPr>
        <w:t xml:space="preserve"> </w:t>
      </w:r>
      <w:r w:rsidRPr="005631A4">
        <w:rPr>
          <w:rFonts w:ascii="Calibri" w:eastAsia="Calibri" w:hAnsi="Calibri" w:cs="F"/>
        </w:rPr>
        <w:t>w wielu miejscach, co może generować problemy w uzyskaniu właściwej pomocy.</w:t>
      </w:r>
    </w:p>
    <w:p w14:paraId="7CB52630" w14:textId="7F415A74" w:rsidR="005631A4" w:rsidRPr="005631A4" w:rsidRDefault="005631A4" w:rsidP="005631A4">
      <w:pPr>
        <w:spacing w:after="120"/>
        <w:jc w:val="both"/>
        <w:rPr>
          <w:rFonts w:eastAsia="Times New Roman" w:cs="Calibri"/>
          <w:color w:val="000000"/>
          <w:szCs w:val="14"/>
          <w:lang w:eastAsia="pl-PL"/>
        </w:rPr>
      </w:pPr>
      <w:r w:rsidRPr="005631A4">
        <w:rPr>
          <w:lang w:eastAsia="pl-PL"/>
        </w:rPr>
        <w:t xml:space="preserve">W konsekwencji </w:t>
      </w:r>
      <w:r w:rsidRPr="005631A4">
        <w:rPr>
          <w:rFonts w:eastAsia="Times New Roman" w:cs="Calibri"/>
          <w:color w:val="000000"/>
          <w:szCs w:val="14"/>
          <w:lang w:eastAsia="pl-PL"/>
        </w:rPr>
        <w:t xml:space="preserve">niewystarczającej </w:t>
      </w:r>
      <w:r w:rsidRPr="005631A4">
        <w:rPr>
          <w:lang w:eastAsia="pl-PL"/>
        </w:rPr>
        <w:t xml:space="preserve">świadomości i wiedzy na temat dostępnego wsparcia publicznego </w:t>
      </w:r>
      <w:r w:rsidRPr="005631A4">
        <w:rPr>
          <w:rFonts w:eastAsia="Times New Roman" w:cs="Calibri"/>
          <w:color w:val="000000"/>
          <w:szCs w:val="14"/>
          <w:lang w:eastAsia="pl-PL"/>
        </w:rPr>
        <w:t>niejednokrotnie proces otrzymania oczekiwanej pomocy może ulec wydłużeniu lub nawet sta</w:t>
      </w:r>
      <w:r w:rsidR="003E38C8">
        <w:rPr>
          <w:rFonts w:eastAsia="Times New Roman" w:cs="Calibri"/>
          <w:color w:val="000000"/>
          <w:szCs w:val="14"/>
          <w:lang w:eastAsia="pl-PL"/>
        </w:rPr>
        <w:t>ć</w:t>
      </w:r>
      <w:r w:rsidRPr="005631A4">
        <w:rPr>
          <w:rFonts w:eastAsia="Times New Roman" w:cs="Calibri"/>
          <w:color w:val="000000"/>
          <w:szCs w:val="14"/>
          <w:lang w:eastAsia="pl-PL"/>
        </w:rPr>
        <w:t xml:space="preserve"> się niemożliwy, a tym samym może skutkować pogorszeniem stanu zdrowia pacjenta oraz zwiększeniem obciążenia i frustracji u jego opiekuna nieformalnego. Ponadto brak udostępnienia pacjentom i ich opiekunom jasnych zasad i warunków objęcia danym wsparciem może wzmagać poczucie bezsilności, marginalizacji i izolacji społecznej, co również negatywnie oddziałuje na ogólną jakość życia związaną ze zdrowiem i zaufanie do instytucji publicznych.</w:t>
      </w:r>
    </w:p>
    <w:p w14:paraId="4C86F2E7" w14:textId="49349156" w:rsidR="005631A4" w:rsidRPr="005631A4" w:rsidRDefault="005631A4" w:rsidP="005631A4">
      <w:pPr>
        <w:spacing w:after="120"/>
        <w:jc w:val="both"/>
        <w:rPr>
          <w:rFonts w:ascii="Calibri" w:eastAsia="Calibri" w:hAnsi="Calibri" w:cs="F"/>
          <w:lang w:eastAsia="pl-PL"/>
        </w:rPr>
      </w:pPr>
      <w:r w:rsidRPr="005631A4">
        <w:rPr>
          <w:rFonts w:ascii="Calibri" w:eastAsia="Calibri" w:hAnsi="Calibri" w:cs="F"/>
          <w:lang w:eastAsia="pl-PL"/>
        </w:rPr>
        <w:t xml:space="preserve">Ułatwieniem dla pacjentów i ich opiekunów w zakresie poruszania się po systemie opieki zdrowotnej byłoby udostępnienie online w jednym miejscu wszelkich niezbędnych, aktualizowanych na bieżąco i prezentowanych w przystępny sposób informacji na temat dostępnych usług i świadczeń dedykowanych osobom starszym i </w:t>
      </w:r>
      <w:r w:rsidR="00D20CEC" w:rsidRPr="00D20CEC">
        <w:rPr>
          <w:rFonts w:ascii="Calibri" w:eastAsia="Calibri" w:hAnsi="Calibri" w:cs="F"/>
          <w:lang w:eastAsia="pl-PL"/>
        </w:rPr>
        <w:t>wymagający</w:t>
      </w:r>
      <w:r w:rsidR="00D20CEC">
        <w:rPr>
          <w:rFonts w:ascii="Calibri" w:eastAsia="Calibri" w:hAnsi="Calibri" w:cs="F"/>
          <w:lang w:eastAsia="pl-PL"/>
        </w:rPr>
        <w:t>m</w:t>
      </w:r>
      <w:r w:rsidR="00D20CEC" w:rsidRPr="00D20CEC">
        <w:rPr>
          <w:rFonts w:ascii="Calibri" w:eastAsia="Calibri" w:hAnsi="Calibri" w:cs="F"/>
          <w:lang w:eastAsia="pl-PL"/>
        </w:rPr>
        <w:t xml:space="preserve"> wsparcia w codziennym funkcjonowaniu</w:t>
      </w:r>
      <w:r w:rsidRPr="005631A4">
        <w:rPr>
          <w:rFonts w:ascii="Calibri" w:eastAsia="Calibri" w:hAnsi="Calibri" w:cs="F"/>
          <w:lang w:eastAsia="pl-PL"/>
        </w:rPr>
        <w:t xml:space="preserve"> oraz ich opiekunom. Taka baza informacji powinna obejmować informacje m.in. na temat zasad kwalifikacji do objęcia określonym wsparciem, instytucji i placówek decydujących o objęciu danym wsparciem, dokumentacji niezbędnej do otrzymania takiego wsparcia, a także innych ważnych informacji i porad przydatnych dla opiekunów nieformalnych dotyczących np. objawów chorobowych, codziennej opieki nad chorym i problemów z nią związanych.</w:t>
      </w:r>
    </w:p>
    <w:p w14:paraId="70215E4F" w14:textId="77777777" w:rsidR="005631A4" w:rsidRPr="005631A4" w:rsidRDefault="005631A4" w:rsidP="005631A4">
      <w:pPr>
        <w:spacing w:after="120"/>
        <w:jc w:val="both"/>
      </w:pPr>
      <w:r w:rsidRPr="005631A4">
        <w:rPr>
          <w:rFonts w:ascii="Calibri" w:eastAsia="Calibri" w:hAnsi="Calibri" w:cs="F"/>
          <w:lang w:eastAsia="pl-PL"/>
        </w:rPr>
        <w:lastRenderedPageBreak/>
        <w:t>W ramach koordynacji działań informacyjnych planuje się wielokierunkowe wsparcie informacyjne dla osób starszych ze względu na wiek i stan zdrowia, w tym w związku z wielochorobowością, przewlekłymi i nieuleczalnymi chorobami onkologicznymi i nieonkologicznymi oraz zaburzeniami otępiennymi (choroba Alzheimera i inne postępujące zaburzenia pamięci o charakterze neurodegeneracyjnym) oraz ich opiekunów nieformalnych. Ze względu na postępujące starzenie się społeczeństwa, a co za tym idzie wzrost rozpowszechnienia chorób i ograniczeń funkcjonalnych, których ryzyko wzrasta z wiekiem, dostęp w jednym miejscu do kompleksowej informacji na temat istniejących form wsparcia, pomocy i opieki (w szczególności oferowanej w środowisku lokalnym) może w znaczący sposób usprawnić i uskutecznić indywidualny proces diagnostyczny, leczniczy czy rehabilitacyjny, a tym samym również wpłynąć na wydłużenie okresu pozostawania pacjenta poza opieką instytucjonalną.</w:t>
      </w:r>
    </w:p>
    <w:p w14:paraId="4B2BE719" w14:textId="77777777" w:rsidR="005631A4" w:rsidRPr="005631A4" w:rsidRDefault="005631A4" w:rsidP="005631A4">
      <w:pPr>
        <w:keepNext/>
        <w:keepLines/>
        <w:spacing w:before="240" w:after="120"/>
        <w:jc w:val="both"/>
        <w:outlineLvl w:val="4"/>
        <w:rPr>
          <w:rFonts w:asciiTheme="majorHAnsi" w:eastAsiaTheme="majorEastAsia" w:hAnsiTheme="majorHAnsi" w:cstheme="majorBidi"/>
          <w:i/>
          <w:color w:val="2E74B5" w:themeColor="accent1" w:themeShade="BF"/>
          <w:sz w:val="23"/>
        </w:rPr>
      </w:pPr>
      <w:r w:rsidRPr="005631A4">
        <w:rPr>
          <w:rFonts w:asciiTheme="majorHAnsi" w:eastAsiaTheme="majorEastAsia" w:hAnsiTheme="majorHAnsi" w:cstheme="majorBidi"/>
          <w:i/>
          <w:color w:val="2E74B5" w:themeColor="accent1" w:themeShade="BF"/>
          <w:sz w:val="23"/>
        </w:rPr>
        <w:t>Rezultat 1</w:t>
      </w:r>
    </w:p>
    <w:p w14:paraId="6E4D8139" w14:textId="02457174" w:rsidR="005631A4" w:rsidRPr="005631A4" w:rsidRDefault="00273BF7" w:rsidP="005631A4">
      <w:pPr>
        <w:keepNext/>
        <w:keepLines/>
        <w:shd w:val="clear" w:color="auto" w:fill="BDD6EE" w:themeFill="accent1" w:themeFillTint="66"/>
        <w:spacing w:before="180" w:after="120"/>
        <w:ind w:left="284"/>
        <w:jc w:val="both"/>
        <w:outlineLvl w:val="5"/>
        <w:rPr>
          <w:rFonts w:eastAsiaTheme="majorEastAsia" w:cstheme="majorBidi"/>
          <w:b/>
        </w:rPr>
      </w:pPr>
      <w:r>
        <w:rPr>
          <w:rFonts w:eastAsiaTheme="majorEastAsia" w:cstheme="majorBidi"/>
          <w:b/>
        </w:rPr>
        <w:t>S</w:t>
      </w:r>
      <w:r w:rsidR="00053D39">
        <w:rPr>
          <w:rFonts w:eastAsiaTheme="majorEastAsia" w:cstheme="majorBidi"/>
          <w:b/>
        </w:rPr>
        <w:t>tworzenie</w:t>
      </w:r>
      <w:r w:rsidR="00053D39" w:rsidRPr="005631A4">
        <w:rPr>
          <w:rFonts w:eastAsiaTheme="majorEastAsia" w:cstheme="majorBidi"/>
          <w:b/>
        </w:rPr>
        <w:t xml:space="preserve"> </w:t>
      </w:r>
      <w:r w:rsidR="005631A4" w:rsidRPr="005631A4">
        <w:rPr>
          <w:rFonts w:eastAsiaTheme="majorEastAsia" w:cstheme="majorBidi"/>
          <w:b/>
        </w:rPr>
        <w:t xml:space="preserve">kompleksowej bazy informacji dostępnej online na temat </w:t>
      </w:r>
      <w:r w:rsidR="005631A4" w:rsidRPr="005631A4">
        <w:rPr>
          <w:rFonts w:eastAsia="Times New Roman" w:cstheme="majorBidi"/>
          <w:b/>
        </w:rPr>
        <w:t>systemu wsparcia zdrowotnego dla osób starszych i ich opiekunów</w:t>
      </w:r>
      <w:r w:rsidR="00DC1CE4">
        <w:rPr>
          <w:rFonts w:eastAsia="Times New Roman" w:cstheme="majorBidi"/>
          <w:b/>
        </w:rPr>
        <w:t xml:space="preserve"> – do końca 2030 r.</w:t>
      </w:r>
    </w:p>
    <w:p w14:paraId="2E634B10" w14:textId="77777777" w:rsidR="005631A4" w:rsidRPr="005631A4" w:rsidRDefault="005631A4" w:rsidP="005631A4">
      <w:pPr>
        <w:keepNext/>
        <w:keepLines/>
        <w:spacing w:before="240" w:after="120"/>
        <w:jc w:val="both"/>
        <w:outlineLvl w:val="4"/>
        <w:rPr>
          <w:rFonts w:asciiTheme="majorHAnsi" w:eastAsiaTheme="majorEastAsia" w:hAnsiTheme="majorHAnsi" w:cstheme="majorBidi"/>
          <w:i/>
          <w:color w:val="2E74B5" w:themeColor="accent1" w:themeShade="BF"/>
          <w:sz w:val="23"/>
        </w:rPr>
      </w:pPr>
      <w:r w:rsidRPr="005631A4">
        <w:rPr>
          <w:rFonts w:asciiTheme="majorHAnsi" w:eastAsiaTheme="majorEastAsia" w:hAnsiTheme="majorHAnsi" w:cstheme="majorBidi"/>
          <w:i/>
          <w:color w:val="2E74B5" w:themeColor="accent1" w:themeShade="BF"/>
          <w:sz w:val="23"/>
        </w:rPr>
        <w:t>Działania</w:t>
      </w:r>
    </w:p>
    <w:p w14:paraId="32437942" w14:textId="6FB6DAB2" w:rsidR="005631A4" w:rsidRPr="005631A4" w:rsidRDefault="005631A4" w:rsidP="005631A4">
      <w:pPr>
        <w:keepNext/>
        <w:keepLines/>
        <w:numPr>
          <w:ilvl w:val="0"/>
          <w:numId w:val="50"/>
        </w:numPr>
        <w:shd w:val="clear" w:color="auto" w:fill="DEEAF6" w:themeFill="accent1" w:themeFillTint="33"/>
        <w:spacing w:before="180" w:after="120"/>
        <w:ind w:left="567" w:hanging="283"/>
        <w:jc w:val="both"/>
        <w:outlineLvl w:val="5"/>
        <w:rPr>
          <w:rFonts w:eastAsiaTheme="majorEastAsia" w:cstheme="majorBidi"/>
          <w:b/>
        </w:rPr>
      </w:pPr>
      <w:r w:rsidRPr="005631A4">
        <w:rPr>
          <w:rFonts w:eastAsiaTheme="majorEastAsia" w:cstheme="majorBidi"/>
          <w:b/>
        </w:rPr>
        <w:t>Opracowanie kompleksowej informacji na temat systemu wsparcia zdrowotnego dla osób starszych i ich opiekunów oraz systemu jej aktualizacji – do końca 202</w:t>
      </w:r>
      <w:r w:rsidR="00AA001F">
        <w:rPr>
          <w:rFonts w:eastAsiaTheme="majorEastAsia" w:cstheme="majorBidi"/>
          <w:b/>
        </w:rPr>
        <w:t>2</w:t>
      </w:r>
      <w:r w:rsidRPr="005631A4">
        <w:rPr>
          <w:rFonts w:eastAsiaTheme="majorEastAsia" w:cstheme="majorBidi"/>
          <w:b/>
        </w:rPr>
        <w:t xml:space="preserve"> r.</w:t>
      </w:r>
    </w:p>
    <w:p w14:paraId="618FA7A6" w14:textId="77777777" w:rsidR="005631A4" w:rsidRPr="005631A4" w:rsidRDefault="005631A4" w:rsidP="005631A4">
      <w:pPr>
        <w:spacing w:after="120"/>
        <w:ind w:left="567"/>
        <w:jc w:val="both"/>
      </w:pPr>
      <w:r w:rsidRPr="005631A4">
        <w:t>Planuje się wybór podmiotu, który zbierze informacje na temat systemu wsparcia zdrowotnego (z uwzględnieniem działań realizowanych regionalnie) oraz innych kwestii (np. dotyczących przebiegu danych chorób, objawów towarzyszących itp.) użytecznych dla osób starszych i ich opiekunów, a następnie na tej podstawie opracuje kompleksową bazę informacji oraz system ich aktualizacji.</w:t>
      </w:r>
    </w:p>
    <w:p w14:paraId="5F1F80DE" w14:textId="77777777" w:rsidR="005631A4" w:rsidRPr="005631A4" w:rsidRDefault="005631A4" w:rsidP="005631A4">
      <w:pPr>
        <w:keepNext/>
        <w:keepLines/>
        <w:numPr>
          <w:ilvl w:val="0"/>
          <w:numId w:val="50"/>
        </w:numPr>
        <w:shd w:val="clear" w:color="auto" w:fill="DEEAF6" w:themeFill="accent1" w:themeFillTint="33"/>
        <w:spacing w:before="180" w:after="120"/>
        <w:ind w:left="567" w:hanging="283"/>
        <w:jc w:val="both"/>
        <w:outlineLvl w:val="5"/>
        <w:rPr>
          <w:rFonts w:eastAsiaTheme="majorEastAsia" w:cstheme="majorBidi"/>
          <w:b/>
          <w:spacing w:val="-2"/>
        </w:rPr>
      </w:pPr>
      <w:r w:rsidRPr="005631A4">
        <w:rPr>
          <w:rFonts w:eastAsiaTheme="majorEastAsia" w:cstheme="majorBidi"/>
          <w:b/>
        </w:rPr>
        <w:t xml:space="preserve">Zamieszczenie na stronie internetowej pacjent.gov.pl informacji na temat systemu wsparcia </w:t>
      </w:r>
      <w:r w:rsidRPr="005631A4">
        <w:rPr>
          <w:rFonts w:eastAsiaTheme="majorEastAsia" w:cstheme="majorBidi"/>
          <w:b/>
          <w:spacing w:val="-2"/>
        </w:rPr>
        <w:t>zdrowotnego dla osób starszych i ich opiekunów oraz ich bieżąca aktualizacji – do końca 2030 r.</w:t>
      </w:r>
    </w:p>
    <w:p w14:paraId="569F9E43" w14:textId="77777777" w:rsidR="005631A4" w:rsidRPr="005631A4" w:rsidRDefault="005631A4" w:rsidP="005631A4">
      <w:pPr>
        <w:spacing w:after="360"/>
        <w:ind w:left="567"/>
        <w:jc w:val="both"/>
        <w:rPr>
          <w:rFonts w:ascii="Calibri" w:eastAsia="Calibri" w:hAnsi="Calibri" w:cs="F"/>
          <w:lang w:eastAsia="pl-PL"/>
        </w:rPr>
      </w:pPr>
      <w:r w:rsidRPr="005631A4">
        <w:t xml:space="preserve">Planuje się udostępnienie zebranych i opracowanych informacji na temat systemu wsparcia zdrowotnego dla osób starszych i ich opiekunów na stronie </w:t>
      </w:r>
      <w:r w:rsidRPr="005631A4">
        <w:rPr>
          <w:rFonts w:eastAsia="Times New Roman"/>
        </w:rPr>
        <w:t xml:space="preserve">internetowej </w:t>
      </w:r>
      <w:hyperlink r:id="rId20" w:history="1">
        <w:r w:rsidRPr="005631A4">
          <w:rPr>
            <w:rFonts w:eastAsia="Times New Roman"/>
            <w:color w:val="0563C1" w:themeColor="hyperlink"/>
            <w:u w:val="single"/>
          </w:rPr>
          <w:t>pacjent.gov.pl</w:t>
        </w:r>
      </w:hyperlink>
      <w:r w:rsidRPr="005631A4">
        <w:rPr>
          <w:rFonts w:eastAsia="Times New Roman"/>
        </w:rPr>
        <w:t>. Informacje mają być również zamieszczane na bieżąco (aktualizowane), w przejrzystej i komunikatywnej formie oraz w łatwy do nawigacji sposób, tak aby użytkownicy, do których będą skierowane, mogli łatwo je odnaleźć na stronie i z nich skorzystać.</w:t>
      </w:r>
    </w:p>
    <w:tbl>
      <w:tblPr>
        <w:tblStyle w:val="Tabela-Siatka"/>
        <w:tblW w:w="10363"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560"/>
        <w:gridCol w:w="1144"/>
        <w:gridCol w:w="709"/>
        <w:gridCol w:w="709"/>
        <w:gridCol w:w="727"/>
        <w:gridCol w:w="691"/>
        <w:gridCol w:w="691"/>
        <w:gridCol w:w="691"/>
        <w:gridCol w:w="691"/>
        <w:gridCol w:w="666"/>
        <w:gridCol w:w="693"/>
        <w:gridCol w:w="696"/>
        <w:gridCol w:w="695"/>
      </w:tblGrid>
      <w:tr w:rsidR="005631A4" w:rsidRPr="005631A4" w14:paraId="169A0859" w14:textId="77777777" w:rsidTr="005631A4">
        <w:trPr>
          <w:jc w:val="center"/>
        </w:trPr>
        <w:tc>
          <w:tcPr>
            <w:tcW w:w="10363" w:type="dxa"/>
            <w:gridSpan w:val="13"/>
            <w:shd w:val="clear" w:color="auto" w:fill="65A2D9"/>
            <w:vAlign w:val="center"/>
          </w:tcPr>
          <w:p w14:paraId="44875378" w14:textId="77777777" w:rsidR="005631A4" w:rsidRPr="005631A4" w:rsidRDefault="005631A4" w:rsidP="005631A4">
            <w:pPr>
              <w:spacing w:before="60" w:after="60"/>
              <w:jc w:val="both"/>
              <w:rPr>
                <w:b/>
                <w:bCs/>
              </w:rPr>
            </w:pPr>
            <w:r w:rsidRPr="005631A4">
              <w:rPr>
                <w:b/>
                <w:bCs/>
                <w:sz w:val="24"/>
                <w:szCs w:val="24"/>
              </w:rPr>
              <w:t>REZULTAT 2</w:t>
            </w:r>
          </w:p>
        </w:tc>
      </w:tr>
      <w:tr w:rsidR="005631A4" w:rsidRPr="005631A4" w14:paraId="0328D42C" w14:textId="77777777" w:rsidTr="005631A4">
        <w:trPr>
          <w:jc w:val="center"/>
        </w:trPr>
        <w:tc>
          <w:tcPr>
            <w:tcW w:w="1560" w:type="dxa"/>
            <w:vMerge w:val="restart"/>
            <w:shd w:val="clear" w:color="auto" w:fill="9CC2E5" w:themeFill="accent1" w:themeFillTint="99"/>
            <w:vAlign w:val="center"/>
          </w:tcPr>
          <w:p w14:paraId="2E3F0B6F" w14:textId="77777777" w:rsidR="005631A4" w:rsidRPr="005631A4" w:rsidRDefault="005631A4" w:rsidP="00CE3D48">
            <w:pPr>
              <w:spacing w:before="60" w:after="60"/>
              <w:jc w:val="center"/>
              <w:rPr>
                <w:b/>
                <w:bCs/>
              </w:rPr>
            </w:pPr>
            <w:r w:rsidRPr="005631A4">
              <w:rPr>
                <w:b/>
                <w:bCs/>
              </w:rPr>
              <w:t>Termin realizacji działań</w:t>
            </w:r>
          </w:p>
        </w:tc>
        <w:tc>
          <w:tcPr>
            <w:tcW w:w="1144" w:type="dxa"/>
            <w:shd w:val="clear" w:color="auto" w:fill="9CC2E5" w:themeFill="accent1" w:themeFillTint="99"/>
            <w:vAlign w:val="center"/>
          </w:tcPr>
          <w:p w14:paraId="43A677A4" w14:textId="77777777" w:rsidR="005631A4" w:rsidRPr="005631A4" w:rsidRDefault="005631A4" w:rsidP="005631A4">
            <w:pPr>
              <w:spacing w:before="60" w:after="60"/>
              <w:jc w:val="center"/>
            </w:pPr>
            <w:r w:rsidRPr="005631A4">
              <w:t>Nr działania</w:t>
            </w:r>
          </w:p>
        </w:tc>
        <w:tc>
          <w:tcPr>
            <w:tcW w:w="709" w:type="dxa"/>
            <w:shd w:val="clear" w:color="auto" w:fill="9CC2E5" w:themeFill="accent1" w:themeFillTint="99"/>
            <w:vAlign w:val="center"/>
          </w:tcPr>
          <w:p w14:paraId="6448B202" w14:textId="77777777" w:rsidR="005631A4" w:rsidRPr="005631A4" w:rsidRDefault="005631A4" w:rsidP="005631A4">
            <w:pPr>
              <w:spacing w:before="60" w:after="60"/>
              <w:jc w:val="both"/>
            </w:pPr>
            <w:r w:rsidRPr="005631A4">
              <w:t>2020</w:t>
            </w:r>
          </w:p>
        </w:tc>
        <w:tc>
          <w:tcPr>
            <w:tcW w:w="709" w:type="dxa"/>
            <w:shd w:val="clear" w:color="auto" w:fill="9CC2E5" w:themeFill="accent1" w:themeFillTint="99"/>
            <w:vAlign w:val="center"/>
          </w:tcPr>
          <w:p w14:paraId="53E1D1FD" w14:textId="77777777" w:rsidR="005631A4" w:rsidRPr="005631A4" w:rsidRDefault="005631A4" w:rsidP="005631A4">
            <w:pPr>
              <w:spacing w:before="60" w:after="60"/>
              <w:jc w:val="both"/>
            </w:pPr>
            <w:r w:rsidRPr="005631A4">
              <w:t>2021</w:t>
            </w:r>
          </w:p>
        </w:tc>
        <w:tc>
          <w:tcPr>
            <w:tcW w:w="727" w:type="dxa"/>
            <w:shd w:val="clear" w:color="auto" w:fill="9CC2E5" w:themeFill="accent1" w:themeFillTint="99"/>
            <w:vAlign w:val="center"/>
          </w:tcPr>
          <w:p w14:paraId="1941B9E5" w14:textId="77777777" w:rsidR="005631A4" w:rsidRPr="005631A4" w:rsidRDefault="005631A4" w:rsidP="005631A4">
            <w:pPr>
              <w:spacing w:before="60" w:after="60"/>
              <w:jc w:val="both"/>
            </w:pPr>
            <w:r w:rsidRPr="005631A4">
              <w:t>2022</w:t>
            </w:r>
          </w:p>
        </w:tc>
        <w:tc>
          <w:tcPr>
            <w:tcW w:w="691" w:type="dxa"/>
            <w:shd w:val="clear" w:color="auto" w:fill="9CC2E5" w:themeFill="accent1" w:themeFillTint="99"/>
            <w:vAlign w:val="center"/>
          </w:tcPr>
          <w:p w14:paraId="098537A6" w14:textId="77777777" w:rsidR="005631A4" w:rsidRPr="005631A4" w:rsidRDefault="005631A4" w:rsidP="005631A4">
            <w:pPr>
              <w:spacing w:before="60" w:after="60"/>
              <w:jc w:val="both"/>
            </w:pPr>
            <w:r w:rsidRPr="005631A4">
              <w:t>2023</w:t>
            </w:r>
          </w:p>
        </w:tc>
        <w:tc>
          <w:tcPr>
            <w:tcW w:w="691" w:type="dxa"/>
            <w:shd w:val="clear" w:color="auto" w:fill="9CC2E5" w:themeFill="accent1" w:themeFillTint="99"/>
            <w:vAlign w:val="center"/>
          </w:tcPr>
          <w:p w14:paraId="56B48A49" w14:textId="77777777" w:rsidR="005631A4" w:rsidRPr="005631A4" w:rsidRDefault="005631A4" w:rsidP="005631A4">
            <w:pPr>
              <w:spacing w:before="60" w:after="60"/>
              <w:jc w:val="both"/>
            </w:pPr>
            <w:r w:rsidRPr="005631A4">
              <w:t>2024</w:t>
            </w:r>
          </w:p>
        </w:tc>
        <w:tc>
          <w:tcPr>
            <w:tcW w:w="691" w:type="dxa"/>
            <w:shd w:val="clear" w:color="auto" w:fill="9CC2E5" w:themeFill="accent1" w:themeFillTint="99"/>
            <w:vAlign w:val="center"/>
          </w:tcPr>
          <w:p w14:paraId="6729E816" w14:textId="77777777" w:rsidR="005631A4" w:rsidRPr="005631A4" w:rsidRDefault="005631A4" w:rsidP="005631A4">
            <w:pPr>
              <w:spacing w:before="60" w:after="60"/>
              <w:jc w:val="both"/>
            </w:pPr>
            <w:r w:rsidRPr="005631A4">
              <w:t>2025</w:t>
            </w:r>
          </w:p>
        </w:tc>
        <w:tc>
          <w:tcPr>
            <w:tcW w:w="691" w:type="dxa"/>
            <w:shd w:val="clear" w:color="auto" w:fill="9CC2E5" w:themeFill="accent1" w:themeFillTint="99"/>
            <w:vAlign w:val="center"/>
          </w:tcPr>
          <w:p w14:paraId="4DB97E77" w14:textId="77777777" w:rsidR="005631A4" w:rsidRPr="005631A4" w:rsidRDefault="005631A4" w:rsidP="005631A4">
            <w:pPr>
              <w:spacing w:before="60" w:after="60"/>
              <w:jc w:val="both"/>
            </w:pPr>
            <w:r w:rsidRPr="005631A4">
              <w:t>2026</w:t>
            </w:r>
          </w:p>
        </w:tc>
        <w:tc>
          <w:tcPr>
            <w:tcW w:w="666" w:type="dxa"/>
            <w:shd w:val="clear" w:color="auto" w:fill="9CC2E5" w:themeFill="accent1" w:themeFillTint="99"/>
            <w:vAlign w:val="center"/>
          </w:tcPr>
          <w:p w14:paraId="60357957" w14:textId="77777777" w:rsidR="005631A4" w:rsidRPr="005631A4" w:rsidRDefault="005631A4" w:rsidP="005631A4">
            <w:pPr>
              <w:spacing w:before="60" w:after="60"/>
              <w:jc w:val="both"/>
            </w:pPr>
            <w:r w:rsidRPr="005631A4">
              <w:t>2027</w:t>
            </w:r>
          </w:p>
        </w:tc>
        <w:tc>
          <w:tcPr>
            <w:tcW w:w="693" w:type="dxa"/>
            <w:shd w:val="clear" w:color="auto" w:fill="9CC2E5" w:themeFill="accent1" w:themeFillTint="99"/>
            <w:vAlign w:val="center"/>
          </w:tcPr>
          <w:p w14:paraId="7E7CDDD6" w14:textId="77777777" w:rsidR="005631A4" w:rsidRPr="005631A4" w:rsidRDefault="005631A4" w:rsidP="005631A4">
            <w:pPr>
              <w:spacing w:before="60" w:after="60"/>
              <w:jc w:val="both"/>
            </w:pPr>
            <w:r w:rsidRPr="005631A4">
              <w:t>2028</w:t>
            </w:r>
          </w:p>
        </w:tc>
        <w:tc>
          <w:tcPr>
            <w:tcW w:w="696" w:type="dxa"/>
            <w:shd w:val="clear" w:color="auto" w:fill="9CC2E5" w:themeFill="accent1" w:themeFillTint="99"/>
            <w:vAlign w:val="center"/>
          </w:tcPr>
          <w:p w14:paraId="175755C7" w14:textId="77777777" w:rsidR="005631A4" w:rsidRPr="005631A4" w:rsidRDefault="005631A4" w:rsidP="005631A4">
            <w:pPr>
              <w:spacing w:before="60" w:after="60"/>
              <w:jc w:val="both"/>
            </w:pPr>
            <w:r w:rsidRPr="005631A4">
              <w:t>2029</w:t>
            </w:r>
          </w:p>
        </w:tc>
        <w:tc>
          <w:tcPr>
            <w:tcW w:w="695" w:type="dxa"/>
            <w:shd w:val="clear" w:color="auto" w:fill="9CC2E5" w:themeFill="accent1" w:themeFillTint="99"/>
            <w:vAlign w:val="center"/>
          </w:tcPr>
          <w:p w14:paraId="0C8270AA" w14:textId="77777777" w:rsidR="005631A4" w:rsidRPr="005631A4" w:rsidRDefault="005631A4" w:rsidP="005631A4">
            <w:pPr>
              <w:spacing w:before="60" w:after="60"/>
              <w:jc w:val="both"/>
            </w:pPr>
            <w:r w:rsidRPr="005631A4">
              <w:t>2030</w:t>
            </w:r>
          </w:p>
        </w:tc>
      </w:tr>
      <w:tr w:rsidR="005631A4" w:rsidRPr="005631A4" w14:paraId="66A6E3D4" w14:textId="77777777" w:rsidTr="005631A4">
        <w:trPr>
          <w:jc w:val="center"/>
        </w:trPr>
        <w:tc>
          <w:tcPr>
            <w:tcW w:w="1560" w:type="dxa"/>
            <w:vMerge/>
            <w:vAlign w:val="center"/>
          </w:tcPr>
          <w:p w14:paraId="5060481E" w14:textId="77777777" w:rsidR="005631A4" w:rsidRPr="005631A4" w:rsidRDefault="005631A4" w:rsidP="00CE3D48">
            <w:pPr>
              <w:spacing w:before="60" w:after="60"/>
              <w:jc w:val="center"/>
              <w:rPr>
                <w:b/>
                <w:bCs/>
              </w:rPr>
            </w:pPr>
          </w:p>
        </w:tc>
        <w:tc>
          <w:tcPr>
            <w:tcW w:w="1144" w:type="dxa"/>
            <w:shd w:val="clear" w:color="auto" w:fill="BDD6EE" w:themeFill="accent1" w:themeFillTint="66"/>
            <w:vAlign w:val="center"/>
          </w:tcPr>
          <w:p w14:paraId="18BB8038" w14:textId="77777777" w:rsidR="005631A4" w:rsidRPr="005631A4" w:rsidRDefault="005631A4" w:rsidP="005631A4">
            <w:pPr>
              <w:spacing w:before="60" w:after="60"/>
              <w:jc w:val="center"/>
            </w:pPr>
            <w:r w:rsidRPr="005631A4">
              <w:t>1.</w:t>
            </w:r>
          </w:p>
        </w:tc>
        <w:tc>
          <w:tcPr>
            <w:tcW w:w="709" w:type="dxa"/>
            <w:shd w:val="clear" w:color="auto" w:fill="DEEAF6" w:themeFill="accent1" w:themeFillTint="33"/>
            <w:vAlign w:val="center"/>
          </w:tcPr>
          <w:p w14:paraId="6C329C3D" w14:textId="77777777" w:rsidR="005631A4" w:rsidRPr="005631A4" w:rsidRDefault="005631A4" w:rsidP="005631A4">
            <w:pPr>
              <w:spacing w:before="60" w:after="60"/>
              <w:jc w:val="center"/>
            </w:pPr>
          </w:p>
        </w:tc>
        <w:tc>
          <w:tcPr>
            <w:tcW w:w="709" w:type="dxa"/>
            <w:shd w:val="clear" w:color="auto" w:fill="BDD6EE" w:themeFill="accent1" w:themeFillTint="66"/>
            <w:vAlign w:val="center"/>
          </w:tcPr>
          <w:p w14:paraId="6CA0BD54" w14:textId="29AA737B" w:rsidR="005631A4" w:rsidRPr="005631A4" w:rsidRDefault="005631A4" w:rsidP="005631A4">
            <w:pPr>
              <w:spacing w:before="60" w:after="60"/>
              <w:jc w:val="center"/>
              <w:rPr>
                <w:sz w:val="16"/>
                <w:szCs w:val="16"/>
              </w:rPr>
            </w:pPr>
          </w:p>
        </w:tc>
        <w:tc>
          <w:tcPr>
            <w:tcW w:w="727" w:type="dxa"/>
            <w:shd w:val="clear" w:color="auto" w:fill="BDD6EE" w:themeFill="accent1" w:themeFillTint="66"/>
            <w:vAlign w:val="center"/>
          </w:tcPr>
          <w:p w14:paraId="6D8C3261" w14:textId="0B1D0496" w:rsidR="005631A4" w:rsidRPr="005631A4" w:rsidRDefault="005631A4" w:rsidP="005631A4">
            <w:pPr>
              <w:spacing w:before="60" w:after="60"/>
              <w:jc w:val="center"/>
              <w:rPr>
                <w:sz w:val="16"/>
                <w:szCs w:val="16"/>
              </w:rPr>
            </w:pPr>
          </w:p>
        </w:tc>
        <w:tc>
          <w:tcPr>
            <w:tcW w:w="691" w:type="dxa"/>
            <w:shd w:val="clear" w:color="auto" w:fill="DEEAF6" w:themeFill="accent1" w:themeFillTint="33"/>
            <w:vAlign w:val="center"/>
          </w:tcPr>
          <w:p w14:paraId="36759E9D" w14:textId="77777777" w:rsidR="005631A4" w:rsidRPr="005631A4" w:rsidRDefault="005631A4" w:rsidP="005631A4">
            <w:pPr>
              <w:spacing w:before="60" w:after="60"/>
              <w:jc w:val="center"/>
            </w:pPr>
          </w:p>
        </w:tc>
        <w:tc>
          <w:tcPr>
            <w:tcW w:w="691" w:type="dxa"/>
            <w:shd w:val="clear" w:color="auto" w:fill="DEEAF6" w:themeFill="accent1" w:themeFillTint="33"/>
            <w:vAlign w:val="center"/>
          </w:tcPr>
          <w:p w14:paraId="5952ABC0" w14:textId="77777777" w:rsidR="005631A4" w:rsidRPr="005631A4" w:rsidRDefault="005631A4" w:rsidP="005631A4">
            <w:pPr>
              <w:spacing w:before="60" w:after="60"/>
              <w:jc w:val="center"/>
            </w:pPr>
          </w:p>
        </w:tc>
        <w:tc>
          <w:tcPr>
            <w:tcW w:w="691" w:type="dxa"/>
            <w:shd w:val="clear" w:color="auto" w:fill="DEEAF6" w:themeFill="accent1" w:themeFillTint="33"/>
            <w:vAlign w:val="center"/>
          </w:tcPr>
          <w:p w14:paraId="5393BFDD" w14:textId="77777777" w:rsidR="005631A4" w:rsidRPr="005631A4" w:rsidRDefault="005631A4" w:rsidP="005631A4">
            <w:pPr>
              <w:spacing w:before="60" w:after="60"/>
              <w:jc w:val="center"/>
            </w:pPr>
          </w:p>
        </w:tc>
        <w:tc>
          <w:tcPr>
            <w:tcW w:w="691" w:type="dxa"/>
            <w:shd w:val="clear" w:color="auto" w:fill="DEEAF6" w:themeFill="accent1" w:themeFillTint="33"/>
            <w:vAlign w:val="center"/>
          </w:tcPr>
          <w:p w14:paraId="66345654" w14:textId="77777777" w:rsidR="005631A4" w:rsidRPr="005631A4" w:rsidRDefault="005631A4" w:rsidP="005631A4">
            <w:pPr>
              <w:spacing w:before="60" w:after="60"/>
              <w:jc w:val="center"/>
            </w:pPr>
          </w:p>
        </w:tc>
        <w:tc>
          <w:tcPr>
            <w:tcW w:w="666" w:type="dxa"/>
            <w:shd w:val="clear" w:color="auto" w:fill="DEEAF6" w:themeFill="accent1" w:themeFillTint="33"/>
          </w:tcPr>
          <w:p w14:paraId="00E0B494" w14:textId="77777777" w:rsidR="005631A4" w:rsidRPr="005631A4" w:rsidRDefault="005631A4" w:rsidP="005631A4">
            <w:pPr>
              <w:spacing w:before="60" w:after="60"/>
              <w:jc w:val="center"/>
            </w:pPr>
          </w:p>
        </w:tc>
        <w:tc>
          <w:tcPr>
            <w:tcW w:w="693" w:type="dxa"/>
            <w:shd w:val="clear" w:color="auto" w:fill="DEEAF6" w:themeFill="accent1" w:themeFillTint="33"/>
          </w:tcPr>
          <w:p w14:paraId="477C3FFF" w14:textId="77777777" w:rsidR="005631A4" w:rsidRPr="005631A4" w:rsidRDefault="005631A4" w:rsidP="005631A4">
            <w:pPr>
              <w:spacing w:before="60" w:after="60"/>
              <w:jc w:val="center"/>
            </w:pPr>
          </w:p>
        </w:tc>
        <w:tc>
          <w:tcPr>
            <w:tcW w:w="696" w:type="dxa"/>
            <w:shd w:val="clear" w:color="auto" w:fill="DEEAF6" w:themeFill="accent1" w:themeFillTint="33"/>
          </w:tcPr>
          <w:p w14:paraId="04AFF641" w14:textId="77777777" w:rsidR="005631A4" w:rsidRPr="005631A4" w:rsidRDefault="005631A4" w:rsidP="005631A4">
            <w:pPr>
              <w:spacing w:before="60" w:after="60"/>
              <w:jc w:val="center"/>
            </w:pPr>
          </w:p>
        </w:tc>
        <w:tc>
          <w:tcPr>
            <w:tcW w:w="695" w:type="dxa"/>
            <w:shd w:val="clear" w:color="auto" w:fill="DEEAF6" w:themeFill="accent1" w:themeFillTint="33"/>
          </w:tcPr>
          <w:p w14:paraId="6D86C7AB" w14:textId="77777777" w:rsidR="005631A4" w:rsidRPr="005631A4" w:rsidRDefault="005631A4" w:rsidP="005631A4">
            <w:pPr>
              <w:spacing w:before="60" w:after="60"/>
              <w:jc w:val="center"/>
            </w:pPr>
          </w:p>
        </w:tc>
      </w:tr>
      <w:tr w:rsidR="005631A4" w:rsidRPr="005631A4" w14:paraId="18215B8C" w14:textId="77777777" w:rsidTr="005631A4">
        <w:trPr>
          <w:jc w:val="center"/>
        </w:trPr>
        <w:tc>
          <w:tcPr>
            <w:tcW w:w="1560" w:type="dxa"/>
            <w:vMerge/>
            <w:vAlign w:val="center"/>
          </w:tcPr>
          <w:p w14:paraId="2B7F2DD5" w14:textId="77777777" w:rsidR="005631A4" w:rsidRPr="005631A4" w:rsidRDefault="005631A4" w:rsidP="00CE3D48">
            <w:pPr>
              <w:spacing w:before="60" w:after="60"/>
              <w:jc w:val="center"/>
              <w:rPr>
                <w:b/>
                <w:bCs/>
              </w:rPr>
            </w:pPr>
          </w:p>
        </w:tc>
        <w:tc>
          <w:tcPr>
            <w:tcW w:w="1144" w:type="dxa"/>
            <w:shd w:val="clear" w:color="auto" w:fill="BDD6EE" w:themeFill="accent1" w:themeFillTint="66"/>
            <w:vAlign w:val="center"/>
          </w:tcPr>
          <w:p w14:paraId="490E1AD9" w14:textId="77777777" w:rsidR="005631A4" w:rsidRPr="005631A4" w:rsidRDefault="005631A4" w:rsidP="005631A4">
            <w:pPr>
              <w:spacing w:before="60" w:after="60"/>
              <w:jc w:val="center"/>
            </w:pPr>
            <w:r w:rsidRPr="005631A4">
              <w:t>2.</w:t>
            </w:r>
          </w:p>
        </w:tc>
        <w:tc>
          <w:tcPr>
            <w:tcW w:w="709" w:type="dxa"/>
            <w:shd w:val="clear" w:color="auto" w:fill="DEEAF6" w:themeFill="accent1" w:themeFillTint="33"/>
            <w:vAlign w:val="center"/>
          </w:tcPr>
          <w:p w14:paraId="3D28C1D6" w14:textId="77777777" w:rsidR="005631A4" w:rsidRPr="005631A4" w:rsidRDefault="005631A4" w:rsidP="005631A4">
            <w:pPr>
              <w:spacing w:before="60" w:after="60"/>
              <w:jc w:val="center"/>
            </w:pPr>
          </w:p>
        </w:tc>
        <w:tc>
          <w:tcPr>
            <w:tcW w:w="709" w:type="dxa"/>
            <w:shd w:val="clear" w:color="auto" w:fill="DEEAF6" w:themeFill="accent1" w:themeFillTint="33"/>
            <w:vAlign w:val="center"/>
          </w:tcPr>
          <w:p w14:paraId="5FA101C3" w14:textId="77777777" w:rsidR="005631A4" w:rsidRPr="005631A4" w:rsidRDefault="005631A4" w:rsidP="005631A4">
            <w:pPr>
              <w:spacing w:before="60" w:after="60"/>
              <w:jc w:val="center"/>
            </w:pPr>
          </w:p>
        </w:tc>
        <w:tc>
          <w:tcPr>
            <w:tcW w:w="727" w:type="dxa"/>
            <w:shd w:val="clear" w:color="auto" w:fill="DEEAF6" w:themeFill="accent1" w:themeFillTint="33"/>
            <w:vAlign w:val="center"/>
          </w:tcPr>
          <w:p w14:paraId="3ECD7992" w14:textId="77777777" w:rsidR="005631A4" w:rsidRPr="005631A4" w:rsidRDefault="005631A4" w:rsidP="005631A4">
            <w:pPr>
              <w:spacing w:before="60" w:after="60"/>
              <w:jc w:val="center"/>
            </w:pPr>
          </w:p>
        </w:tc>
        <w:tc>
          <w:tcPr>
            <w:tcW w:w="691" w:type="dxa"/>
            <w:shd w:val="clear" w:color="auto" w:fill="BDD6EE" w:themeFill="accent1" w:themeFillTint="66"/>
            <w:vAlign w:val="center"/>
          </w:tcPr>
          <w:p w14:paraId="6BBDA6CF" w14:textId="77777777" w:rsidR="005631A4" w:rsidRPr="005631A4" w:rsidRDefault="005631A4" w:rsidP="005631A4">
            <w:pPr>
              <w:spacing w:before="60" w:after="60"/>
              <w:jc w:val="center"/>
            </w:pPr>
          </w:p>
        </w:tc>
        <w:tc>
          <w:tcPr>
            <w:tcW w:w="691" w:type="dxa"/>
            <w:shd w:val="clear" w:color="auto" w:fill="BDD6EE" w:themeFill="accent1" w:themeFillTint="66"/>
            <w:vAlign w:val="center"/>
          </w:tcPr>
          <w:p w14:paraId="65B54C0E" w14:textId="77777777" w:rsidR="005631A4" w:rsidRPr="005631A4" w:rsidRDefault="005631A4" w:rsidP="005631A4">
            <w:pPr>
              <w:spacing w:before="60" w:after="60"/>
              <w:jc w:val="center"/>
            </w:pPr>
          </w:p>
        </w:tc>
        <w:tc>
          <w:tcPr>
            <w:tcW w:w="691" w:type="dxa"/>
            <w:shd w:val="clear" w:color="auto" w:fill="BDD6EE" w:themeFill="accent1" w:themeFillTint="66"/>
            <w:vAlign w:val="center"/>
          </w:tcPr>
          <w:p w14:paraId="7733B4D6" w14:textId="77777777" w:rsidR="005631A4" w:rsidRPr="005631A4" w:rsidRDefault="005631A4" w:rsidP="005631A4">
            <w:pPr>
              <w:spacing w:before="60" w:after="60"/>
              <w:jc w:val="center"/>
            </w:pPr>
          </w:p>
        </w:tc>
        <w:tc>
          <w:tcPr>
            <w:tcW w:w="691" w:type="dxa"/>
            <w:shd w:val="clear" w:color="auto" w:fill="BDD6EE" w:themeFill="accent1" w:themeFillTint="66"/>
            <w:vAlign w:val="center"/>
          </w:tcPr>
          <w:p w14:paraId="15AD6A55" w14:textId="77777777" w:rsidR="005631A4" w:rsidRPr="005631A4" w:rsidRDefault="005631A4" w:rsidP="005631A4">
            <w:pPr>
              <w:spacing w:before="60" w:after="60"/>
              <w:jc w:val="center"/>
            </w:pPr>
          </w:p>
        </w:tc>
        <w:tc>
          <w:tcPr>
            <w:tcW w:w="666" w:type="dxa"/>
            <w:shd w:val="clear" w:color="auto" w:fill="BDD6EE" w:themeFill="accent1" w:themeFillTint="66"/>
          </w:tcPr>
          <w:p w14:paraId="38D50AA2" w14:textId="77777777" w:rsidR="005631A4" w:rsidRPr="005631A4" w:rsidRDefault="005631A4" w:rsidP="005631A4">
            <w:pPr>
              <w:spacing w:before="60" w:after="60"/>
              <w:jc w:val="center"/>
            </w:pPr>
          </w:p>
        </w:tc>
        <w:tc>
          <w:tcPr>
            <w:tcW w:w="693" w:type="dxa"/>
            <w:shd w:val="clear" w:color="auto" w:fill="BDD6EE" w:themeFill="accent1" w:themeFillTint="66"/>
          </w:tcPr>
          <w:p w14:paraId="6005B4D4" w14:textId="77777777" w:rsidR="005631A4" w:rsidRPr="005631A4" w:rsidRDefault="005631A4" w:rsidP="005631A4">
            <w:pPr>
              <w:spacing w:before="60" w:after="60"/>
              <w:jc w:val="center"/>
            </w:pPr>
          </w:p>
        </w:tc>
        <w:tc>
          <w:tcPr>
            <w:tcW w:w="696" w:type="dxa"/>
            <w:shd w:val="clear" w:color="auto" w:fill="BDD6EE" w:themeFill="accent1" w:themeFillTint="66"/>
          </w:tcPr>
          <w:p w14:paraId="55F709E6" w14:textId="77777777" w:rsidR="005631A4" w:rsidRPr="005631A4" w:rsidRDefault="005631A4" w:rsidP="005631A4">
            <w:pPr>
              <w:spacing w:before="60" w:after="60"/>
              <w:jc w:val="center"/>
            </w:pPr>
          </w:p>
        </w:tc>
        <w:tc>
          <w:tcPr>
            <w:tcW w:w="695" w:type="dxa"/>
            <w:shd w:val="clear" w:color="auto" w:fill="BDD6EE" w:themeFill="accent1" w:themeFillTint="66"/>
          </w:tcPr>
          <w:p w14:paraId="01439114" w14:textId="77777777" w:rsidR="005631A4" w:rsidRPr="005631A4" w:rsidRDefault="005631A4" w:rsidP="005631A4">
            <w:pPr>
              <w:spacing w:before="60" w:after="60"/>
              <w:jc w:val="center"/>
            </w:pPr>
          </w:p>
        </w:tc>
      </w:tr>
      <w:tr w:rsidR="005631A4" w:rsidRPr="005631A4" w14:paraId="13E3BC4E" w14:textId="77777777" w:rsidTr="005631A4">
        <w:trPr>
          <w:jc w:val="center"/>
        </w:trPr>
        <w:tc>
          <w:tcPr>
            <w:tcW w:w="1560" w:type="dxa"/>
            <w:shd w:val="clear" w:color="auto" w:fill="9CC2E5" w:themeFill="accent1" w:themeFillTint="99"/>
            <w:vAlign w:val="center"/>
          </w:tcPr>
          <w:p w14:paraId="52C1D4F0" w14:textId="77777777" w:rsidR="005631A4" w:rsidRPr="005631A4" w:rsidRDefault="005631A4" w:rsidP="00CE3D48">
            <w:pPr>
              <w:spacing w:before="60" w:after="60"/>
              <w:jc w:val="center"/>
              <w:rPr>
                <w:b/>
                <w:bCs/>
              </w:rPr>
            </w:pPr>
            <w:r w:rsidRPr="005631A4">
              <w:rPr>
                <w:b/>
                <w:bCs/>
              </w:rPr>
              <w:t>Indykatywne źródła finansowania</w:t>
            </w:r>
          </w:p>
        </w:tc>
        <w:tc>
          <w:tcPr>
            <w:tcW w:w="8803" w:type="dxa"/>
            <w:gridSpan w:val="12"/>
            <w:shd w:val="clear" w:color="auto" w:fill="DEEAF6" w:themeFill="accent1" w:themeFillTint="33"/>
            <w:vAlign w:val="center"/>
          </w:tcPr>
          <w:p w14:paraId="7112E0AD" w14:textId="3B549365" w:rsidR="005631A4" w:rsidRPr="005631A4" w:rsidRDefault="005631A4" w:rsidP="006853EF">
            <w:pPr>
              <w:numPr>
                <w:ilvl w:val="0"/>
                <w:numId w:val="42"/>
              </w:numPr>
              <w:ind w:left="306" w:hanging="306"/>
              <w:jc w:val="both"/>
            </w:pPr>
            <w:r w:rsidRPr="005631A4">
              <w:t>Środki NPZ</w:t>
            </w:r>
            <w:r w:rsidR="00AA001F">
              <w:t>/</w:t>
            </w:r>
            <w:r w:rsidR="00BD35DC">
              <w:t>b</w:t>
            </w:r>
            <w:r w:rsidR="00AA001F">
              <w:t>udżet państwa</w:t>
            </w:r>
          </w:p>
          <w:p w14:paraId="7C423B24" w14:textId="77777777" w:rsidR="005631A4" w:rsidRPr="005631A4" w:rsidRDefault="005631A4" w:rsidP="006853EF">
            <w:pPr>
              <w:numPr>
                <w:ilvl w:val="0"/>
                <w:numId w:val="42"/>
              </w:numPr>
              <w:ind w:left="306" w:hanging="306"/>
              <w:jc w:val="both"/>
            </w:pPr>
            <w:r w:rsidRPr="005631A4">
              <w:t>Budżet państwa</w:t>
            </w:r>
          </w:p>
        </w:tc>
      </w:tr>
      <w:tr w:rsidR="005631A4" w:rsidRPr="005631A4" w14:paraId="2EFCAF9B" w14:textId="77777777" w:rsidTr="005631A4">
        <w:trPr>
          <w:trHeight w:val="518"/>
          <w:jc w:val="center"/>
        </w:trPr>
        <w:tc>
          <w:tcPr>
            <w:tcW w:w="1560" w:type="dxa"/>
            <w:shd w:val="clear" w:color="auto" w:fill="9CC2E5" w:themeFill="accent1" w:themeFillTint="99"/>
            <w:vAlign w:val="center"/>
          </w:tcPr>
          <w:p w14:paraId="22BBC94A" w14:textId="77777777" w:rsidR="005631A4" w:rsidRPr="005631A4" w:rsidRDefault="005631A4" w:rsidP="00CE3D48">
            <w:pPr>
              <w:spacing w:before="60" w:after="60"/>
              <w:jc w:val="center"/>
              <w:rPr>
                <w:b/>
                <w:bCs/>
              </w:rPr>
            </w:pPr>
            <w:r w:rsidRPr="005631A4">
              <w:rPr>
                <w:b/>
                <w:bCs/>
              </w:rPr>
              <w:t>Koordynacja</w:t>
            </w:r>
          </w:p>
        </w:tc>
        <w:tc>
          <w:tcPr>
            <w:tcW w:w="8803" w:type="dxa"/>
            <w:gridSpan w:val="12"/>
            <w:shd w:val="clear" w:color="auto" w:fill="DEEAF6" w:themeFill="accent1" w:themeFillTint="33"/>
            <w:vAlign w:val="center"/>
          </w:tcPr>
          <w:p w14:paraId="1925E444" w14:textId="77777777" w:rsidR="005631A4" w:rsidRPr="005631A4" w:rsidRDefault="005631A4" w:rsidP="006853EF">
            <w:pPr>
              <w:numPr>
                <w:ilvl w:val="0"/>
                <w:numId w:val="41"/>
              </w:numPr>
              <w:spacing w:before="60"/>
              <w:ind w:left="306" w:hanging="306"/>
              <w:jc w:val="both"/>
            </w:pPr>
            <w:r w:rsidRPr="005631A4">
              <w:t>MZ</w:t>
            </w:r>
          </w:p>
          <w:p w14:paraId="5DB2CA03" w14:textId="77777777" w:rsidR="005631A4" w:rsidRPr="005631A4" w:rsidRDefault="005631A4" w:rsidP="006853EF">
            <w:pPr>
              <w:numPr>
                <w:ilvl w:val="0"/>
                <w:numId w:val="41"/>
              </w:numPr>
              <w:spacing w:after="60"/>
              <w:ind w:left="306" w:hanging="306"/>
              <w:jc w:val="both"/>
            </w:pPr>
            <w:r w:rsidRPr="005631A4">
              <w:t>MZ</w:t>
            </w:r>
          </w:p>
        </w:tc>
      </w:tr>
    </w:tbl>
    <w:p w14:paraId="516B54C2" w14:textId="77777777" w:rsidR="005631A4" w:rsidRPr="005631A4" w:rsidRDefault="005631A4" w:rsidP="005631A4">
      <w:pPr>
        <w:rPr>
          <w:b/>
        </w:rPr>
      </w:pPr>
      <w:r w:rsidRPr="005631A4">
        <w:rPr>
          <w:b/>
        </w:rPr>
        <w:br w:type="page"/>
      </w:r>
    </w:p>
    <w:p w14:paraId="26C7AF38" w14:textId="77777777" w:rsidR="005631A4" w:rsidRPr="003F0EEA" w:rsidRDefault="005631A4" w:rsidP="003F0EEA">
      <w:pPr>
        <w:pStyle w:val="Nagwek1"/>
        <w:numPr>
          <w:ilvl w:val="0"/>
          <w:numId w:val="0"/>
        </w:numPr>
        <w:shd w:val="clear" w:color="auto" w:fill="FFDDEE"/>
        <w:jc w:val="center"/>
        <w:rPr>
          <w:color w:val="FF0066"/>
        </w:rPr>
      </w:pPr>
      <w:r w:rsidRPr="003F0EEA">
        <w:rPr>
          <w:color w:val="FF0066"/>
        </w:rPr>
        <w:lastRenderedPageBreak/>
        <w:t>SYSTEM REALIZACJI I MONITOROWANIA</w:t>
      </w:r>
    </w:p>
    <w:p w14:paraId="5599B456" w14:textId="27BE7E40" w:rsidR="005631A4" w:rsidRPr="005631A4" w:rsidRDefault="005631A4" w:rsidP="005631A4">
      <w:pPr>
        <w:spacing w:after="120"/>
        <w:jc w:val="both"/>
      </w:pPr>
      <w:r w:rsidRPr="005631A4">
        <w:rPr>
          <w:i/>
          <w:iCs/>
        </w:rPr>
        <w:t>Strategia</w:t>
      </w:r>
      <w:r w:rsidRPr="005631A4">
        <w:t xml:space="preserve"> ma stanowić </w:t>
      </w:r>
      <w:r w:rsidR="00166578">
        <w:t>politykę publiczną</w:t>
      </w:r>
      <w:r w:rsidRPr="005631A4">
        <w:t xml:space="preserve"> w rozumieniu przepisów ustawy z dnia 6 grudnia 2006 r. </w:t>
      </w:r>
      <w:r w:rsidRPr="005631A4">
        <w:rPr>
          <w:i/>
          <w:iCs/>
        </w:rPr>
        <w:t>o zasadach prowadzenia polityki rozwoju</w:t>
      </w:r>
      <w:r w:rsidRPr="005631A4">
        <w:t xml:space="preserve"> (Dz. U. z 2019 r. poz. 1295). Szczegółowy sposób opracowywania </w:t>
      </w:r>
      <w:r w:rsidRPr="005631A4">
        <w:rPr>
          <w:i/>
          <w:iCs/>
        </w:rPr>
        <w:t>Strategii</w:t>
      </w:r>
      <w:r w:rsidRPr="005631A4">
        <w:t xml:space="preserve"> określony jest w przepisach tejże ustawy.</w:t>
      </w:r>
    </w:p>
    <w:p w14:paraId="04A81B8A" w14:textId="77777777" w:rsidR="005631A4" w:rsidRPr="005631A4" w:rsidRDefault="005631A4" w:rsidP="005631A4">
      <w:pPr>
        <w:spacing w:after="60"/>
        <w:jc w:val="both"/>
      </w:pPr>
      <w:r w:rsidRPr="005631A4">
        <w:rPr>
          <w:i/>
          <w:iCs/>
        </w:rPr>
        <w:t>Strategia</w:t>
      </w:r>
      <w:r w:rsidRPr="005631A4">
        <w:t xml:space="preserve"> stanowi ramy dla procesu deinstytucjonalizacji usług zdrowotnych. Wskazuje ona m.in.:</w:t>
      </w:r>
    </w:p>
    <w:p w14:paraId="40353DDF" w14:textId="77777777" w:rsidR="005631A4" w:rsidRPr="005631A4" w:rsidRDefault="005631A4" w:rsidP="005631A4">
      <w:pPr>
        <w:numPr>
          <w:ilvl w:val="0"/>
          <w:numId w:val="51"/>
        </w:numPr>
        <w:spacing w:after="60"/>
        <w:ind w:left="567" w:hanging="283"/>
        <w:jc w:val="both"/>
      </w:pPr>
      <w:r w:rsidRPr="005631A4">
        <w:t>grupy docelowe oraz cele główne strategii do nich przypisane;</w:t>
      </w:r>
    </w:p>
    <w:p w14:paraId="55936B74" w14:textId="77777777" w:rsidR="005631A4" w:rsidRPr="005631A4" w:rsidRDefault="005631A4" w:rsidP="005631A4">
      <w:pPr>
        <w:numPr>
          <w:ilvl w:val="0"/>
          <w:numId w:val="51"/>
        </w:numPr>
        <w:spacing w:after="60"/>
        <w:ind w:left="567" w:hanging="283"/>
        <w:jc w:val="both"/>
      </w:pPr>
      <w:r w:rsidRPr="005631A4">
        <w:t>obszary deinstytucjonalizacji w odniesieniu do każdej grupy docelowej oraz cele szczegółowe przypisane do każdego z obszarów;</w:t>
      </w:r>
    </w:p>
    <w:p w14:paraId="138E1A02" w14:textId="77777777" w:rsidR="005631A4" w:rsidRPr="005631A4" w:rsidRDefault="005631A4" w:rsidP="005631A4">
      <w:pPr>
        <w:numPr>
          <w:ilvl w:val="0"/>
          <w:numId w:val="51"/>
        </w:numPr>
        <w:spacing w:after="60"/>
        <w:ind w:left="567" w:hanging="283"/>
        <w:jc w:val="both"/>
      </w:pPr>
      <w:r w:rsidRPr="005631A4">
        <w:t>rezultaty dla każdego celu szczegółowego oraz działania umożliwiające osiągnięcie zakładanych rezultatów;</w:t>
      </w:r>
    </w:p>
    <w:p w14:paraId="4D888289" w14:textId="77777777" w:rsidR="005631A4" w:rsidRPr="005631A4" w:rsidRDefault="005631A4" w:rsidP="005631A4">
      <w:pPr>
        <w:numPr>
          <w:ilvl w:val="0"/>
          <w:numId w:val="51"/>
        </w:numPr>
        <w:spacing w:after="60"/>
        <w:ind w:left="567" w:hanging="283"/>
        <w:jc w:val="both"/>
      </w:pPr>
      <w:r w:rsidRPr="005631A4">
        <w:t>przewidywany okres realizacji poszczególnych działań;</w:t>
      </w:r>
    </w:p>
    <w:p w14:paraId="0904AA60" w14:textId="77777777" w:rsidR="005631A4" w:rsidRPr="005631A4" w:rsidRDefault="005631A4" w:rsidP="005631A4">
      <w:pPr>
        <w:numPr>
          <w:ilvl w:val="0"/>
          <w:numId w:val="51"/>
        </w:numPr>
        <w:spacing w:after="60"/>
        <w:ind w:left="567" w:hanging="283"/>
        <w:jc w:val="both"/>
      </w:pPr>
      <w:r w:rsidRPr="005631A4">
        <w:t>rodzaj i wysokość środków możliwych do wykorzystania w ramach realizacji poszczególnych działań;</w:t>
      </w:r>
    </w:p>
    <w:p w14:paraId="1308C7DF" w14:textId="77777777" w:rsidR="005631A4" w:rsidRPr="005631A4" w:rsidRDefault="005631A4" w:rsidP="005631A4">
      <w:pPr>
        <w:numPr>
          <w:ilvl w:val="0"/>
          <w:numId w:val="51"/>
        </w:numPr>
        <w:spacing w:after="60"/>
        <w:ind w:left="567" w:hanging="283"/>
        <w:jc w:val="both"/>
      </w:pPr>
      <w:r w:rsidRPr="005631A4">
        <w:t>podmioty koordynujące i zaangażowane w realizację poszczególnych działań;</w:t>
      </w:r>
    </w:p>
    <w:p w14:paraId="52E862D1" w14:textId="77777777" w:rsidR="005631A4" w:rsidRPr="005631A4" w:rsidRDefault="005631A4" w:rsidP="00786D0E">
      <w:pPr>
        <w:numPr>
          <w:ilvl w:val="0"/>
          <w:numId w:val="51"/>
        </w:numPr>
        <w:spacing w:after="120"/>
        <w:ind w:left="568" w:hanging="284"/>
        <w:jc w:val="both"/>
      </w:pPr>
      <w:r w:rsidRPr="005631A4">
        <w:t>wskaźniki monitorowania osiągnięcia rezultatów.</w:t>
      </w:r>
    </w:p>
    <w:p w14:paraId="3823DD98" w14:textId="77777777" w:rsidR="005631A4" w:rsidRPr="005631A4" w:rsidRDefault="005631A4" w:rsidP="005631A4">
      <w:pPr>
        <w:spacing w:after="120"/>
        <w:jc w:val="both"/>
      </w:pPr>
      <w:r w:rsidRPr="005631A4">
        <w:t xml:space="preserve">Realizacja </w:t>
      </w:r>
      <w:r w:rsidRPr="005631A4">
        <w:rPr>
          <w:i/>
          <w:iCs/>
        </w:rPr>
        <w:t>Strategii</w:t>
      </w:r>
      <w:r w:rsidRPr="005631A4">
        <w:t xml:space="preserve"> wymaga działań w wymiarze prawnym, organizacyjnym, finansowym i informacyjnym, koordynowanych w szczególności przez instytucje administracji publicznej.</w:t>
      </w:r>
    </w:p>
    <w:p w14:paraId="52F8D8C0" w14:textId="77777777" w:rsidR="005631A4" w:rsidRPr="005631A4" w:rsidRDefault="005631A4" w:rsidP="005631A4">
      <w:pPr>
        <w:spacing w:after="120"/>
        <w:jc w:val="both"/>
      </w:pPr>
      <w:r w:rsidRPr="005631A4">
        <w:t>Strategia jest dokumentem obejmującym działania przewidziane do finansowania zarówno ze środków krajowych, jak i funduszy europejskich. Sposób zarządzania zarówno środkami budżetowymi, jak i środkami funduszy europejskich, jest uregulowany w odrębnych przepisach, podobnie jak sposób ubiegania się o finansowanie przedsięwzięć ze środków budżetowych i unijnych. Realizacja Strategii nie wpływa na zmiany w przepisach w zakresie zarządzania przepływami finansowymi i ich wielkością.</w:t>
      </w:r>
    </w:p>
    <w:p w14:paraId="2FA010FF" w14:textId="77777777" w:rsidR="005631A4" w:rsidRPr="005631A4" w:rsidRDefault="005631A4" w:rsidP="005631A4">
      <w:pPr>
        <w:spacing w:after="120"/>
        <w:jc w:val="both"/>
      </w:pPr>
      <w:r w:rsidRPr="005631A4">
        <w:t>Kontrolę w zakresie prawidłowego wykorzystania środków regulują odpowiednie przepisy prawne, zarówno w zakresie środków krajowych, jak i unijnych. Nie planuje się powołania dodatkowych instytucji do kontroli realizacji działań określonych w Strategii.</w:t>
      </w:r>
    </w:p>
    <w:p w14:paraId="2AB8D8E9" w14:textId="45F2BF24" w:rsidR="005631A4" w:rsidRPr="005631A4" w:rsidRDefault="005631A4" w:rsidP="005631A4">
      <w:pPr>
        <w:spacing w:after="120"/>
        <w:jc w:val="both"/>
      </w:pPr>
      <w:r w:rsidRPr="005631A4">
        <w:t>Strategia jest zbiorem działań kierunkowych, które dotyczą obszaru zdrowia</w:t>
      </w:r>
      <w:r w:rsidR="00303BAB">
        <w:t>,</w:t>
      </w:r>
      <w:r w:rsidRPr="005631A4">
        <w:t xml:space="preserve"> więc instytucją koordynującą realizację tych działań jest, , MZ we współpracy z innymi instytucjami, w tym </w:t>
      </w:r>
      <w:r w:rsidR="00303BAB">
        <w:t>I</w:t>
      </w:r>
      <w:r w:rsidRPr="005631A4">
        <w:t xml:space="preserve">nstytucjami </w:t>
      </w:r>
      <w:r w:rsidR="00303BAB">
        <w:t>Z</w:t>
      </w:r>
      <w:r w:rsidRPr="005631A4">
        <w:t xml:space="preserve">arządzającymi </w:t>
      </w:r>
      <w:r w:rsidR="00303BAB">
        <w:t>R</w:t>
      </w:r>
      <w:r w:rsidRPr="005631A4">
        <w:t>egion</w:t>
      </w:r>
      <w:r w:rsidR="00303BAB">
        <w:t>alnymi Programami Operacyjnymi. I</w:t>
      </w:r>
      <w:r w:rsidRPr="005631A4">
        <w:t>stotnym elementem będzie skorelowanie działań o charakterze krajowym z działaniami realizowanymi w regionach.</w:t>
      </w:r>
    </w:p>
    <w:p w14:paraId="39F517B5" w14:textId="77777777" w:rsidR="005631A4" w:rsidRPr="005631A4" w:rsidRDefault="005631A4" w:rsidP="005631A4">
      <w:pPr>
        <w:keepNext/>
        <w:keepLines/>
        <w:spacing w:before="240" w:after="120"/>
        <w:jc w:val="both"/>
        <w:outlineLvl w:val="4"/>
        <w:rPr>
          <w:rFonts w:asciiTheme="majorHAnsi" w:eastAsiaTheme="majorEastAsia" w:hAnsiTheme="majorHAnsi" w:cstheme="majorBidi"/>
          <w:i/>
          <w:color w:val="2E74B5" w:themeColor="accent1" w:themeShade="BF"/>
          <w:sz w:val="23"/>
        </w:rPr>
      </w:pPr>
      <w:r w:rsidRPr="005631A4">
        <w:rPr>
          <w:rFonts w:asciiTheme="majorHAnsi" w:eastAsiaTheme="majorEastAsia" w:hAnsiTheme="majorHAnsi" w:cstheme="majorBidi"/>
          <w:i/>
          <w:color w:val="2E74B5" w:themeColor="accent1" w:themeShade="BF"/>
          <w:sz w:val="23"/>
        </w:rPr>
        <w:t>Finansowanie</w:t>
      </w:r>
    </w:p>
    <w:p w14:paraId="0A9B4982" w14:textId="39452796" w:rsidR="005631A4" w:rsidRPr="005631A4" w:rsidRDefault="005631A4" w:rsidP="005631A4">
      <w:pPr>
        <w:spacing w:after="120"/>
        <w:jc w:val="both"/>
      </w:pPr>
      <w:r w:rsidRPr="005631A4">
        <w:t xml:space="preserve">Działania ujęte w </w:t>
      </w:r>
      <w:r w:rsidRPr="005631A4">
        <w:rPr>
          <w:i/>
          <w:iCs/>
        </w:rPr>
        <w:t>Strategii</w:t>
      </w:r>
      <w:r w:rsidRPr="005631A4">
        <w:t xml:space="preserve"> ukierunkowane na poprawę sytuacji zdrowotnej osób starszych i </w:t>
      </w:r>
      <w:r w:rsidR="00D20CEC" w:rsidRPr="00D20CEC">
        <w:t>wymagających wsparcia w codziennym funkcjonowaniu</w:t>
      </w:r>
      <w:r w:rsidRPr="005631A4">
        <w:t xml:space="preserve"> oraz ich opiekunów planuje się realizować zarówno ze środków </w:t>
      </w:r>
      <w:r w:rsidR="00165342">
        <w:t>krajowych</w:t>
      </w:r>
      <w:r w:rsidRPr="005631A4">
        <w:t xml:space="preserve">, jak i ze środków </w:t>
      </w:r>
      <w:r w:rsidR="00165342">
        <w:t>europejskich</w:t>
      </w:r>
      <w:r w:rsidRPr="005631A4">
        <w:t>. W ramach środków krajowych zaplanowane działania mają być wdrażane przede wszystkim ze środków NFZ, ale również m.in. ze środków NPZ. W przypadku prowadzenia działań w ramach NPZ planuje się ich realizację w trybie konkursowym przez wybranych realizatorów, którzy będą odpowiadać za proces wdrożenia danych rozwiązań na poziomie regionalnym lub ogólnopolskim (w tym za harmonogram działań, dobór narzędzi realizacji, zapewnienie zasobów kadrowych, przeprowadzenie kolejnych działań, ewaluację realizacji projektu itp.).</w:t>
      </w:r>
    </w:p>
    <w:p w14:paraId="025FB009" w14:textId="77777777" w:rsidR="005631A4" w:rsidRPr="005631A4" w:rsidRDefault="005631A4" w:rsidP="005631A4">
      <w:pPr>
        <w:keepNext/>
        <w:keepLines/>
        <w:spacing w:before="240" w:after="120"/>
        <w:jc w:val="both"/>
        <w:outlineLvl w:val="4"/>
        <w:rPr>
          <w:rFonts w:asciiTheme="majorHAnsi" w:eastAsiaTheme="majorEastAsia" w:hAnsiTheme="majorHAnsi" w:cstheme="majorBidi"/>
          <w:i/>
          <w:color w:val="2E74B5" w:themeColor="accent1" w:themeShade="BF"/>
          <w:sz w:val="23"/>
        </w:rPr>
      </w:pPr>
      <w:r w:rsidRPr="005631A4">
        <w:rPr>
          <w:rFonts w:asciiTheme="majorHAnsi" w:eastAsiaTheme="majorEastAsia" w:hAnsiTheme="majorHAnsi" w:cstheme="majorBidi"/>
          <w:i/>
          <w:color w:val="2E74B5" w:themeColor="accent1" w:themeShade="BF"/>
          <w:sz w:val="23"/>
        </w:rPr>
        <w:lastRenderedPageBreak/>
        <w:t>Koordynacja</w:t>
      </w:r>
    </w:p>
    <w:p w14:paraId="2BF0F867" w14:textId="04945174" w:rsidR="005631A4" w:rsidRPr="005631A4" w:rsidRDefault="005631A4" w:rsidP="005631A4">
      <w:pPr>
        <w:spacing w:after="120"/>
        <w:jc w:val="both"/>
      </w:pPr>
      <w:r w:rsidRPr="005631A4">
        <w:t xml:space="preserve">Koordynacja realizacji działań i monitorowania rezultatów co do zasady spoczywa na MZ, jednak w przypadku działań związanych z finansowaniem włączenia rozwiązań do systemu świadczeń gwarantowanych ich koordynatorem ma być NFZ, natomiast w odniesieniu do działań wdrażanych na poziomie regionalnym ze środków </w:t>
      </w:r>
      <w:r w:rsidR="00165342">
        <w:t>europejskich</w:t>
      </w:r>
      <w:r w:rsidR="00165342" w:rsidRPr="005631A4">
        <w:t xml:space="preserve"> </w:t>
      </w:r>
      <w:r w:rsidRPr="005631A4">
        <w:t xml:space="preserve">– </w:t>
      </w:r>
      <w:r w:rsidR="00165342">
        <w:t>I</w:t>
      </w:r>
      <w:r w:rsidRPr="005631A4">
        <w:t xml:space="preserve">nstytucje </w:t>
      </w:r>
      <w:r w:rsidR="00165342">
        <w:t>Z</w:t>
      </w:r>
      <w:r w:rsidRPr="005631A4">
        <w:t xml:space="preserve">arządzające </w:t>
      </w:r>
      <w:r w:rsidR="00165342">
        <w:t>Regionalnymi Programami Operacyjnymi</w:t>
      </w:r>
      <w:r w:rsidRPr="005631A4">
        <w:t>.</w:t>
      </w:r>
    </w:p>
    <w:p w14:paraId="56764490" w14:textId="77777777" w:rsidR="005631A4" w:rsidRPr="005631A4" w:rsidRDefault="005631A4" w:rsidP="005631A4">
      <w:pPr>
        <w:keepNext/>
        <w:keepLines/>
        <w:spacing w:before="240" w:after="120"/>
        <w:jc w:val="both"/>
        <w:outlineLvl w:val="4"/>
        <w:rPr>
          <w:rFonts w:asciiTheme="majorHAnsi" w:eastAsiaTheme="majorEastAsia" w:hAnsiTheme="majorHAnsi" w:cstheme="majorBidi"/>
          <w:i/>
          <w:color w:val="2E74B5" w:themeColor="accent1" w:themeShade="BF"/>
          <w:sz w:val="23"/>
        </w:rPr>
      </w:pPr>
      <w:r w:rsidRPr="005631A4">
        <w:rPr>
          <w:rFonts w:asciiTheme="majorHAnsi" w:eastAsiaTheme="majorEastAsia" w:hAnsiTheme="majorHAnsi" w:cstheme="majorBidi"/>
          <w:i/>
          <w:color w:val="2E74B5" w:themeColor="accent1" w:themeShade="BF"/>
          <w:sz w:val="23"/>
        </w:rPr>
        <w:t>Ewaluacja</w:t>
      </w:r>
    </w:p>
    <w:p w14:paraId="12311B30" w14:textId="77777777" w:rsidR="005631A4" w:rsidRPr="005631A4" w:rsidRDefault="005631A4" w:rsidP="005631A4">
      <w:pPr>
        <w:spacing w:after="120"/>
        <w:jc w:val="both"/>
      </w:pPr>
      <w:r w:rsidRPr="005631A4">
        <w:t xml:space="preserve">W ramach wdrażania </w:t>
      </w:r>
      <w:r w:rsidRPr="005631A4">
        <w:rPr>
          <w:i/>
          <w:iCs/>
        </w:rPr>
        <w:t>Strategii</w:t>
      </w:r>
      <w:r w:rsidRPr="005631A4">
        <w:t xml:space="preserve"> nie planuje się prowadzenia ewaluacji realizowanych działań.</w:t>
      </w:r>
    </w:p>
    <w:p w14:paraId="00ECAFDF" w14:textId="77777777" w:rsidR="005631A4" w:rsidRPr="005631A4" w:rsidRDefault="005631A4" w:rsidP="005631A4">
      <w:pPr>
        <w:keepNext/>
        <w:keepLines/>
        <w:spacing w:before="240" w:after="120"/>
        <w:jc w:val="both"/>
        <w:outlineLvl w:val="4"/>
        <w:rPr>
          <w:rFonts w:asciiTheme="majorHAnsi" w:eastAsiaTheme="majorEastAsia" w:hAnsiTheme="majorHAnsi" w:cstheme="majorBidi"/>
          <w:i/>
          <w:color w:val="2E74B5" w:themeColor="accent1" w:themeShade="BF"/>
          <w:sz w:val="23"/>
        </w:rPr>
      </w:pPr>
      <w:r w:rsidRPr="005631A4">
        <w:rPr>
          <w:rFonts w:asciiTheme="majorHAnsi" w:eastAsiaTheme="majorEastAsia" w:hAnsiTheme="majorHAnsi" w:cstheme="majorBidi"/>
          <w:i/>
          <w:color w:val="2E74B5" w:themeColor="accent1" w:themeShade="BF"/>
          <w:sz w:val="23"/>
        </w:rPr>
        <w:t>Wskaźniki monitorowania</w:t>
      </w:r>
    </w:p>
    <w:p w14:paraId="1323B0AB" w14:textId="7C36F6F1" w:rsidR="005631A4" w:rsidRPr="005631A4" w:rsidRDefault="005631A4" w:rsidP="005631A4">
      <w:pPr>
        <w:spacing w:after="120"/>
        <w:jc w:val="both"/>
      </w:pPr>
      <w:r w:rsidRPr="005631A4">
        <w:rPr>
          <w:rFonts w:ascii="Calibri" w:eastAsia="Calibri" w:hAnsi="Calibri" w:cs="Times New Roman"/>
          <w:iCs/>
        </w:rPr>
        <w:t>Wdrażanie wskazanych w niniejszym dokumencie działań będzie wiązało się z okresowym monitorowaniem wskaźników zawartych w oczekiwanych rezultatach.</w:t>
      </w:r>
    </w:p>
    <w:p w14:paraId="5B3D3B81" w14:textId="77777777" w:rsidR="005631A4" w:rsidRPr="005631A4" w:rsidRDefault="005631A4" w:rsidP="005631A4">
      <w:pPr>
        <w:spacing w:after="120"/>
        <w:jc w:val="both"/>
      </w:pPr>
      <w:r w:rsidRPr="005631A4">
        <w:t>Nadrzędnym założeniem przy konstrukcji wskaźników monitorowania realizacji działań i zakładanych rezultatów tych działań jest osiągnięcie szybszego wzrostu liczby osób w wieku co najmniej 65 lat objętych środowiskową (domowa i dzienną) opieką długoterminową niż wzrostu liczby osób objętych stacjonarną (instytucjonalną) opieką długoterminową.</w:t>
      </w:r>
    </w:p>
    <w:p w14:paraId="5720AFB9" w14:textId="77777777" w:rsidR="005631A4" w:rsidRPr="005631A4" w:rsidRDefault="005631A4" w:rsidP="005631A4">
      <w:pPr>
        <w:spacing w:after="60"/>
        <w:jc w:val="both"/>
      </w:pPr>
      <w:r w:rsidRPr="005631A4">
        <w:t>Pozostałe wskaźniki monitorowania w tym zakresie obejmują również:</w:t>
      </w:r>
    </w:p>
    <w:p w14:paraId="1C0224ED" w14:textId="77777777" w:rsidR="005631A4" w:rsidRPr="005631A4" w:rsidRDefault="005631A4" w:rsidP="005631A4">
      <w:pPr>
        <w:numPr>
          <w:ilvl w:val="0"/>
          <w:numId w:val="52"/>
        </w:numPr>
        <w:spacing w:after="60"/>
        <w:ind w:left="567" w:hanging="283"/>
        <w:jc w:val="both"/>
      </w:pPr>
      <w:r w:rsidRPr="005631A4">
        <w:t>liczbę opiekunów medycznych zatrudnionych w podmiotach leczniczych udzielających świadczeń pielęgnacyjnych i opiekuńczych w ramach opieki długoterminowej na 10 tys. osób w wieku co najmniej 65 lat;</w:t>
      </w:r>
    </w:p>
    <w:p w14:paraId="194F4DF9" w14:textId="77777777" w:rsidR="005631A4" w:rsidRPr="005631A4" w:rsidRDefault="005631A4" w:rsidP="005631A4">
      <w:pPr>
        <w:numPr>
          <w:ilvl w:val="0"/>
          <w:numId w:val="52"/>
        </w:numPr>
        <w:spacing w:after="60"/>
        <w:ind w:left="567" w:hanging="283"/>
        <w:jc w:val="both"/>
      </w:pPr>
      <w:r w:rsidRPr="005631A4">
        <w:t>liczbę osób w wieku co najmniej 65 lat objętych świadczeniami pielęgnacyjnymi i opiekuńczymi w ramach opieki długoterminowej udzielanymi w warunkach domowych;</w:t>
      </w:r>
    </w:p>
    <w:p w14:paraId="126F13F0" w14:textId="77777777" w:rsidR="005631A4" w:rsidRPr="005631A4" w:rsidRDefault="005631A4" w:rsidP="005631A4">
      <w:pPr>
        <w:numPr>
          <w:ilvl w:val="0"/>
          <w:numId w:val="52"/>
        </w:numPr>
        <w:spacing w:after="60"/>
        <w:ind w:left="567" w:hanging="283"/>
        <w:jc w:val="both"/>
      </w:pPr>
      <w:r w:rsidRPr="005631A4">
        <w:t>liczbę osób w wieku co najmniej 65 lat korzystających z dziennej opieki długoterminowej udzielanej w ramach DDOM;</w:t>
      </w:r>
    </w:p>
    <w:p w14:paraId="4A5CA6CB" w14:textId="77777777" w:rsidR="005631A4" w:rsidRPr="005631A4" w:rsidRDefault="005631A4" w:rsidP="00D244D6">
      <w:pPr>
        <w:numPr>
          <w:ilvl w:val="0"/>
          <w:numId w:val="52"/>
        </w:numPr>
        <w:spacing w:after="120"/>
        <w:ind w:left="568" w:hanging="284"/>
        <w:jc w:val="both"/>
      </w:pPr>
      <w:r w:rsidRPr="005631A4">
        <w:t>liczbę osób w wieku co najmniej 65 lat korzystających z dziennej opieki długoterminowej udzielanej w ramach Dziennych Centrów Wsparcia Pamięci;</w:t>
      </w:r>
    </w:p>
    <w:p w14:paraId="5F7793F5" w14:textId="753404C3" w:rsidR="005631A4" w:rsidRPr="005631A4" w:rsidRDefault="005631A4" w:rsidP="005631A4">
      <w:pPr>
        <w:spacing w:after="120"/>
        <w:jc w:val="both"/>
      </w:pPr>
      <w:r w:rsidRPr="005631A4">
        <w:t xml:space="preserve">Zakłada się wzrost wartości każdego z ww. wskaźników w okresie wdrażania </w:t>
      </w:r>
      <w:r w:rsidRPr="005631A4">
        <w:rPr>
          <w:i/>
          <w:iCs/>
        </w:rPr>
        <w:t>Strategii</w:t>
      </w:r>
      <w:r w:rsidRPr="005631A4">
        <w:t xml:space="preserve"> (porównani</w:t>
      </w:r>
      <w:r w:rsidR="0093024B">
        <w:t>e</w:t>
      </w:r>
      <w:r w:rsidRPr="005631A4">
        <w:t xml:space="preserve"> wyjściowej wartości wskaźnika do jego wartości końcowej).</w:t>
      </w:r>
    </w:p>
    <w:p w14:paraId="09741285" w14:textId="77777777" w:rsidR="005631A4" w:rsidRPr="005631A4" w:rsidRDefault="005631A4" w:rsidP="005631A4">
      <w:pPr>
        <w:spacing w:after="120"/>
        <w:jc w:val="both"/>
      </w:pPr>
      <w:r w:rsidRPr="005631A4">
        <w:t>Źródłem danych dla wybranych do monitorowania celów jest m.in.: statystyka publiczna, dane NFZ, mapy potrzeb zdrowotnych.</w:t>
      </w:r>
    </w:p>
    <w:sectPr w:rsidR="005631A4" w:rsidRPr="005631A4" w:rsidSect="00F96E0C">
      <w:headerReference w:type="default" r:id="rId21"/>
      <w:footerReference w:type="default" r:id="rId22"/>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11D15" w14:textId="77777777" w:rsidR="003C223C" w:rsidRDefault="003C223C" w:rsidP="001A436C">
      <w:pPr>
        <w:spacing w:after="0" w:line="240" w:lineRule="auto"/>
      </w:pPr>
      <w:r>
        <w:separator/>
      </w:r>
    </w:p>
  </w:endnote>
  <w:endnote w:type="continuationSeparator" w:id="0">
    <w:p w14:paraId="428D81FF" w14:textId="77777777" w:rsidR="003C223C" w:rsidRDefault="003C223C" w:rsidP="001A436C">
      <w:pPr>
        <w:spacing w:after="0" w:line="240" w:lineRule="auto"/>
      </w:pPr>
      <w:r>
        <w:continuationSeparator/>
      </w:r>
    </w:p>
  </w:endnote>
  <w:endnote w:type="continuationNotice" w:id="1">
    <w:p w14:paraId="09495429" w14:textId="77777777" w:rsidR="003C223C" w:rsidRDefault="003C22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EE"/>
    <w:family w:val="swiss"/>
    <w:pitch w:val="variable"/>
    <w:sig w:usb0="E4002EFF" w:usb1="C000247B" w:usb2="00000009" w:usb3="00000000" w:csb0="000001FF" w:csb1="00000000"/>
  </w:font>
  <w:font w:name="F">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font469">
    <w:charset w:val="EE"/>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939453"/>
      <w:docPartObj>
        <w:docPartGallery w:val="Page Numbers (Bottom of Page)"/>
        <w:docPartUnique/>
      </w:docPartObj>
    </w:sdtPr>
    <w:sdtEndPr/>
    <w:sdtContent>
      <w:p w14:paraId="47555887" w14:textId="4F4EDBA1" w:rsidR="004C3D8E" w:rsidRDefault="004C3D8E">
        <w:pPr>
          <w:pStyle w:val="Stopka"/>
          <w:jc w:val="right"/>
        </w:pPr>
        <w:r>
          <w:fldChar w:fldCharType="begin"/>
        </w:r>
        <w:r>
          <w:instrText>PAGE   \* MERGEFORMAT</w:instrText>
        </w:r>
        <w:r>
          <w:fldChar w:fldCharType="separate"/>
        </w:r>
        <w:r w:rsidR="00FD0D41">
          <w:rPr>
            <w:noProof/>
          </w:rPr>
          <w:t>2</w:t>
        </w:r>
        <w:r>
          <w:fldChar w:fldCharType="end"/>
        </w:r>
      </w:p>
    </w:sdtContent>
  </w:sdt>
  <w:p w14:paraId="68C9A073" w14:textId="7064B472" w:rsidR="004C3D8E" w:rsidRDefault="004C3D8E" w:rsidP="00AD3D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B9280" w14:textId="77777777" w:rsidR="003C223C" w:rsidRDefault="003C223C" w:rsidP="001A436C">
      <w:pPr>
        <w:spacing w:after="0" w:line="240" w:lineRule="auto"/>
      </w:pPr>
      <w:r>
        <w:separator/>
      </w:r>
    </w:p>
  </w:footnote>
  <w:footnote w:type="continuationSeparator" w:id="0">
    <w:p w14:paraId="457FACB9" w14:textId="77777777" w:rsidR="003C223C" w:rsidRDefault="003C223C" w:rsidP="001A436C">
      <w:pPr>
        <w:spacing w:after="0" w:line="240" w:lineRule="auto"/>
      </w:pPr>
      <w:r>
        <w:continuationSeparator/>
      </w:r>
    </w:p>
  </w:footnote>
  <w:footnote w:type="continuationNotice" w:id="1">
    <w:p w14:paraId="246B0175" w14:textId="77777777" w:rsidR="003C223C" w:rsidRDefault="003C223C">
      <w:pPr>
        <w:spacing w:after="0" w:line="240" w:lineRule="auto"/>
      </w:pPr>
    </w:p>
  </w:footnote>
  <w:footnote w:id="2">
    <w:p w14:paraId="78743194" w14:textId="77777777" w:rsidR="004C3D8E" w:rsidRPr="00B072AC" w:rsidRDefault="004C3D8E" w:rsidP="001946C8">
      <w:pPr>
        <w:spacing w:after="60" w:line="240" w:lineRule="auto"/>
        <w:jc w:val="both"/>
        <w:rPr>
          <w:sz w:val="16"/>
          <w:szCs w:val="16"/>
        </w:rPr>
      </w:pPr>
      <w:r w:rsidRPr="00F751E2">
        <w:rPr>
          <w:rStyle w:val="Nagwek7Znak"/>
          <w:rFonts w:ascii="Calibri" w:hAnsi="Calibri"/>
          <w:i w:val="0"/>
          <w:iCs w:val="0"/>
          <w:sz w:val="16"/>
          <w:szCs w:val="16"/>
          <w:vertAlign w:val="superscript"/>
        </w:rPr>
        <w:footnoteRef/>
      </w:r>
      <w:r w:rsidRPr="00F751E2">
        <w:rPr>
          <w:i/>
          <w:color w:val="0070C0"/>
          <w:sz w:val="16"/>
          <w:szCs w:val="16"/>
        </w:rPr>
        <w:t xml:space="preserve"> </w:t>
      </w:r>
      <w:r w:rsidRPr="00B072AC">
        <w:rPr>
          <w:rFonts w:cs="F"/>
          <w:sz w:val="16"/>
          <w:szCs w:val="16"/>
        </w:rPr>
        <w:t xml:space="preserve">Osoby starsze, zgodnie z definicja zawartą w ustawie z dnia 11 września 2015 r. </w:t>
      </w:r>
      <w:r w:rsidRPr="00B072AC">
        <w:rPr>
          <w:rFonts w:cs="F"/>
          <w:i/>
          <w:sz w:val="16"/>
          <w:szCs w:val="16"/>
        </w:rPr>
        <w:t>o osobach starszych</w:t>
      </w:r>
      <w:r w:rsidRPr="00B072AC">
        <w:rPr>
          <w:rFonts w:cs="F"/>
          <w:sz w:val="16"/>
          <w:szCs w:val="16"/>
        </w:rPr>
        <w:t xml:space="preserve"> (Dz. U. poz. 1705), to osoby w wieku 60 lat i więcej.</w:t>
      </w:r>
    </w:p>
  </w:footnote>
  <w:footnote w:id="3">
    <w:p w14:paraId="1C9EE94A" w14:textId="77777777" w:rsidR="004C3D8E" w:rsidRPr="00B072AC" w:rsidRDefault="004C3D8E" w:rsidP="001946C8">
      <w:pPr>
        <w:spacing w:after="60" w:line="240" w:lineRule="auto"/>
        <w:jc w:val="both"/>
        <w:rPr>
          <w:sz w:val="16"/>
          <w:szCs w:val="16"/>
        </w:rPr>
      </w:pPr>
      <w:r w:rsidRPr="00F751E2">
        <w:rPr>
          <w:rStyle w:val="Nagwek7Znak"/>
          <w:rFonts w:ascii="Calibri" w:hAnsi="Calibri"/>
          <w:i w:val="0"/>
          <w:iCs w:val="0"/>
          <w:sz w:val="16"/>
          <w:szCs w:val="16"/>
          <w:vertAlign w:val="superscript"/>
        </w:rPr>
        <w:footnoteRef/>
      </w:r>
      <w:r w:rsidRPr="00F751E2">
        <w:rPr>
          <w:i/>
          <w:color w:val="0070C0"/>
          <w:sz w:val="16"/>
          <w:szCs w:val="16"/>
        </w:rPr>
        <w:t xml:space="preserve"> </w:t>
      </w:r>
      <w:r w:rsidRPr="00B072AC">
        <w:rPr>
          <w:i/>
          <w:sz w:val="16"/>
          <w:szCs w:val="16"/>
        </w:rPr>
        <w:t>Informacja o sytuacji osób starszych w Polsce za rok 2018</w:t>
      </w:r>
      <w:r w:rsidRPr="00B072AC">
        <w:rPr>
          <w:sz w:val="16"/>
          <w:szCs w:val="16"/>
        </w:rPr>
        <w:t>, Warszawa 2019, s. 7</w:t>
      </w:r>
      <w:r>
        <w:rPr>
          <w:sz w:val="16"/>
          <w:szCs w:val="16"/>
        </w:rPr>
        <w:t xml:space="preserve">; na podstawie: </w:t>
      </w:r>
      <w:r w:rsidRPr="00B072AC">
        <w:rPr>
          <w:i/>
          <w:sz w:val="16"/>
          <w:szCs w:val="16"/>
        </w:rPr>
        <w:t>Informacja o sytuacji osób starszych na podstawie badań Głównego Urzędu Statystycznego</w:t>
      </w:r>
      <w:r w:rsidRPr="00B072AC">
        <w:rPr>
          <w:sz w:val="16"/>
          <w:szCs w:val="16"/>
        </w:rPr>
        <w:t>, GUS, Warszawa 2018, s.</w:t>
      </w:r>
      <w:r>
        <w:rPr>
          <w:sz w:val="16"/>
          <w:szCs w:val="16"/>
        </w:rPr>
        <w:t xml:space="preserve"> 4</w:t>
      </w:r>
      <w:r w:rsidRPr="00B072AC">
        <w:rPr>
          <w:sz w:val="16"/>
          <w:szCs w:val="16"/>
        </w:rPr>
        <w:t>.</w:t>
      </w:r>
    </w:p>
  </w:footnote>
  <w:footnote w:id="4">
    <w:p w14:paraId="17686C5D" w14:textId="77777777" w:rsidR="004C3D8E" w:rsidRDefault="004C3D8E" w:rsidP="001946C8">
      <w:pPr>
        <w:pStyle w:val="Tekstprzypisudolnego"/>
      </w:pPr>
      <w:r>
        <w:rPr>
          <w:rStyle w:val="Odwoanieprzypisudolnego"/>
        </w:rPr>
        <w:footnoteRef/>
      </w:r>
      <w:r>
        <w:t xml:space="preserve"> </w:t>
      </w:r>
      <w:r w:rsidRPr="00E250CC">
        <w:rPr>
          <w:i/>
          <w:sz w:val="16"/>
          <w:szCs w:val="16"/>
        </w:rPr>
        <w:t>Ludność. Stan i struktura oraz ruch naturalny w przekroju terytorialnym w 2019 r.</w:t>
      </w:r>
      <w:r>
        <w:rPr>
          <w:sz w:val="16"/>
          <w:szCs w:val="16"/>
        </w:rPr>
        <w:t xml:space="preserve"> </w:t>
      </w:r>
      <w:r w:rsidRPr="00E250CC">
        <w:rPr>
          <w:sz w:val="16"/>
          <w:szCs w:val="16"/>
        </w:rPr>
        <w:t>Stan w dniu 3</w:t>
      </w:r>
      <w:r>
        <w:rPr>
          <w:sz w:val="16"/>
          <w:szCs w:val="16"/>
        </w:rPr>
        <w:t>1</w:t>
      </w:r>
      <w:r w:rsidRPr="00E250CC">
        <w:rPr>
          <w:sz w:val="16"/>
          <w:szCs w:val="16"/>
        </w:rPr>
        <w:t xml:space="preserve"> </w:t>
      </w:r>
      <w:r>
        <w:rPr>
          <w:sz w:val="16"/>
          <w:szCs w:val="16"/>
        </w:rPr>
        <w:t>XII</w:t>
      </w:r>
      <w:r w:rsidRPr="00E250CC">
        <w:rPr>
          <w:sz w:val="16"/>
          <w:szCs w:val="16"/>
        </w:rPr>
        <w:t>, GUS, 2019, s. 1</w:t>
      </w:r>
      <w:r>
        <w:rPr>
          <w:sz w:val="16"/>
          <w:szCs w:val="16"/>
        </w:rPr>
        <w:t>8</w:t>
      </w:r>
      <w:r w:rsidRPr="00E250CC">
        <w:rPr>
          <w:sz w:val="16"/>
          <w:szCs w:val="16"/>
        </w:rPr>
        <w:t>.</w:t>
      </w:r>
    </w:p>
  </w:footnote>
  <w:footnote w:id="5">
    <w:p w14:paraId="1C11F345" w14:textId="77777777" w:rsidR="004C3D8E" w:rsidRPr="00B072AC" w:rsidRDefault="004C3D8E" w:rsidP="001946C8">
      <w:pPr>
        <w:spacing w:after="60" w:line="240" w:lineRule="auto"/>
        <w:jc w:val="both"/>
        <w:rPr>
          <w:sz w:val="16"/>
          <w:szCs w:val="16"/>
        </w:rPr>
      </w:pPr>
      <w:r w:rsidRPr="00F751E2">
        <w:rPr>
          <w:rStyle w:val="Nagwek7Znak"/>
          <w:rFonts w:ascii="Calibri" w:hAnsi="Calibri"/>
          <w:i w:val="0"/>
          <w:iCs w:val="0"/>
          <w:sz w:val="16"/>
          <w:szCs w:val="16"/>
          <w:vertAlign w:val="superscript"/>
        </w:rPr>
        <w:footnoteRef/>
      </w:r>
      <w:r w:rsidRPr="00F751E2">
        <w:rPr>
          <w:i/>
          <w:color w:val="0070C0"/>
          <w:sz w:val="16"/>
          <w:szCs w:val="16"/>
          <w:vertAlign w:val="superscript"/>
        </w:rPr>
        <w:t xml:space="preserve"> </w:t>
      </w:r>
      <w:r w:rsidRPr="00B072AC">
        <w:rPr>
          <w:i/>
          <w:sz w:val="16"/>
          <w:szCs w:val="16"/>
        </w:rPr>
        <w:t>Sytuacja zdrowotna ludności polski i jej uwarunkowania</w:t>
      </w:r>
      <w:r w:rsidRPr="00B072AC">
        <w:rPr>
          <w:sz w:val="16"/>
          <w:szCs w:val="16"/>
        </w:rPr>
        <w:t>, (red.) Wojtyniak B., Goryński P., Narodowy Instytut Zdrowia Publicznego – Państwowy Zakład Higieny, Warszawa 2018, s. 13.</w:t>
      </w:r>
    </w:p>
  </w:footnote>
  <w:footnote w:id="6">
    <w:p w14:paraId="77AE5C7B" w14:textId="77777777" w:rsidR="004C3D8E" w:rsidRPr="00B072AC" w:rsidRDefault="004C3D8E" w:rsidP="001946C8">
      <w:pPr>
        <w:spacing w:after="60" w:line="240" w:lineRule="auto"/>
        <w:jc w:val="both"/>
        <w:rPr>
          <w:sz w:val="16"/>
          <w:szCs w:val="16"/>
        </w:rPr>
      </w:pPr>
      <w:r w:rsidRPr="00F751E2">
        <w:rPr>
          <w:rStyle w:val="Nagwek7Znak"/>
          <w:rFonts w:ascii="Calibri" w:hAnsi="Calibri"/>
          <w:i w:val="0"/>
          <w:iCs w:val="0"/>
          <w:sz w:val="16"/>
          <w:szCs w:val="16"/>
          <w:vertAlign w:val="superscript"/>
        </w:rPr>
        <w:footnoteRef/>
      </w:r>
      <w:r w:rsidRPr="00F751E2">
        <w:rPr>
          <w:i/>
          <w:color w:val="0070C0"/>
          <w:sz w:val="16"/>
          <w:szCs w:val="16"/>
        </w:rPr>
        <w:t xml:space="preserve"> </w:t>
      </w:r>
      <w:r w:rsidRPr="00B072AC">
        <w:rPr>
          <w:i/>
          <w:sz w:val="16"/>
          <w:szCs w:val="16"/>
        </w:rPr>
        <w:t>Prognoza ludności na lata 2014–2050</w:t>
      </w:r>
      <w:r w:rsidRPr="00B072AC">
        <w:rPr>
          <w:sz w:val="16"/>
          <w:szCs w:val="16"/>
        </w:rPr>
        <w:t>, GUS, Warszawa 2014, s. 167.</w:t>
      </w:r>
    </w:p>
  </w:footnote>
  <w:footnote w:id="7">
    <w:p w14:paraId="771EC049" w14:textId="77777777" w:rsidR="004C3D8E" w:rsidRPr="00B072AC" w:rsidRDefault="004C3D8E" w:rsidP="001946C8">
      <w:pPr>
        <w:spacing w:after="60" w:line="240" w:lineRule="auto"/>
        <w:jc w:val="both"/>
        <w:rPr>
          <w:sz w:val="16"/>
          <w:szCs w:val="16"/>
        </w:rPr>
      </w:pPr>
      <w:r w:rsidRPr="00F751E2">
        <w:rPr>
          <w:rStyle w:val="Nagwek7Znak"/>
          <w:rFonts w:ascii="Calibri" w:hAnsi="Calibri"/>
          <w:i w:val="0"/>
          <w:iCs w:val="0"/>
          <w:sz w:val="16"/>
          <w:szCs w:val="16"/>
          <w:vertAlign w:val="superscript"/>
        </w:rPr>
        <w:footnoteRef/>
      </w:r>
      <w:r w:rsidRPr="002B0535">
        <w:rPr>
          <w:color w:val="0070C0"/>
          <w:sz w:val="16"/>
          <w:szCs w:val="16"/>
        </w:rPr>
        <w:t xml:space="preserve"> </w:t>
      </w:r>
      <w:r w:rsidRPr="00B072AC">
        <w:rPr>
          <w:i/>
          <w:sz w:val="16"/>
          <w:szCs w:val="16"/>
        </w:rPr>
        <w:t>Informacja o sytuacji osób starszych na podstawie badań Głównego Urzędu Statystycznego</w:t>
      </w:r>
      <w:r w:rsidRPr="00B072AC">
        <w:rPr>
          <w:sz w:val="16"/>
          <w:szCs w:val="16"/>
        </w:rPr>
        <w:t>, GUS, Warszawa 2018, s. 6.</w:t>
      </w:r>
    </w:p>
  </w:footnote>
  <w:footnote w:id="8">
    <w:p w14:paraId="71C3960B" w14:textId="77777777" w:rsidR="004C3D8E" w:rsidRPr="00D210AE" w:rsidRDefault="004C3D8E" w:rsidP="001946C8">
      <w:pPr>
        <w:spacing w:after="60" w:line="240" w:lineRule="auto"/>
        <w:jc w:val="both"/>
        <w:rPr>
          <w:sz w:val="16"/>
          <w:szCs w:val="16"/>
        </w:rPr>
      </w:pPr>
      <w:r w:rsidRPr="00C7464B">
        <w:rPr>
          <w:rStyle w:val="Nagwek7Znak"/>
          <w:rFonts w:ascii="Calibri" w:hAnsi="Calibri"/>
          <w:i w:val="0"/>
          <w:iCs w:val="0"/>
          <w:sz w:val="16"/>
          <w:szCs w:val="16"/>
          <w:vertAlign w:val="superscript"/>
        </w:rPr>
        <w:footnoteRef/>
      </w:r>
      <w:r w:rsidRPr="00C7464B">
        <w:rPr>
          <w:i/>
          <w:iCs/>
          <w:sz w:val="16"/>
          <w:szCs w:val="16"/>
          <w:vertAlign w:val="superscript"/>
        </w:rPr>
        <w:t xml:space="preserve"> </w:t>
      </w:r>
      <w:r w:rsidRPr="00D210AE">
        <w:rPr>
          <w:i/>
          <w:sz w:val="16"/>
          <w:szCs w:val="16"/>
        </w:rPr>
        <w:t>Informacja o sytuacji osób starszych na podstawie badań Głównego Urzędu Statystycznego</w:t>
      </w:r>
      <w:r w:rsidRPr="00D210AE">
        <w:rPr>
          <w:sz w:val="16"/>
          <w:szCs w:val="16"/>
        </w:rPr>
        <w:t>, GUS, Warszawa 2018, s. 7.</w:t>
      </w:r>
    </w:p>
  </w:footnote>
  <w:footnote w:id="9">
    <w:p w14:paraId="776028FE" w14:textId="77777777" w:rsidR="004C3D8E" w:rsidRPr="00D210AE" w:rsidRDefault="004C3D8E" w:rsidP="001946C8">
      <w:pPr>
        <w:spacing w:after="60" w:line="240" w:lineRule="auto"/>
        <w:jc w:val="both"/>
        <w:rPr>
          <w:sz w:val="16"/>
          <w:szCs w:val="16"/>
        </w:rPr>
      </w:pPr>
      <w:r w:rsidRPr="00C7464B">
        <w:rPr>
          <w:rStyle w:val="Nagwek7Znak"/>
          <w:rFonts w:ascii="Calibri" w:hAnsi="Calibri"/>
          <w:i w:val="0"/>
          <w:iCs w:val="0"/>
          <w:sz w:val="16"/>
          <w:szCs w:val="16"/>
          <w:vertAlign w:val="superscript"/>
        </w:rPr>
        <w:footnoteRef/>
      </w:r>
      <w:r w:rsidRPr="00C7464B">
        <w:rPr>
          <w:i/>
          <w:iCs/>
          <w:color w:val="0070C0"/>
          <w:sz w:val="16"/>
          <w:szCs w:val="16"/>
        </w:rPr>
        <w:t xml:space="preserve"> </w:t>
      </w:r>
      <w:r w:rsidRPr="00D210AE">
        <w:rPr>
          <w:i/>
          <w:sz w:val="16"/>
          <w:szCs w:val="16"/>
        </w:rPr>
        <w:t>Informacja o sytuacji osób starszych na podstawie badań Głównego Urzędu Statystycznego</w:t>
      </w:r>
      <w:r w:rsidRPr="00D210AE">
        <w:rPr>
          <w:sz w:val="16"/>
          <w:szCs w:val="16"/>
        </w:rPr>
        <w:t>, GUS, Warszawa 2018, s. 7.</w:t>
      </w:r>
    </w:p>
  </w:footnote>
  <w:footnote w:id="10">
    <w:p w14:paraId="3F1181FF" w14:textId="77777777" w:rsidR="004C3D8E" w:rsidRPr="00D7752C" w:rsidRDefault="004C3D8E" w:rsidP="001946C8">
      <w:pPr>
        <w:spacing w:after="60" w:line="240" w:lineRule="auto"/>
        <w:jc w:val="both"/>
        <w:rPr>
          <w:sz w:val="16"/>
          <w:szCs w:val="16"/>
        </w:rPr>
      </w:pPr>
      <w:r w:rsidRPr="00C7464B">
        <w:rPr>
          <w:rStyle w:val="Nagwek7Znak"/>
          <w:rFonts w:ascii="Calibri" w:hAnsi="Calibri"/>
          <w:i w:val="0"/>
          <w:iCs w:val="0"/>
          <w:sz w:val="16"/>
          <w:szCs w:val="16"/>
          <w:vertAlign w:val="superscript"/>
        </w:rPr>
        <w:footnoteRef/>
      </w:r>
      <w:r w:rsidRPr="00D7752C">
        <w:rPr>
          <w:sz w:val="16"/>
          <w:szCs w:val="16"/>
        </w:rPr>
        <w:t xml:space="preserve"> </w:t>
      </w:r>
      <w:r w:rsidRPr="00D7752C">
        <w:rPr>
          <w:i/>
          <w:sz w:val="16"/>
          <w:szCs w:val="16"/>
        </w:rPr>
        <w:t>Informacja o sytuacji osób starszych w Polsce za rok 2018</w:t>
      </w:r>
      <w:r w:rsidRPr="00D7752C">
        <w:rPr>
          <w:sz w:val="16"/>
          <w:szCs w:val="16"/>
        </w:rPr>
        <w:t>, Warszawa 2019, s. 9–10.</w:t>
      </w:r>
    </w:p>
  </w:footnote>
  <w:footnote w:id="11">
    <w:p w14:paraId="1DB4F8DE" w14:textId="77777777" w:rsidR="004C3D8E" w:rsidRPr="00D7752C" w:rsidRDefault="004C3D8E" w:rsidP="001946C8">
      <w:pPr>
        <w:spacing w:after="60" w:line="240" w:lineRule="auto"/>
        <w:jc w:val="both"/>
        <w:rPr>
          <w:sz w:val="16"/>
          <w:szCs w:val="16"/>
        </w:rPr>
      </w:pPr>
      <w:r w:rsidRPr="00144B9C">
        <w:rPr>
          <w:rStyle w:val="Nagwek7Znak"/>
          <w:rFonts w:ascii="Calibri" w:hAnsi="Calibri"/>
          <w:i w:val="0"/>
          <w:iCs w:val="0"/>
          <w:sz w:val="16"/>
          <w:szCs w:val="16"/>
          <w:vertAlign w:val="superscript"/>
        </w:rPr>
        <w:footnoteRef/>
      </w:r>
      <w:r w:rsidRPr="00144B9C">
        <w:rPr>
          <w:color w:val="0070C0"/>
          <w:sz w:val="16"/>
          <w:szCs w:val="16"/>
          <w:vertAlign w:val="superscript"/>
        </w:rPr>
        <w:t xml:space="preserve"> </w:t>
      </w:r>
      <w:r w:rsidRPr="00D7752C">
        <w:rPr>
          <w:i/>
          <w:sz w:val="16"/>
          <w:szCs w:val="16"/>
        </w:rPr>
        <w:t>Trwanie życia w 2018 r.</w:t>
      </w:r>
      <w:r w:rsidRPr="00D7752C">
        <w:rPr>
          <w:sz w:val="16"/>
          <w:szCs w:val="16"/>
        </w:rPr>
        <w:t>, GUS, Warszawa 2019</w:t>
      </w:r>
      <w:r>
        <w:rPr>
          <w:sz w:val="16"/>
          <w:szCs w:val="16"/>
        </w:rPr>
        <w:t>, s. 8</w:t>
      </w:r>
      <w:r w:rsidRPr="00D7752C">
        <w:rPr>
          <w:sz w:val="16"/>
          <w:szCs w:val="16"/>
        </w:rPr>
        <w:t>.</w:t>
      </w:r>
    </w:p>
  </w:footnote>
  <w:footnote w:id="12">
    <w:p w14:paraId="42BC1F56" w14:textId="77777777" w:rsidR="004C3D8E" w:rsidRDefault="004C3D8E" w:rsidP="001946C8">
      <w:pPr>
        <w:pStyle w:val="Tekstprzypisudolnego"/>
      </w:pPr>
      <w:r w:rsidRPr="00F751E2">
        <w:rPr>
          <w:rStyle w:val="Odwoanieprzypisudolnego"/>
          <w:color w:val="0070C0"/>
        </w:rPr>
        <w:footnoteRef/>
      </w:r>
      <w:r>
        <w:t xml:space="preserve"> </w:t>
      </w:r>
      <w:r w:rsidRPr="00E250CC">
        <w:rPr>
          <w:i/>
          <w:sz w:val="16"/>
          <w:szCs w:val="16"/>
        </w:rPr>
        <w:t>Ludność. Stan i struktura oraz ruch naturalny w przekroju terytorialnym w 2019 r.</w:t>
      </w:r>
      <w:r>
        <w:rPr>
          <w:sz w:val="16"/>
          <w:szCs w:val="16"/>
        </w:rPr>
        <w:t xml:space="preserve"> </w:t>
      </w:r>
      <w:r w:rsidRPr="00E250CC">
        <w:rPr>
          <w:sz w:val="16"/>
          <w:szCs w:val="16"/>
        </w:rPr>
        <w:t>Stan w dniu 3</w:t>
      </w:r>
      <w:r>
        <w:rPr>
          <w:sz w:val="16"/>
          <w:szCs w:val="16"/>
        </w:rPr>
        <w:t>1</w:t>
      </w:r>
      <w:r w:rsidRPr="00E250CC">
        <w:rPr>
          <w:sz w:val="16"/>
          <w:szCs w:val="16"/>
        </w:rPr>
        <w:t xml:space="preserve"> </w:t>
      </w:r>
      <w:r>
        <w:rPr>
          <w:sz w:val="16"/>
          <w:szCs w:val="16"/>
        </w:rPr>
        <w:t>XII</w:t>
      </w:r>
      <w:r w:rsidRPr="00E250CC">
        <w:rPr>
          <w:sz w:val="16"/>
          <w:szCs w:val="16"/>
        </w:rPr>
        <w:t>, GUS, 2019, s. 1</w:t>
      </w:r>
      <w:r>
        <w:rPr>
          <w:sz w:val="16"/>
          <w:szCs w:val="16"/>
        </w:rPr>
        <w:t>8</w:t>
      </w:r>
      <w:r w:rsidRPr="00E250CC">
        <w:rPr>
          <w:sz w:val="16"/>
          <w:szCs w:val="16"/>
        </w:rPr>
        <w:t>.</w:t>
      </w:r>
    </w:p>
  </w:footnote>
  <w:footnote w:id="13">
    <w:p w14:paraId="460AF30B" w14:textId="77777777" w:rsidR="004C3D8E" w:rsidRPr="00D7752C" w:rsidRDefault="004C3D8E" w:rsidP="001946C8">
      <w:pPr>
        <w:spacing w:after="60" w:line="240" w:lineRule="auto"/>
        <w:jc w:val="both"/>
        <w:rPr>
          <w:sz w:val="16"/>
          <w:szCs w:val="16"/>
        </w:rPr>
      </w:pPr>
      <w:r w:rsidRPr="00C7464B">
        <w:rPr>
          <w:rStyle w:val="Nagwek7Znak"/>
          <w:rFonts w:ascii="Calibri" w:hAnsi="Calibri"/>
          <w:i w:val="0"/>
          <w:iCs w:val="0"/>
          <w:sz w:val="16"/>
          <w:szCs w:val="16"/>
          <w:vertAlign w:val="superscript"/>
        </w:rPr>
        <w:footnoteRef/>
      </w:r>
      <w:r w:rsidRPr="005A2D4F">
        <w:rPr>
          <w:color w:val="0070C0"/>
          <w:sz w:val="16"/>
          <w:szCs w:val="16"/>
        </w:rPr>
        <w:t xml:space="preserve"> </w:t>
      </w:r>
      <w:r w:rsidRPr="00D7752C">
        <w:rPr>
          <w:i/>
          <w:sz w:val="16"/>
          <w:szCs w:val="16"/>
        </w:rPr>
        <w:t>Informacja o</w:t>
      </w:r>
      <w:r w:rsidRPr="00D7752C">
        <w:rPr>
          <w:sz w:val="16"/>
          <w:szCs w:val="16"/>
        </w:rPr>
        <w:t xml:space="preserve"> </w:t>
      </w:r>
      <w:r w:rsidRPr="00D7752C">
        <w:rPr>
          <w:i/>
          <w:sz w:val="16"/>
          <w:szCs w:val="16"/>
        </w:rPr>
        <w:t>sytuacji osób starszych w Polsce za rok 2018</w:t>
      </w:r>
      <w:r w:rsidRPr="00D7752C">
        <w:rPr>
          <w:sz w:val="16"/>
          <w:szCs w:val="16"/>
        </w:rPr>
        <w:t>, Warszawa 2019, s. 8.</w:t>
      </w:r>
    </w:p>
  </w:footnote>
  <w:footnote w:id="14">
    <w:p w14:paraId="2D1ACDCE" w14:textId="77777777" w:rsidR="004C3D8E" w:rsidRDefault="004C3D8E" w:rsidP="001946C8">
      <w:pPr>
        <w:pStyle w:val="Tekstprzypisudolnego"/>
      </w:pPr>
      <w:r w:rsidRPr="00F751E2">
        <w:rPr>
          <w:rStyle w:val="Odwoanieprzypisudolnego"/>
          <w:color w:val="0070C0"/>
        </w:rPr>
        <w:footnoteRef/>
      </w:r>
      <w:r>
        <w:t xml:space="preserve"> </w:t>
      </w:r>
      <w:r w:rsidRPr="00E250CC">
        <w:rPr>
          <w:i/>
          <w:sz w:val="16"/>
          <w:szCs w:val="16"/>
        </w:rPr>
        <w:t>Ludność. Stan i struktura oraz ruch naturalny w przekroju terytorialnym w 2019 r.</w:t>
      </w:r>
      <w:r>
        <w:rPr>
          <w:sz w:val="16"/>
          <w:szCs w:val="16"/>
        </w:rPr>
        <w:t xml:space="preserve"> </w:t>
      </w:r>
      <w:r w:rsidRPr="00E250CC">
        <w:rPr>
          <w:sz w:val="16"/>
          <w:szCs w:val="16"/>
        </w:rPr>
        <w:t>Stan w dniu 3</w:t>
      </w:r>
      <w:r>
        <w:rPr>
          <w:sz w:val="16"/>
          <w:szCs w:val="16"/>
        </w:rPr>
        <w:t>1</w:t>
      </w:r>
      <w:r w:rsidRPr="00E250CC">
        <w:rPr>
          <w:sz w:val="16"/>
          <w:szCs w:val="16"/>
        </w:rPr>
        <w:t xml:space="preserve"> </w:t>
      </w:r>
      <w:r>
        <w:rPr>
          <w:sz w:val="16"/>
          <w:szCs w:val="16"/>
        </w:rPr>
        <w:t>XII</w:t>
      </w:r>
      <w:r w:rsidRPr="00E250CC">
        <w:rPr>
          <w:sz w:val="16"/>
          <w:szCs w:val="16"/>
        </w:rPr>
        <w:t>, GUS, 2019, s. 1</w:t>
      </w:r>
      <w:r>
        <w:rPr>
          <w:sz w:val="16"/>
          <w:szCs w:val="16"/>
        </w:rPr>
        <w:t>8.</w:t>
      </w:r>
    </w:p>
  </w:footnote>
  <w:footnote w:id="15">
    <w:p w14:paraId="78562562" w14:textId="77777777" w:rsidR="004C3D8E" w:rsidRDefault="004C3D8E" w:rsidP="001946C8">
      <w:pPr>
        <w:pStyle w:val="Tekstprzypisudolnego"/>
      </w:pPr>
      <w:r>
        <w:rPr>
          <w:rStyle w:val="Odwoanieprzypisudolnego"/>
        </w:rPr>
        <w:footnoteRef/>
      </w:r>
      <w:r>
        <w:t xml:space="preserve"> </w:t>
      </w:r>
      <w:r w:rsidRPr="00D7752C">
        <w:rPr>
          <w:i/>
          <w:sz w:val="16"/>
          <w:szCs w:val="16"/>
        </w:rPr>
        <w:t>Informacja o</w:t>
      </w:r>
      <w:r w:rsidRPr="00D7752C">
        <w:rPr>
          <w:sz w:val="16"/>
          <w:szCs w:val="16"/>
        </w:rPr>
        <w:t xml:space="preserve"> </w:t>
      </w:r>
      <w:r w:rsidRPr="00D7752C">
        <w:rPr>
          <w:i/>
          <w:sz w:val="16"/>
          <w:szCs w:val="16"/>
        </w:rPr>
        <w:t>sytuacji osób starszych w Polsce za rok 2018</w:t>
      </w:r>
      <w:r w:rsidRPr="00D7752C">
        <w:rPr>
          <w:sz w:val="16"/>
          <w:szCs w:val="16"/>
        </w:rPr>
        <w:t>, Warszawa 2019, s. 8.</w:t>
      </w:r>
    </w:p>
  </w:footnote>
  <w:footnote w:id="16">
    <w:p w14:paraId="1BE520BB" w14:textId="77777777" w:rsidR="004C3D8E" w:rsidRPr="00D7752C" w:rsidRDefault="004C3D8E" w:rsidP="001946C8">
      <w:pPr>
        <w:spacing w:after="60" w:line="240" w:lineRule="auto"/>
        <w:jc w:val="both"/>
        <w:rPr>
          <w:sz w:val="16"/>
          <w:szCs w:val="16"/>
        </w:rPr>
      </w:pPr>
      <w:r w:rsidRPr="00C7464B">
        <w:rPr>
          <w:rStyle w:val="Nagwek7Znak"/>
          <w:rFonts w:ascii="Calibri" w:hAnsi="Calibri"/>
          <w:i w:val="0"/>
          <w:iCs w:val="0"/>
          <w:sz w:val="16"/>
          <w:szCs w:val="16"/>
          <w:vertAlign w:val="superscript"/>
        </w:rPr>
        <w:footnoteRef/>
      </w:r>
      <w:r w:rsidRPr="005A2D4F">
        <w:rPr>
          <w:color w:val="0070C0"/>
          <w:sz w:val="16"/>
          <w:szCs w:val="16"/>
        </w:rPr>
        <w:t xml:space="preserve"> </w:t>
      </w:r>
      <w:r w:rsidRPr="00D7752C">
        <w:rPr>
          <w:i/>
          <w:sz w:val="16"/>
          <w:szCs w:val="16"/>
        </w:rPr>
        <w:t>Trwanie życia w 2018 r.</w:t>
      </w:r>
      <w:r w:rsidRPr="00D7752C">
        <w:rPr>
          <w:sz w:val="16"/>
          <w:szCs w:val="16"/>
        </w:rPr>
        <w:t xml:space="preserve">, GUS, Warszawa 2019, s. 8–11 oraz </w:t>
      </w:r>
      <w:r w:rsidRPr="00D7752C">
        <w:rPr>
          <w:i/>
          <w:sz w:val="16"/>
          <w:szCs w:val="16"/>
        </w:rPr>
        <w:t>Sytuacja zdrowotna ludności polski i jej uwarunkowania, (red.) Wojtyniak B, Goryński P, Narodowy Instytut Zdrowia Publicznego – Państwowy Zakład Higieny</w:t>
      </w:r>
      <w:r w:rsidRPr="00D7752C">
        <w:rPr>
          <w:sz w:val="16"/>
          <w:szCs w:val="16"/>
        </w:rPr>
        <w:t>, Warszawa 2018, s. 15–16.</w:t>
      </w:r>
    </w:p>
  </w:footnote>
  <w:footnote w:id="17">
    <w:p w14:paraId="402570CA" w14:textId="77777777" w:rsidR="004C3D8E" w:rsidRPr="00D7752C" w:rsidRDefault="004C3D8E" w:rsidP="001946C8">
      <w:pPr>
        <w:spacing w:after="60" w:line="240" w:lineRule="auto"/>
        <w:jc w:val="both"/>
        <w:rPr>
          <w:sz w:val="16"/>
          <w:szCs w:val="16"/>
        </w:rPr>
      </w:pPr>
      <w:r w:rsidRPr="00C7464B">
        <w:rPr>
          <w:rStyle w:val="Nagwek7Znak"/>
          <w:rFonts w:ascii="Calibri" w:hAnsi="Calibri"/>
          <w:i w:val="0"/>
          <w:iCs w:val="0"/>
          <w:sz w:val="16"/>
          <w:szCs w:val="16"/>
          <w:vertAlign w:val="superscript"/>
        </w:rPr>
        <w:footnoteRef/>
      </w:r>
      <w:r w:rsidRPr="00D7752C">
        <w:rPr>
          <w:sz w:val="16"/>
          <w:szCs w:val="16"/>
        </w:rPr>
        <w:t xml:space="preserve"> </w:t>
      </w:r>
      <w:r w:rsidRPr="00D7752C">
        <w:rPr>
          <w:i/>
          <w:iCs/>
          <w:sz w:val="16"/>
          <w:szCs w:val="16"/>
        </w:rPr>
        <w:t>Stan zdrowia ludności Polski 2014</w:t>
      </w:r>
      <w:r w:rsidRPr="00D7752C">
        <w:rPr>
          <w:sz w:val="16"/>
          <w:szCs w:val="16"/>
        </w:rPr>
        <w:t>, GUS, Warszawa 2015, s. 63.</w:t>
      </w:r>
    </w:p>
  </w:footnote>
  <w:footnote w:id="18">
    <w:p w14:paraId="7764BA77" w14:textId="77777777" w:rsidR="004C3D8E" w:rsidRPr="00D7752C" w:rsidRDefault="004C3D8E" w:rsidP="001946C8">
      <w:pPr>
        <w:spacing w:after="60" w:line="240" w:lineRule="auto"/>
        <w:jc w:val="both"/>
        <w:rPr>
          <w:sz w:val="16"/>
          <w:szCs w:val="16"/>
        </w:rPr>
      </w:pPr>
      <w:r w:rsidRPr="00C7464B">
        <w:rPr>
          <w:rStyle w:val="Nagwek7Znak"/>
          <w:rFonts w:ascii="Calibri" w:hAnsi="Calibri"/>
          <w:i w:val="0"/>
          <w:iCs w:val="0"/>
          <w:sz w:val="16"/>
          <w:szCs w:val="16"/>
          <w:vertAlign w:val="superscript"/>
        </w:rPr>
        <w:footnoteRef/>
      </w:r>
      <w:r w:rsidRPr="00D7752C">
        <w:rPr>
          <w:sz w:val="16"/>
          <w:szCs w:val="16"/>
        </w:rPr>
        <w:t xml:space="preserve"> </w:t>
      </w:r>
      <w:r w:rsidRPr="00D7752C">
        <w:rPr>
          <w:i/>
          <w:sz w:val="16"/>
          <w:szCs w:val="16"/>
        </w:rPr>
        <w:t>Sytuacja zdrowotna ludności polski i jej uwarunkowania, (red.) Wojtyniak B, Goryński P, Narodowy Instytut Zdrowia Publicznego – Państwowy Zakład Higieny</w:t>
      </w:r>
      <w:r w:rsidRPr="00D7752C">
        <w:rPr>
          <w:sz w:val="16"/>
          <w:szCs w:val="16"/>
        </w:rPr>
        <w:t>, Warszawa 2018, s. 15.</w:t>
      </w:r>
    </w:p>
  </w:footnote>
  <w:footnote w:id="19">
    <w:p w14:paraId="6E525333" w14:textId="77777777" w:rsidR="004C3D8E" w:rsidRPr="00D7752C" w:rsidRDefault="004C3D8E" w:rsidP="001946C8">
      <w:pPr>
        <w:spacing w:after="60" w:line="240" w:lineRule="auto"/>
        <w:jc w:val="both"/>
        <w:rPr>
          <w:sz w:val="16"/>
          <w:szCs w:val="16"/>
        </w:rPr>
      </w:pPr>
      <w:r w:rsidRPr="00F751E2">
        <w:rPr>
          <w:rStyle w:val="Nagwek7Znak"/>
          <w:rFonts w:ascii="Calibri" w:hAnsi="Calibri"/>
          <w:i w:val="0"/>
          <w:iCs w:val="0"/>
          <w:sz w:val="16"/>
          <w:szCs w:val="16"/>
          <w:vertAlign w:val="superscript"/>
        </w:rPr>
        <w:footnoteRef/>
      </w:r>
      <w:r w:rsidRPr="00D7752C">
        <w:rPr>
          <w:sz w:val="16"/>
          <w:szCs w:val="16"/>
        </w:rPr>
        <w:t xml:space="preserve"> </w:t>
      </w:r>
      <w:r w:rsidRPr="00D7752C">
        <w:rPr>
          <w:i/>
          <w:sz w:val="16"/>
          <w:szCs w:val="16"/>
        </w:rPr>
        <w:t>Informacja o sytuacji osób starszych w Polsce za rok 2018</w:t>
      </w:r>
      <w:r w:rsidRPr="00D7752C">
        <w:rPr>
          <w:sz w:val="16"/>
          <w:szCs w:val="16"/>
        </w:rPr>
        <w:t xml:space="preserve">, Warszawa 2019, s. 10 oraz </w:t>
      </w:r>
      <w:r w:rsidRPr="00D7752C">
        <w:rPr>
          <w:i/>
          <w:sz w:val="16"/>
          <w:szCs w:val="16"/>
        </w:rPr>
        <w:t xml:space="preserve">Sytuacja zdrowotna ludności polski i jej uwarunkowania, </w:t>
      </w:r>
      <w:r w:rsidRPr="00D7752C">
        <w:rPr>
          <w:sz w:val="16"/>
          <w:szCs w:val="16"/>
        </w:rPr>
        <w:t>(red.)</w:t>
      </w:r>
      <w:r w:rsidRPr="00D7752C">
        <w:rPr>
          <w:i/>
          <w:sz w:val="16"/>
          <w:szCs w:val="16"/>
        </w:rPr>
        <w:t xml:space="preserve"> Wojtyniak B, Goryński P, Narodowy Instytut Zdrowia Publicznego – Państwowy Zakład Higieny</w:t>
      </w:r>
      <w:r w:rsidRPr="00D7752C">
        <w:rPr>
          <w:sz w:val="16"/>
          <w:szCs w:val="16"/>
        </w:rPr>
        <w:t>, Warszawa 2018, s. 15.</w:t>
      </w:r>
    </w:p>
  </w:footnote>
  <w:footnote w:id="20">
    <w:p w14:paraId="674EC1FD" w14:textId="77777777" w:rsidR="004C3D8E" w:rsidRDefault="004C3D8E" w:rsidP="001946C8">
      <w:pPr>
        <w:spacing w:after="60" w:line="240" w:lineRule="auto"/>
        <w:jc w:val="both"/>
      </w:pPr>
      <w:r w:rsidRPr="00F751E2">
        <w:rPr>
          <w:rStyle w:val="Nagwek7Znak"/>
          <w:rFonts w:ascii="Calibri" w:hAnsi="Calibri"/>
          <w:i w:val="0"/>
          <w:iCs w:val="0"/>
          <w:sz w:val="16"/>
          <w:szCs w:val="16"/>
          <w:vertAlign w:val="superscript"/>
        </w:rPr>
        <w:footnoteRef/>
      </w:r>
      <w:r w:rsidRPr="005A2D4F">
        <w:rPr>
          <w:i/>
          <w:iCs/>
          <w:sz w:val="16"/>
          <w:szCs w:val="16"/>
        </w:rPr>
        <w:t xml:space="preserve"> </w:t>
      </w:r>
      <w:r>
        <w:rPr>
          <w:rFonts w:cs="Calibri"/>
          <w:i/>
          <w:sz w:val="16"/>
          <w:szCs w:val="16"/>
        </w:rPr>
        <w:t>Stan obecny i przyszłość opieki długoterminowej w starzejącej się Polsce. Uwagi na potrzeby opracowania polityki dotyczącej opieki długoterminowej</w:t>
      </w:r>
      <w:r>
        <w:rPr>
          <w:rFonts w:cs="Calibri"/>
          <w:sz w:val="16"/>
          <w:szCs w:val="16"/>
        </w:rPr>
        <w:t>, Bank Światowy, 2015, s. 42.</w:t>
      </w:r>
    </w:p>
  </w:footnote>
  <w:footnote w:id="21">
    <w:p w14:paraId="5374E77E" w14:textId="77777777" w:rsidR="004C3D8E" w:rsidRPr="0007513B" w:rsidRDefault="004C3D8E" w:rsidP="001946C8">
      <w:pPr>
        <w:spacing w:after="60" w:line="240" w:lineRule="auto"/>
        <w:jc w:val="both"/>
        <w:rPr>
          <w:sz w:val="16"/>
          <w:szCs w:val="16"/>
        </w:rPr>
      </w:pPr>
      <w:r w:rsidRPr="002B0535">
        <w:rPr>
          <w:rStyle w:val="Nagwek7Znak"/>
          <w:rFonts w:ascii="Calibri" w:hAnsi="Calibri"/>
          <w:i w:val="0"/>
          <w:iCs w:val="0"/>
          <w:sz w:val="16"/>
          <w:szCs w:val="16"/>
          <w:vertAlign w:val="superscript"/>
        </w:rPr>
        <w:footnoteRef/>
      </w:r>
      <w:r w:rsidRPr="0007513B">
        <w:rPr>
          <w:sz w:val="16"/>
          <w:szCs w:val="16"/>
        </w:rPr>
        <w:t xml:space="preserve"> </w:t>
      </w:r>
      <w:r w:rsidRPr="0007513B">
        <w:rPr>
          <w:rFonts w:cs="Calibri"/>
          <w:i/>
          <w:sz w:val="16"/>
          <w:szCs w:val="16"/>
        </w:rPr>
        <w:t>Stan obecny i przyszłość opieki długoterminowej w starzejącej się Polsce. Uwagi na potrzeby opracowania polityki dotyczącej opieki długoterminowej</w:t>
      </w:r>
      <w:r w:rsidRPr="0007513B">
        <w:rPr>
          <w:rFonts w:cs="Calibri"/>
          <w:sz w:val="16"/>
          <w:szCs w:val="16"/>
        </w:rPr>
        <w:t>, Bank Światowy, 2015, s. 16.</w:t>
      </w:r>
    </w:p>
  </w:footnote>
  <w:footnote w:id="22">
    <w:p w14:paraId="46E1ABC8" w14:textId="77777777" w:rsidR="004C3D8E" w:rsidRPr="0007513B" w:rsidRDefault="004C3D8E" w:rsidP="001946C8">
      <w:pPr>
        <w:spacing w:after="60" w:line="240" w:lineRule="auto"/>
        <w:jc w:val="both"/>
        <w:rPr>
          <w:sz w:val="16"/>
          <w:szCs w:val="16"/>
        </w:rPr>
      </w:pPr>
      <w:r w:rsidRPr="002B0535">
        <w:rPr>
          <w:rStyle w:val="Nagwek7Znak"/>
          <w:rFonts w:ascii="Calibri" w:hAnsi="Calibri"/>
          <w:i w:val="0"/>
          <w:iCs w:val="0"/>
          <w:sz w:val="16"/>
          <w:szCs w:val="16"/>
          <w:vertAlign w:val="superscript"/>
        </w:rPr>
        <w:footnoteRef/>
      </w:r>
      <w:r w:rsidRPr="0007513B">
        <w:rPr>
          <w:sz w:val="16"/>
          <w:szCs w:val="16"/>
        </w:rPr>
        <w:t xml:space="preserve"> </w:t>
      </w:r>
      <w:r w:rsidRPr="0007513B">
        <w:rPr>
          <w:i/>
          <w:sz w:val="16"/>
          <w:szCs w:val="16"/>
        </w:rPr>
        <w:t>Dochody i warunki życia ludności Polski (raport z badania EU-SILC 2017)</w:t>
      </w:r>
      <w:r w:rsidRPr="0007513B">
        <w:rPr>
          <w:sz w:val="16"/>
          <w:szCs w:val="16"/>
        </w:rPr>
        <w:t xml:space="preserve"> – raport z badania sondażowego pn. </w:t>
      </w:r>
      <w:r w:rsidRPr="0007513B">
        <w:rPr>
          <w:i/>
          <w:sz w:val="16"/>
          <w:szCs w:val="16"/>
        </w:rPr>
        <w:t>Europejskie Badanie Warunków Życia Ludności</w:t>
      </w:r>
      <w:r w:rsidRPr="0007513B">
        <w:rPr>
          <w:sz w:val="16"/>
          <w:szCs w:val="16"/>
        </w:rPr>
        <w:t xml:space="preserve"> (EU-SILC), ss. 73-74 (zgodnie z danymi GUS badanie zostało ponowione na terenie całej Polski w okresie kwiecień–czerwiec 2019 r.).</w:t>
      </w:r>
    </w:p>
  </w:footnote>
  <w:footnote w:id="23">
    <w:p w14:paraId="5A87FDC8" w14:textId="77777777" w:rsidR="004C3D8E" w:rsidRPr="0007513B" w:rsidRDefault="004C3D8E" w:rsidP="001946C8">
      <w:pPr>
        <w:spacing w:after="60" w:line="240" w:lineRule="auto"/>
        <w:jc w:val="both"/>
        <w:rPr>
          <w:sz w:val="16"/>
          <w:szCs w:val="16"/>
        </w:rPr>
      </w:pPr>
      <w:r w:rsidRPr="002B0535">
        <w:rPr>
          <w:rStyle w:val="Nagwek7Znak"/>
          <w:rFonts w:ascii="Calibri" w:hAnsi="Calibri"/>
          <w:i w:val="0"/>
          <w:iCs w:val="0"/>
          <w:sz w:val="16"/>
          <w:szCs w:val="16"/>
          <w:vertAlign w:val="superscript"/>
        </w:rPr>
        <w:footnoteRef/>
      </w:r>
      <w:r w:rsidRPr="0007513B">
        <w:rPr>
          <w:sz w:val="16"/>
          <w:szCs w:val="16"/>
        </w:rPr>
        <w:t xml:space="preserve"> </w:t>
      </w:r>
      <w:r w:rsidRPr="0007513B">
        <w:rPr>
          <w:rFonts w:cs="Calibri"/>
          <w:i/>
          <w:sz w:val="16"/>
          <w:szCs w:val="16"/>
        </w:rPr>
        <w:t>Stan obecny i przyszłość opieki długoterminowej w starzejącej się Polsce. Uwagi na potrzeby opracowania polityki dotyczącej opieki długoterminowej</w:t>
      </w:r>
      <w:r w:rsidRPr="0007513B">
        <w:rPr>
          <w:rFonts w:cs="Calibri"/>
          <w:sz w:val="16"/>
          <w:szCs w:val="16"/>
        </w:rPr>
        <w:t>, Bank Światowy, 2015, s. 36.</w:t>
      </w:r>
    </w:p>
  </w:footnote>
  <w:footnote w:id="24">
    <w:p w14:paraId="2E1FD19A" w14:textId="77777777" w:rsidR="004C3D8E" w:rsidRPr="00CF0C12" w:rsidRDefault="004C3D8E" w:rsidP="001946C8">
      <w:pPr>
        <w:pStyle w:val="Tekstprzypisudolnego"/>
        <w:spacing w:after="60"/>
        <w:jc w:val="both"/>
        <w:rPr>
          <w:sz w:val="16"/>
        </w:rPr>
      </w:pPr>
      <w:r w:rsidRPr="00CF0C12">
        <w:rPr>
          <w:rStyle w:val="Odwoanieprzypisudolnego"/>
          <w:sz w:val="16"/>
        </w:rPr>
        <w:footnoteRef/>
      </w:r>
      <w:r w:rsidRPr="00CF0C12">
        <w:rPr>
          <w:sz w:val="16"/>
        </w:rPr>
        <w:t xml:space="preserve"> Na podstawie danych </w:t>
      </w:r>
      <w:r>
        <w:rPr>
          <w:sz w:val="16"/>
        </w:rPr>
        <w:t xml:space="preserve">dla Polski według </w:t>
      </w:r>
      <w:r w:rsidRPr="00CF0C12">
        <w:rPr>
          <w:sz w:val="16"/>
        </w:rPr>
        <w:t xml:space="preserve">Globalnego Badania Obciążenia Chorobami: </w:t>
      </w:r>
      <w:hyperlink r:id="rId1" w:history="1">
        <w:r w:rsidRPr="00CF0C12">
          <w:rPr>
            <w:rStyle w:val="Hipercze"/>
            <w:sz w:val="16"/>
          </w:rPr>
          <w:t>https://vizhub.healthdata.org/gbd-compare/</w:t>
        </w:r>
      </w:hyperlink>
      <w:r w:rsidRPr="00CF0C12">
        <w:rPr>
          <w:sz w:val="16"/>
        </w:rPr>
        <w:t>.</w:t>
      </w:r>
    </w:p>
  </w:footnote>
  <w:footnote w:id="25">
    <w:p w14:paraId="15B8C2A9" w14:textId="77777777" w:rsidR="004C3D8E" w:rsidRPr="0007513B" w:rsidRDefault="004C3D8E" w:rsidP="001946C8">
      <w:pPr>
        <w:spacing w:after="60" w:line="240" w:lineRule="auto"/>
        <w:jc w:val="both"/>
        <w:rPr>
          <w:sz w:val="16"/>
          <w:szCs w:val="16"/>
        </w:rPr>
      </w:pPr>
      <w:r w:rsidRPr="002B0535">
        <w:rPr>
          <w:rStyle w:val="Nagwek7Znak"/>
          <w:rFonts w:ascii="Calibri" w:hAnsi="Calibri"/>
          <w:i w:val="0"/>
          <w:iCs w:val="0"/>
          <w:sz w:val="16"/>
          <w:szCs w:val="16"/>
          <w:vertAlign w:val="superscript"/>
        </w:rPr>
        <w:footnoteRef/>
      </w:r>
      <w:r w:rsidRPr="002B0535">
        <w:rPr>
          <w:i/>
          <w:iCs/>
          <w:sz w:val="16"/>
          <w:szCs w:val="16"/>
        </w:rPr>
        <w:t xml:space="preserve"> </w:t>
      </w:r>
      <w:r w:rsidRPr="0007513B">
        <w:rPr>
          <w:i/>
          <w:sz w:val="16"/>
          <w:szCs w:val="16"/>
        </w:rPr>
        <w:t>Informacja o sytuacji osób starszych w Polsce za rok 2018</w:t>
      </w:r>
      <w:r w:rsidRPr="0007513B">
        <w:rPr>
          <w:sz w:val="16"/>
          <w:szCs w:val="16"/>
        </w:rPr>
        <w:t>, Warszawa 2019, s. 8.</w:t>
      </w:r>
    </w:p>
  </w:footnote>
  <w:footnote w:id="26">
    <w:p w14:paraId="6C108C55" w14:textId="77777777" w:rsidR="004C3D8E" w:rsidRPr="00CF0C12" w:rsidRDefault="004C3D8E" w:rsidP="001946C8">
      <w:pPr>
        <w:pStyle w:val="Tekstprzypisudolnego"/>
        <w:spacing w:after="60"/>
        <w:jc w:val="both"/>
        <w:rPr>
          <w:sz w:val="16"/>
        </w:rPr>
      </w:pPr>
      <w:r w:rsidRPr="00CF0C12">
        <w:rPr>
          <w:rStyle w:val="Odwoanieprzypisudolnego"/>
          <w:sz w:val="16"/>
        </w:rPr>
        <w:footnoteRef/>
      </w:r>
      <w:r w:rsidRPr="00CF0C12">
        <w:rPr>
          <w:sz w:val="16"/>
        </w:rPr>
        <w:t xml:space="preserve"> Na podstawie danych </w:t>
      </w:r>
      <w:r>
        <w:rPr>
          <w:sz w:val="16"/>
        </w:rPr>
        <w:t xml:space="preserve">dla Polski według </w:t>
      </w:r>
      <w:r w:rsidRPr="00CF0C12">
        <w:rPr>
          <w:sz w:val="16"/>
        </w:rPr>
        <w:t xml:space="preserve">Globalnego Badania Obciążenia Chorobami: </w:t>
      </w:r>
      <w:hyperlink r:id="rId2" w:history="1">
        <w:r w:rsidRPr="00CF0C12">
          <w:rPr>
            <w:rStyle w:val="Hipercze"/>
            <w:sz w:val="16"/>
          </w:rPr>
          <w:t>https://vizhub.healthdata.org/gbd-compare/</w:t>
        </w:r>
      </w:hyperlink>
      <w:r w:rsidRPr="00CF0C12">
        <w:rPr>
          <w:sz w:val="16"/>
        </w:rPr>
        <w:t>.</w:t>
      </w:r>
    </w:p>
  </w:footnote>
  <w:footnote w:id="27">
    <w:p w14:paraId="51E488E5" w14:textId="77777777" w:rsidR="004C3D8E" w:rsidRDefault="004C3D8E" w:rsidP="001946C8">
      <w:pPr>
        <w:spacing w:after="60" w:line="240" w:lineRule="auto"/>
      </w:pPr>
      <w:r w:rsidRPr="002B0535">
        <w:rPr>
          <w:rStyle w:val="Nagwek7Znak"/>
          <w:rFonts w:ascii="Calibri" w:hAnsi="Calibri"/>
          <w:i w:val="0"/>
          <w:iCs w:val="0"/>
          <w:sz w:val="16"/>
          <w:szCs w:val="16"/>
          <w:vertAlign w:val="superscript"/>
        </w:rPr>
        <w:footnoteRef/>
      </w:r>
      <w:r w:rsidRPr="008C139C">
        <w:rPr>
          <w:sz w:val="16"/>
          <w:szCs w:val="16"/>
        </w:rPr>
        <w:t xml:space="preserve"> </w:t>
      </w:r>
      <w:r>
        <w:rPr>
          <w:i/>
          <w:sz w:val="16"/>
          <w:szCs w:val="16"/>
        </w:rPr>
        <w:t>Informacja o sytuacji osób starszych w Polsce za rok 2018</w:t>
      </w:r>
      <w:r>
        <w:rPr>
          <w:sz w:val="16"/>
          <w:szCs w:val="16"/>
        </w:rPr>
        <w:t>, Warszawa 2019, s. 8.</w:t>
      </w:r>
    </w:p>
  </w:footnote>
  <w:footnote w:id="28">
    <w:p w14:paraId="4764A84F" w14:textId="77777777" w:rsidR="004C3D8E" w:rsidRPr="00FD18CC" w:rsidRDefault="004C3D8E" w:rsidP="001946C8">
      <w:pPr>
        <w:spacing w:after="60" w:line="240" w:lineRule="auto"/>
        <w:jc w:val="both"/>
        <w:rPr>
          <w:sz w:val="16"/>
          <w:szCs w:val="16"/>
        </w:rPr>
      </w:pPr>
      <w:r w:rsidRPr="00C7464B">
        <w:rPr>
          <w:rStyle w:val="Nagwek7Znak"/>
          <w:rFonts w:ascii="Calibri" w:hAnsi="Calibri"/>
          <w:i w:val="0"/>
          <w:iCs w:val="0"/>
          <w:sz w:val="16"/>
          <w:szCs w:val="16"/>
          <w:vertAlign w:val="superscript"/>
        </w:rPr>
        <w:footnoteRef/>
      </w:r>
      <w:r w:rsidRPr="00FD18CC">
        <w:rPr>
          <w:sz w:val="16"/>
          <w:szCs w:val="16"/>
        </w:rPr>
        <w:t xml:space="preserve"> </w:t>
      </w:r>
      <w:r w:rsidRPr="00FD18CC">
        <w:rPr>
          <w:i/>
          <w:sz w:val="16"/>
          <w:szCs w:val="16"/>
        </w:rPr>
        <w:t>Informacja o sytuacji osób starszych w Polsce za rok 2018</w:t>
      </w:r>
      <w:r w:rsidRPr="00FD18CC">
        <w:rPr>
          <w:sz w:val="16"/>
          <w:szCs w:val="16"/>
        </w:rPr>
        <w:t>, Warszawa 2019, s. 8–9.</w:t>
      </w:r>
    </w:p>
  </w:footnote>
  <w:footnote w:id="29">
    <w:p w14:paraId="7B99C6D9" w14:textId="77777777" w:rsidR="004C3D8E" w:rsidRPr="00FD18CC" w:rsidRDefault="004C3D8E" w:rsidP="001946C8">
      <w:pPr>
        <w:spacing w:after="60" w:line="240" w:lineRule="auto"/>
        <w:jc w:val="both"/>
        <w:rPr>
          <w:sz w:val="16"/>
          <w:szCs w:val="16"/>
        </w:rPr>
      </w:pPr>
      <w:r w:rsidRPr="00C7464B">
        <w:rPr>
          <w:rStyle w:val="Nagwek7Znak"/>
          <w:rFonts w:ascii="Calibri" w:hAnsi="Calibri"/>
          <w:i w:val="0"/>
          <w:iCs w:val="0"/>
          <w:sz w:val="16"/>
          <w:szCs w:val="16"/>
          <w:vertAlign w:val="superscript"/>
        </w:rPr>
        <w:footnoteRef/>
      </w:r>
      <w:r w:rsidRPr="00FD18CC">
        <w:rPr>
          <w:rFonts w:cs="Calibri"/>
          <w:sz w:val="16"/>
          <w:szCs w:val="16"/>
        </w:rPr>
        <w:t xml:space="preserve"> </w:t>
      </w:r>
      <w:r w:rsidRPr="00FD18CC">
        <w:rPr>
          <w:rFonts w:cs="Calibri"/>
          <w:i/>
          <w:sz w:val="16"/>
          <w:szCs w:val="16"/>
        </w:rPr>
        <w:t>Opieka nad osobami chorymi na chorobę Alzheimera oraz wsparcie dla ich rodzin</w:t>
      </w:r>
      <w:r w:rsidRPr="00FD18CC">
        <w:rPr>
          <w:rFonts w:cs="Calibri"/>
          <w:sz w:val="16"/>
          <w:szCs w:val="16"/>
        </w:rPr>
        <w:t xml:space="preserve">, </w:t>
      </w:r>
      <w:r w:rsidRPr="00FD18CC">
        <w:rPr>
          <w:rFonts w:cs="Arial"/>
          <w:sz w:val="16"/>
          <w:szCs w:val="16"/>
        </w:rPr>
        <w:t xml:space="preserve">, Informacja o wynikach kontroli, NIK, Warszawa 2017, </w:t>
      </w:r>
      <w:r w:rsidRPr="00FD18CC">
        <w:rPr>
          <w:rFonts w:cs="Calibri"/>
          <w:sz w:val="16"/>
          <w:szCs w:val="16"/>
        </w:rPr>
        <w:t>s. 8–9.</w:t>
      </w:r>
    </w:p>
  </w:footnote>
  <w:footnote w:id="30">
    <w:p w14:paraId="556E5F1A" w14:textId="77777777" w:rsidR="004C3D8E" w:rsidRPr="00CF0C12" w:rsidRDefault="004C3D8E" w:rsidP="001946C8">
      <w:pPr>
        <w:pStyle w:val="Tekstprzypisudolnego"/>
        <w:spacing w:after="60"/>
        <w:jc w:val="both"/>
        <w:rPr>
          <w:sz w:val="16"/>
        </w:rPr>
      </w:pPr>
      <w:r w:rsidRPr="00CF0C12">
        <w:rPr>
          <w:rStyle w:val="Odwoanieprzypisudolnego"/>
          <w:sz w:val="16"/>
        </w:rPr>
        <w:footnoteRef/>
      </w:r>
      <w:r w:rsidRPr="00CF0C12">
        <w:rPr>
          <w:sz w:val="16"/>
        </w:rPr>
        <w:t xml:space="preserve"> Na podstawie danych </w:t>
      </w:r>
      <w:r>
        <w:rPr>
          <w:sz w:val="16"/>
        </w:rPr>
        <w:t xml:space="preserve">dla Polski według </w:t>
      </w:r>
      <w:r w:rsidRPr="00CF0C12">
        <w:rPr>
          <w:sz w:val="16"/>
        </w:rPr>
        <w:t xml:space="preserve">Globalnego Badania Obciążenia Chorobami: </w:t>
      </w:r>
      <w:hyperlink r:id="rId3" w:history="1">
        <w:r w:rsidRPr="00CF0C12">
          <w:rPr>
            <w:rStyle w:val="Hipercze"/>
            <w:sz w:val="16"/>
          </w:rPr>
          <w:t>https://vizhub.healthdata.org/gbd-compare/</w:t>
        </w:r>
      </w:hyperlink>
      <w:r w:rsidRPr="00CF0C12">
        <w:rPr>
          <w:sz w:val="16"/>
        </w:rPr>
        <w:t>.</w:t>
      </w:r>
    </w:p>
  </w:footnote>
  <w:footnote w:id="31">
    <w:p w14:paraId="0643546C" w14:textId="77777777" w:rsidR="004C3D8E" w:rsidRPr="00FD18CC" w:rsidRDefault="004C3D8E" w:rsidP="001946C8">
      <w:pPr>
        <w:spacing w:after="60" w:line="240" w:lineRule="auto"/>
        <w:jc w:val="both"/>
        <w:rPr>
          <w:sz w:val="16"/>
          <w:szCs w:val="16"/>
        </w:rPr>
      </w:pPr>
      <w:r w:rsidRPr="00F751E2">
        <w:rPr>
          <w:rStyle w:val="Nagwek7Znak"/>
          <w:rFonts w:ascii="Calibri" w:hAnsi="Calibri"/>
          <w:i w:val="0"/>
          <w:iCs w:val="0"/>
          <w:sz w:val="16"/>
          <w:szCs w:val="16"/>
          <w:vertAlign w:val="superscript"/>
        </w:rPr>
        <w:footnoteRef/>
      </w:r>
      <w:r w:rsidRPr="00F751E2">
        <w:rPr>
          <w:i/>
          <w:color w:val="0070C0"/>
          <w:sz w:val="16"/>
          <w:szCs w:val="16"/>
        </w:rPr>
        <w:t xml:space="preserve"> </w:t>
      </w:r>
      <w:r w:rsidRPr="00FD18CC">
        <w:rPr>
          <w:rFonts w:cs="Arial"/>
          <w:i/>
          <w:sz w:val="16"/>
          <w:szCs w:val="16"/>
        </w:rPr>
        <w:t>Opieka nad osobami chorymi na chorobę Alzheimera oraz wsparcie dla ich rodzin</w:t>
      </w:r>
      <w:r w:rsidRPr="00FD18CC">
        <w:rPr>
          <w:rFonts w:cs="Arial"/>
          <w:sz w:val="16"/>
          <w:szCs w:val="16"/>
        </w:rPr>
        <w:t xml:space="preserve">, Informacja o wynikach kontroli, NIK, Warszawa 2017, s. 8. oraz </w:t>
      </w:r>
      <w:r w:rsidRPr="00FD18CC">
        <w:rPr>
          <w:rFonts w:cs="Arial"/>
          <w:i/>
          <w:sz w:val="16"/>
          <w:szCs w:val="16"/>
        </w:rPr>
        <w:t>Epidemiology of dementia: prevalence and incidence estimates using validated electronic health records from primary care</w:t>
      </w:r>
      <w:r w:rsidRPr="00FD18CC">
        <w:rPr>
          <w:rFonts w:cs="Arial"/>
          <w:sz w:val="16"/>
          <w:szCs w:val="16"/>
        </w:rPr>
        <w:t xml:space="preserve">, Ponjoan A., Garre-Olmo J., Blanch J., Fages E., Alves-Cabratosa L., Martí-Lluch R., Comas-Cufí M., Parramon D., Garcia-Gil M., Ramos R., </w:t>
      </w:r>
      <w:r w:rsidRPr="00FD18CC">
        <w:rPr>
          <w:rFonts w:cs="Arial"/>
          <w:i/>
          <w:iCs/>
          <w:sz w:val="16"/>
          <w:szCs w:val="16"/>
        </w:rPr>
        <w:t>Clinic Epidemiology</w:t>
      </w:r>
      <w:r w:rsidRPr="00FD18CC">
        <w:rPr>
          <w:rFonts w:cs="Arial"/>
          <w:sz w:val="16"/>
          <w:szCs w:val="16"/>
        </w:rPr>
        <w:t xml:space="preserve"> 2019, nr 11, s. 217–228.</w:t>
      </w:r>
    </w:p>
  </w:footnote>
  <w:footnote w:id="32">
    <w:p w14:paraId="600A5CE5" w14:textId="77777777" w:rsidR="004C3D8E" w:rsidRPr="00FD18CC" w:rsidRDefault="004C3D8E" w:rsidP="001946C8">
      <w:pPr>
        <w:spacing w:after="60" w:line="240" w:lineRule="auto"/>
        <w:jc w:val="both"/>
        <w:rPr>
          <w:sz w:val="16"/>
          <w:szCs w:val="16"/>
        </w:rPr>
      </w:pPr>
      <w:r w:rsidRPr="00C7464B">
        <w:rPr>
          <w:rStyle w:val="Nagwek7Znak"/>
          <w:rFonts w:ascii="Calibri" w:hAnsi="Calibri"/>
          <w:i w:val="0"/>
          <w:iCs w:val="0"/>
          <w:sz w:val="16"/>
          <w:szCs w:val="16"/>
          <w:vertAlign w:val="superscript"/>
        </w:rPr>
        <w:footnoteRef/>
      </w:r>
      <w:r w:rsidRPr="00FD18CC">
        <w:rPr>
          <w:sz w:val="16"/>
          <w:szCs w:val="16"/>
        </w:rPr>
        <w:t xml:space="preserve"> </w:t>
      </w:r>
      <w:r w:rsidRPr="00FD18CC">
        <w:rPr>
          <w:i/>
          <w:sz w:val="16"/>
          <w:szCs w:val="16"/>
        </w:rPr>
        <w:t>Informacja o sytuacji osób starszych na podstawie badań Głównego Urzędu Statystycznego</w:t>
      </w:r>
      <w:r w:rsidRPr="00FD18CC">
        <w:rPr>
          <w:sz w:val="16"/>
          <w:szCs w:val="16"/>
        </w:rPr>
        <w:t>, GUS, Warszawa 2018, s. 6.</w:t>
      </w:r>
    </w:p>
  </w:footnote>
  <w:footnote w:id="33">
    <w:p w14:paraId="089A96BC" w14:textId="77777777" w:rsidR="004C3D8E" w:rsidRPr="00FD18CC" w:rsidRDefault="004C3D8E" w:rsidP="001946C8">
      <w:pPr>
        <w:spacing w:after="60" w:line="240" w:lineRule="auto"/>
        <w:jc w:val="both"/>
        <w:rPr>
          <w:sz w:val="16"/>
          <w:szCs w:val="16"/>
        </w:rPr>
      </w:pPr>
      <w:r w:rsidRPr="00C7464B">
        <w:rPr>
          <w:rStyle w:val="Nagwek7Znak"/>
          <w:rFonts w:ascii="Calibri" w:hAnsi="Calibri"/>
          <w:i w:val="0"/>
          <w:iCs w:val="0"/>
          <w:sz w:val="16"/>
          <w:szCs w:val="16"/>
          <w:vertAlign w:val="superscript"/>
        </w:rPr>
        <w:footnoteRef/>
      </w:r>
      <w:r w:rsidRPr="00C7464B">
        <w:rPr>
          <w:i/>
          <w:iCs/>
          <w:sz w:val="16"/>
          <w:szCs w:val="16"/>
        </w:rPr>
        <w:t xml:space="preserve"> </w:t>
      </w:r>
      <w:r w:rsidRPr="00FD18CC">
        <w:rPr>
          <w:i/>
          <w:iCs/>
          <w:sz w:val="16"/>
          <w:szCs w:val="16"/>
        </w:rPr>
        <w:t>Osoby niepełnosprawne w 2018 r.</w:t>
      </w:r>
      <w:r w:rsidRPr="00FD18CC">
        <w:rPr>
          <w:sz w:val="16"/>
          <w:szCs w:val="16"/>
        </w:rPr>
        <w:t>, GUS, Warszawa 2019 r., s. 2.</w:t>
      </w:r>
    </w:p>
  </w:footnote>
  <w:footnote w:id="34">
    <w:p w14:paraId="2D956019" w14:textId="77777777" w:rsidR="004C3D8E" w:rsidRPr="00FD18CC" w:rsidRDefault="004C3D8E" w:rsidP="001946C8">
      <w:pPr>
        <w:spacing w:after="60" w:line="240" w:lineRule="auto"/>
        <w:jc w:val="both"/>
        <w:rPr>
          <w:rFonts w:cstheme="minorHAnsi"/>
          <w:sz w:val="16"/>
          <w:szCs w:val="16"/>
        </w:rPr>
      </w:pPr>
      <w:r w:rsidRPr="00F751E2">
        <w:rPr>
          <w:rStyle w:val="Nagwek7Znak"/>
          <w:rFonts w:asciiTheme="minorHAnsi" w:hAnsiTheme="minorHAnsi" w:cstheme="minorHAnsi"/>
          <w:i w:val="0"/>
          <w:iCs w:val="0"/>
          <w:sz w:val="16"/>
          <w:szCs w:val="16"/>
          <w:vertAlign w:val="superscript"/>
        </w:rPr>
        <w:footnoteRef/>
      </w:r>
      <w:r w:rsidRPr="00F751E2">
        <w:rPr>
          <w:rFonts w:cstheme="minorHAnsi"/>
          <w:i/>
          <w:sz w:val="16"/>
          <w:szCs w:val="16"/>
        </w:rPr>
        <w:t xml:space="preserve"> </w:t>
      </w:r>
      <w:r w:rsidRPr="00FD18CC">
        <w:rPr>
          <w:rFonts w:cstheme="minorHAnsi"/>
          <w:sz w:val="16"/>
          <w:szCs w:val="16"/>
        </w:rPr>
        <w:t>Wizner B., Skalska A., Klich-Rączka A., Piotrowicz K., Grodzicki T., 2013, Ocena stanu funkcjonalnego u osób w starszym wieku. [w:] Mossakowska M., Więcek A., Błędowski P. (red.), PolSenior. Aspekty medyczne, psychologiczne i ekonomiczne starzenia się ludzi w Polsce, terMedia, Poznań 2012.</w:t>
      </w:r>
    </w:p>
  </w:footnote>
  <w:footnote w:id="35">
    <w:p w14:paraId="56946297" w14:textId="77777777" w:rsidR="004C3D8E" w:rsidRPr="00FD18CC" w:rsidRDefault="004C3D8E" w:rsidP="001946C8">
      <w:pPr>
        <w:spacing w:after="60" w:line="240" w:lineRule="auto"/>
        <w:jc w:val="both"/>
        <w:rPr>
          <w:rFonts w:cstheme="minorHAnsi"/>
          <w:sz w:val="16"/>
          <w:szCs w:val="16"/>
        </w:rPr>
      </w:pPr>
      <w:r w:rsidRPr="005A2D4F">
        <w:rPr>
          <w:rStyle w:val="Nagwek7Znak"/>
          <w:rFonts w:asciiTheme="minorHAnsi" w:hAnsiTheme="minorHAnsi" w:cstheme="minorHAnsi"/>
          <w:i w:val="0"/>
          <w:iCs w:val="0"/>
          <w:sz w:val="16"/>
          <w:szCs w:val="16"/>
          <w:vertAlign w:val="superscript"/>
        </w:rPr>
        <w:footnoteRef/>
      </w:r>
      <w:r w:rsidRPr="00FD18CC">
        <w:rPr>
          <w:rFonts w:cstheme="minorHAnsi"/>
          <w:sz w:val="16"/>
          <w:szCs w:val="16"/>
        </w:rPr>
        <w:t xml:space="preserve"> </w:t>
      </w:r>
      <w:r w:rsidRPr="00FD18CC">
        <w:rPr>
          <w:rFonts w:cstheme="minorHAnsi"/>
          <w:i/>
          <w:sz w:val="16"/>
          <w:szCs w:val="16"/>
        </w:rPr>
        <w:t xml:space="preserve">Portret generacji 50+ w Polsce i w Europie Wyniki badania zdrowia, starzenia się i przechodzenia na emeryturę w Europie (SHARE), </w:t>
      </w:r>
      <w:r w:rsidRPr="00FD18CC">
        <w:rPr>
          <w:rFonts w:cstheme="minorHAnsi"/>
          <w:sz w:val="16"/>
          <w:szCs w:val="16"/>
        </w:rPr>
        <w:t>Warszawa 2014.</w:t>
      </w:r>
    </w:p>
  </w:footnote>
  <w:footnote w:id="36">
    <w:p w14:paraId="15972DF3" w14:textId="77777777" w:rsidR="004C3D8E" w:rsidRPr="00FD18CC" w:rsidRDefault="004C3D8E" w:rsidP="001946C8">
      <w:pPr>
        <w:spacing w:after="60" w:line="240" w:lineRule="auto"/>
        <w:jc w:val="both"/>
        <w:rPr>
          <w:rFonts w:cstheme="minorHAnsi"/>
          <w:sz w:val="16"/>
          <w:szCs w:val="16"/>
        </w:rPr>
      </w:pPr>
      <w:r w:rsidRPr="005A2D4F">
        <w:rPr>
          <w:rStyle w:val="Nagwek7Znak"/>
          <w:rFonts w:asciiTheme="minorHAnsi" w:hAnsiTheme="minorHAnsi" w:cstheme="minorHAnsi"/>
          <w:i w:val="0"/>
          <w:iCs w:val="0"/>
          <w:sz w:val="16"/>
          <w:szCs w:val="16"/>
          <w:vertAlign w:val="superscript"/>
        </w:rPr>
        <w:footnoteRef/>
      </w:r>
      <w:r w:rsidRPr="00FD18CC">
        <w:rPr>
          <w:rFonts w:cstheme="minorHAnsi"/>
          <w:sz w:val="16"/>
          <w:szCs w:val="16"/>
        </w:rPr>
        <w:t xml:space="preserve"> </w:t>
      </w:r>
      <w:r w:rsidRPr="00FD18CC">
        <w:rPr>
          <w:rFonts w:cstheme="minorHAnsi"/>
          <w:i/>
          <w:sz w:val="16"/>
          <w:szCs w:val="16"/>
        </w:rPr>
        <w:t xml:space="preserve">Portret generacji 50+ w Polsce i w Europie Wyniki badania zdrowia, starzenia się i przechodzenia na emeryturę w Europie (SHARE), </w:t>
      </w:r>
      <w:r w:rsidRPr="00FD18CC">
        <w:rPr>
          <w:rFonts w:cstheme="minorHAnsi"/>
          <w:sz w:val="16"/>
          <w:szCs w:val="16"/>
        </w:rPr>
        <w:t>Warszawa 2014.</w:t>
      </w:r>
    </w:p>
  </w:footnote>
  <w:footnote w:id="37">
    <w:p w14:paraId="63CA76C0" w14:textId="77777777" w:rsidR="004C3D8E" w:rsidRPr="00FD18CC" w:rsidRDefault="004C3D8E" w:rsidP="001946C8">
      <w:pPr>
        <w:spacing w:after="60" w:line="240" w:lineRule="auto"/>
        <w:jc w:val="both"/>
        <w:rPr>
          <w:rFonts w:cstheme="minorHAnsi"/>
          <w:sz w:val="16"/>
          <w:szCs w:val="16"/>
        </w:rPr>
      </w:pPr>
      <w:r w:rsidRPr="005A2D4F">
        <w:rPr>
          <w:rStyle w:val="Nagwek7Znak"/>
          <w:rFonts w:asciiTheme="minorHAnsi" w:hAnsiTheme="minorHAnsi" w:cstheme="minorHAnsi"/>
          <w:i w:val="0"/>
          <w:iCs w:val="0"/>
          <w:sz w:val="16"/>
          <w:szCs w:val="16"/>
          <w:vertAlign w:val="superscript"/>
        </w:rPr>
        <w:footnoteRef/>
      </w:r>
      <w:r w:rsidRPr="00FD18CC">
        <w:rPr>
          <w:rFonts w:cstheme="minorHAnsi"/>
          <w:sz w:val="16"/>
          <w:szCs w:val="16"/>
        </w:rPr>
        <w:t xml:space="preserve"> </w:t>
      </w:r>
      <w:r w:rsidRPr="00FD18CC">
        <w:rPr>
          <w:rFonts w:cstheme="minorHAnsi"/>
          <w:i/>
          <w:sz w:val="16"/>
          <w:szCs w:val="16"/>
        </w:rPr>
        <w:t xml:space="preserve">Portret generacji 50+ w Polsce i w Europie Wyniki badania zdrowia, starzenia się i przechodzenia na emeryturę w Europie (SHARE), </w:t>
      </w:r>
      <w:r w:rsidRPr="00FD18CC">
        <w:rPr>
          <w:rFonts w:cstheme="minorHAnsi"/>
          <w:sz w:val="16"/>
          <w:szCs w:val="16"/>
        </w:rPr>
        <w:t>Warszawa 2014.</w:t>
      </w:r>
    </w:p>
  </w:footnote>
  <w:footnote w:id="38">
    <w:p w14:paraId="693A9BC8" w14:textId="77777777" w:rsidR="004C3D8E" w:rsidRPr="00FD18CC" w:rsidRDefault="004C3D8E" w:rsidP="001946C8">
      <w:pPr>
        <w:spacing w:after="60" w:line="240" w:lineRule="auto"/>
        <w:jc w:val="both"/>
        <w:rPr>
          <w:rFonts w:cstheme="minorHAnsi"/>
          <w:sz w:val="16"/>
          <w:szCs w:val="16"/>
        </w:rPr>
      </w:pPr>
      <w:r w:rsidRPr="005A2D4F">
        <w:rPr>
          <w:rStyle w:val="Nagwek7Znak"/>
          <w:rFonts w:asciiTheme="minorHAnsi" w:hAnsiTheme="minorHAnsi" w:cstheme="minorHAnsi"/>
          <w:i w:val="0"/>
          <w:iCs w:val="0"/>
          <w:sz w:val="16"/>
          <w:szCs w:val="16"/>
          <w:vertAlign w:val="superscript"/>
        </w:rPr>
        <w:footnoteRef/>
      </w:r>
      <w:r w:rsidRPr="005A2D4F">
        <w:rPr>
          <w:rFonts w:cstheme="minorHAnsi"/>
          <w:i/>
          <w:iCs/>
          <w:color w:val="0070C0"/>
          <w:sz w:val="16"/>
          <w:szCs w:val="16"/>
          <w:vertAlign w:val="superscript"/>
        </w:rPr>
        <w:t xml:space="preserve"> </w:t>
      </w:r>
      <w:r w:rsidRPr="00FD18CC">
        <w:rPr>
          <w:rFonts w:cstheme="minorHAnsi"/>
          <w:i/>
          <w:iCs/>
          <w:sz w:val="16"/>
          <w:szCs w:val="16"/>
        </w:rPr>
        <w:t>Stan zdrowia ludności Polski 2014</w:t>
      </w:r>
      <w:r w:rsidRPr="00FD18CC">
        <w:rPr>
          <w:rFonts w:cstheme="minorHAnsi"/>
          <w:sz w:val="16"/>
          <w:szCs w:val="16"/>
        </w:rPr>
        <w:t>, GUS, Warszawa 2015, s. 71.</w:t>
      </w:r>
    </w:p>
  </w:footnote>
  <w:footnote w:id="39">
    <w:p w14:paraId="0877476A" w14:textId="77777777" w:rsidR="004C3D8E" w:rsidRPr="005A2D4F" w:rsidRDefault="004C3D8E" w:rsidP="001946C8">
      <w:pPr>
        <w:spacing w:after="60" w:line="240" w:lineRule="auto"/>
        <w:jc w:val="both"/>
        <w:rPr>
          <w:sz w:val="16"/>
          <w:szCs w:val="16"/>
        </w:rPr>
      </w:pPr>
      <w:r w:rsidRPr="00C7464B">
        <w:rPr>
          <w:rStyle w:val="Nagwek7Znak"/>
          <w:rFonts w:ascii="Calibri" w:hAnsi="Calibri"/>
          <w:i w:val="0"/>
          <w:iCs w:val="0"/>
          <w:sz w:val="16"/>
          <w:szCs w:val="16"/>
          <w:vertAlign w:val="superscript"/>
        </w:rPr>
        <w:footnoteRef/>
      </w:r>
      <w:r w:rsidRPr="005A2D4F">
        <w:rPr>
          <w:color w:val="0070C0"/>
          <w:sz w:val="16"/>
          <w:szCs w:val="16"/>
        </w:rPr>
        <w:t xml:space="preserve"> </w:t>
      </w:r>
      <w:r w:rsidRPr="005A2D4F">
        <w:rPr>
          <w:i/>
          <w:sz w:val="16"/>
          <w:szCs w:val="16"/>
        </w:rPr>
        <w:t xml:space="preserve">Portret generacji 50+ w Polsce i w Europie Wyniki badania zdrowia, starzenia się i przechodzenia na emeryturę w Europie (SHARE), </w:t>
      </w:r>
      <w:r w:rsidRPr="005A2D4F">
        <w:rPr>
          <w:sz w:val="16"/>
          <w:szCs w:val="16"/>
        </w:rPr>
        <w:t>Warszawa 2014.</w:t>
      </w:r>
    </w:p>
  </w:footnote>
  <w:footnote w:id="40">
    <w:p w14:paraId="62FB555E" w14:textId="77777777" w:rsidR="004C3D8E" w:rsidRPr="005A2D4F" w:rsidRDefault="004C3D8E" w:rsidP="001946C8">
      <w:pPr>
        <w:spacing w:after="60" w:line="240" w:lineRule="auto"/>
        <w:jc w:val="both"/>
        <w:rPr>
          <w:sz w:val="16"/>
          <w:szCs w:val="16"/>
        </w:rPr>
      </w:pPr>
      <w:r w:rsidRPr="00C7464B">
        <w:rPr>
          <w:rStyle w:val="Nagwek7Znak"/>
          <w:rFonts w:ascii="Calibri" w:hAnsi="Calibri"/>
          <w:i w:val="0"/>
          <w:iCs w:val="0"/>
          <w:sz w:val="16"/>
          <w:szCs w:val="16"/>
          <w:vertAlign w:val="superscript"/>
        </w:rPr>
        <w:footnoteRef/>
      </w:r>
      <w:r w:rsidRPr="005A2D4F">
        <w:rPr>
          <w:sz w:val="16"/>
          <w:szCs w:val="16"/>
        </w:rPr>
        <w:t xml:space="preserve"> </w:t>
      </w:r>
      <w:r w:rsidRPr="005A2D4F">
        <w:rPr>
          <w:i/>
          <w:sz w:val="16"/>
          <w:szCs w:val="16"/>
        </w:rPr>
        <w:t xml:space="preserve">Portret generacji 50+ w Polsce i w Europie Wyniki badania zdrowia, starzenia się i przechodzenia na emeryturę w Europie (SHARE), </w:t>
      </w:r>
      <w:r w:rsidRPr="005A2D4F">
        <w:rPr>
          <w:sz w:val="16"/>
          <w:szCs w:val="16"/>
        </w:rPr>
        <w:t>Warszawa 2014.</w:t>
      </w:r>
    </w:p>
  </w:footnote>
  <w:footnote w:id="41">
    <w:p w14:paraId="5F06E943" w14:textId="77777777" w:rsidR="004C3D8E" w:rsidRPr="005A2D4F" w:rsidRDefault="004C3D8E" w:rsidP="001946C8">
      <w:pPr>
        <w:spacing w:after="60" w:line="240" w:lineRule="auto"/>
        <w:jc w:val="both"/>
        <w:rPr>
          <w:sz w:val="16"/>
          <w:szCs w:val="16"/>
        </w:rPr>
      </w:pPr>
      <w:r w:rsidRPr="005A2D4F">
        <w:rPr>
          <w:rStyle w:val="Nagwek7Znak"/>
          <w:rFonts w:ascii="Calibri" w:hAnsi="Calibri"/>
          <w:i w:val="0"/>
          <w:iCs w:val="0"/>
          <w:sz w:val="16"/>
          <w:szCs w:val="16"/>
          <w:vertAlign w:val="superscript"/>
        </w:rPr>
        <w:footnoteRef/>
      </w:r>
      <w:r w:rsidRPr="005A2D4F">
        <w:rPr>
          <w:sz w:val="16"/>
          <w:szCs w:val="16"/>
        </w:rPr>
        <w:t xml:space="preserve"> Projekt został </w:t>
      </w:r>
      <w:r w:rsidRPr="005A2D4F">
        <w:rPr>
          <w:color w:val="000000"/>
          <w:sz w:val="16"/>
          <w:szCs w:val="16"/>
        </w:rPr>
        <w:t xml:space="preserve">zrealizowany w 2015 r. przez Centrum Rozwoju Zasobów Ludzkich z inicjatywy DAE MRPiPS; badania opieki nad osobami starszymi dotyczyły osób w wieku </w:t>
      </w:r>
      <w:r>
        <w:rPr>
          <w:color w:val="000000"/>
          <w:sz w:val="16"/>
          <w:szCs w:val="16"/>
        </w:rPr>
        <w:t xml:space="preserve">co najmniej </w:t>
      </w:r>
      <w:r w:rsidRPr="005A2D4F">
        <w:rPr>
          <w:color w:val="000000"/>
          <w:sz w:val="16"/>
          <w:szCs w:val="16"/>
        </w:rPr>
        <w:t>70 lat faktycznie niesamodzielnych, tj. posiadających obiektywne stwierdzone ograniczenia w codziennym funkcjonowaniu</w:t>
      </w:r>
      <w:r>
        <w:rPr>
          <w:color w:val="000000"/>
          <w:sz w:val="16"/>
          <w:szCs w:val="16"/>
        </w:rPr>
        <w:t>.</w:t>
      </w:r>
    </w:p>
  </w:footnote>
  <w:footnote w:id="42">
    <w:p w14:paraId="272FA1AF" w14:textId="77777777" w:rsidR="004C3D8E" w:rsidRDefault="004C3D8E" w:rsidP="001946C8">
      <w:pPr>
        <w:spacing w:after="60" w:line="240" w:lineRule="auto"/>
        <w:jc w:val="both"/>
      </w:pPr>
      <w:r w:rsidRPr="00FC0400">
        <w:rPr>
          <w:rStyle w:val="Nagwek7Znak"/>
          <w:rFonts w:ascii="Calibri" w:hAnsi="Calibri"/>
          <w:i w:val="0"/>
          <w:iCs w:val="0"/>
          <w:sz w:val="16"/>
          <w:szCs w:val="16"/>
          <w:vertAlign w:val="superscript"/>
        </w:rPr>
        <w:footnoteRef/>
      </w:r>
      <w:r w:rsidRPr="00FC0400">
        <w:rPr>
          <w:sz w:val="16"/>
          <w:szCs w:val="16"/>
        </w:rPr>
        <w:t xml:space="preserve"> </w:t>
      </w:r>
      <w:r>
        <w:rPr>
          <w:i/>
          <w:sz w:val="16"/>
          <w:szCs w:val="16"/>
        </w:rPr>
        <w:t>Pogłębione studium usług opiekuńczych skierowanych do osób starszych. Środowiskowa opieka formalna i nieformalna. Raport z badań</w:t>
      </w:r>
      <w:r>
        <w:rPr>
          <w:sz w:val="16"/>
          <w:szCs w:val="16"/>
        </w:rPr>
        <w:t>. Poznań 2017, s. 14.</w:t>
      </w:r>
    </w:p>
  </w:footnote>
  <w:footnote w:id="43">
    <w:p w14:paraId="695A7117" w14:textId="77777777" w:rsidR="004C3D8E" w:rsidRPr="00F751E2" w:rsidRDefault="004C3D8E" w:rsidP="001946C8">
      <w:pPr>
        <w:pStyle w:val="Tekstprzypisudolnego"/>
        <w:jc w:val="both"/>
        <w:rPr>
          <w:rFonts w:asciiTheme="minorHAnsi" w:hAnsiTheme="minorHAnsi" w:cstheme="minorHAnsi"/>
          <w:sz w:val="16"/>
          <w:szCs w:val="16"/>
        </w:rPr>
      </w:pPr>
      <w:r w:rsidRPr="00F751E2">
        <w:rPr>
          <w:rStyle w:val="Odwoanieprzypisudolnego"/>
          <w:rFonts w:asciiTheme="minorHAnsi" w:hAnsiTheme="minorHAnsi" w:cstheme="minorHAnsi"/>
          <w:color w:val="0070C0"/>
          <w:sz w:val="16"/>
          <w:szCs w:val="16"/>
        </w:rPr>
        <w:footnoteRef/>
      </w:r>
      <w:r w:rsidRPr="00F751E2">
        <w:rPr>
          <w:rFonts w:asciiTheme="minorHAnsi" w:hAnsiTheme="minorHAnsi" w:cstheme="minorHAnsi"/>
          <w:sz w:val="16"/>
          <w:szCs w:val="16"/>
        </w:rPr>
        <w:t xml:space="preserve"> Wykaz i warunki realizacji świadczeń gwarantowanych z zakresu świadczeń opieki długoterminowej zostały zawarte w rozporządzeniu Ministra Zdrowia z dnia 22 listopada 2013 r. </w:t>
      </w:r>
      <w:r w:rsidRPr="00F751E2">
        <w:rPr>
          <w:rFonts w:asciiTheme="minorHAnsi" w:hAnsiTheme="minorHAnsi" w:cstheme="minorHAnsi"/>
          <w:i/>
          <w:iCs/>
          <w:sz w:val="16"/>
          <w:szCs w:val="16"/>
        </w:rPr>
        <w:t xml:space="preserve">w sprawie świadczeń gwarantowanych z zakresu świadczeń pielęgnacyjnych i opiekuńczych w ramach opieki długoterminowej </w:t>
      </w:r>
      <w:r w:rsidRPr="00F751E2">
        <w:rPr>
          <w:rFonts w:asciiTheme="minorHAnsi" w:hAnsiTheme="minorHAnsi" w:cstheme="minorHAnsi"/>
          <w:sz w:val="16"/>
          <w:szCs w:val="16"/>
        </w:rPr>
        <w:t>(Dz.</w:t>
      </w:r>
      <w:r>
        <w:rPr>
          <w:rFonts w:asciiTheme="minorHAnsi" w:hAnsiTheme="minorHAnsi" w:cstheme="minorHAnsi"/>
          <w:sz w:val="16"/>
          <w:szCs w:val="16"/>
        </w:rPr>
        <w:t xml:space="preserve"> </w:t>
      </w:r>
      <w:r w:rsidRPr="00F751E2">
        <w:rPr>
          <w:rFonts w:asciiTheme="minorHAnsi" w:hAnsiTheme="minorHAnsi" w:cstheme="minorHAnsi"/>
          <w:sz w:val="16"/>
          <w:szCs w:val="16"/>
        </w:rPr>
        <w:t>U. z 2015 r. poz. 1658, z późn. zm.).</w:t>
      </w:r>
    </w:p>
  </w:footnote>
  <w:footnote w:id="44">
    <w:p w14:paraId="4DB17A3D" w14:textId="77777777" w:rsidR="004C3D8E" w:rsidRPr="00F751E2" w:rsidRDefault="004C3D8E" w:rsidP="001946C8">
      <w:pPr>
        <w:pStyle w:val="Tekstprzypisudolnego"/>
        <w:jc w:val="both"/>
        <w:rPr>
          <w:sz w:val="16"/>
          <w:szCs w:val="16"/>
        </w:rPr>
      </w:pPr>
      <w:r w:rsidRPr="00F751E2">
        <w:rPr>
          <w:rStyle w:val="Odwoanieprzypisudolnego"/>
          <w:color w:val="0070C0"/>
          <w:sz w:val="16"/>
          <w:szCs w:val="16"/>
        </w:rPr>
        <w:footnoteRef/>
      </w:r>
      <w:r w:rsidRPr="00F751E2">
        <w:rPr>
          <w:sz w:val="16"/>
          <w:szCs w:val="16"/>
        </w:rPr>
        <w:t xml:space="preserve"> Na podstawie m.in. </w:t>
      </w:r>
      <w:r w:rsidRPr="00F751E2">
        <w:rPr>
          <w:sz w:val="16"/>
          <w:szCs w:val="16"/>
          <w:lang w:val="pl" w:eastAsia="pl-PL"/>
        </w:rPr>
        <w:t>definicji WHO i OECD</w:t>
      </w:r>
      <w:r>
        <w:rPr>
          <w:sz w:val="16"/>
          <w:szCs w:val="16"/>
          <w:lang w:val="pl" w:eastAsia="pl-PL"/>
        </w:rPr>
        <w:t>;</w:t>
      </w:r>
      <w:r w:rsidRPr="00F751E2">
        <w:rPr>
          <w:sz w:val="16"/>
          <w:szCs w:val="16"/>
          <w:lang w:val="pl" w:eastAsia="pl-PL"/>
        </w:rPr>
        <w:t xml:space="preserve"> </w:t>
      </w:r>
      <w:r w:rsidRPr="00F751E2">
        <w:rPr>
          <w:i/>
          <w:sz w:val="16"/>
          <w:szCs w:val="16"/>
        </w:rPr>
        <w:t>Stan faktyczny i perspektywy rozwoju opieki długoterminowej w Polsce</w:t>
      </w:r>
      <w:r w:rsidRPr="00F751E2">
        <w:rPr>
          <w:sz w:val="16"/>
          <w:szCs w:val="16"/>
        </w:rPr>
        <w:t xml:space="preserve">, </w:t>
      </w:r>
      <w:r w:rsidRPr="00CF5945">
        <w:rPr>
          <w:sz w:val="16"/>
          <w:szCs w:val="16"/>
        </w:rPr>
        <w:t xml:space="preserve">Ministerstwo Zdrowia, </w:t>
      </w:r>
      <w:r w:rsidRPr="00F751E2">
        <w:rPr>
          <w:sz w:val="16"/>
          <w:szCs w:val="16"/>
        </w:rPr>
        <w:t xml:space="preserve">Warszawa </w:t>
      </w:r>
      <w:r>
        <w:rPr>
          <w:sz w:val="16"/>
          <w:szCs w:val="16"/>
        </w:rPr>
        <w:t>2012,</w:t>
      </w:r>
      <w:r w:rsidRPr="00F751E2">
        <w:rPr>
          <w:sz w:val="16"/>
          <w:szCs w:val="16"/>
        </w:rPr>
        <w:t xml:space="preserve"> </w:t>
      </w:r>
      <w:hyperlink r:id="rId4">
        <w:r w:rsidRPr="00F751E2">
          <w:rPr>
            <w:color w:val="1155CC"/>
            <w:sz w:val="16"/>
            <w:szCs w:val="16"/>
            <w:u w:val="single"/>
          </w:rPr>
          <w:t>http://oipip.opole.pl/wp-content/uploads/2014/04/pod_strategia.pdf</w:t>
        </w:r>
      </w:hyperlink>
      <w:r w:rsidRPr="00F751E2">
        <w:rPr>
          <w:sz w:val="16"/>
          <w:szCs w:val="16"/>
        </w:rPr>
        <w:t>.</w:t>
      </w:r>
    </w:p>
  </w:footnote>
  <w:footnote w:id="45">
    <w:p w14:paraId="2CAB4BCE" w14:textId="77777777" w:rsidR="004C3D8E" w:rsidRPr="00C7464B" w:rsidRDefault="004C3D8E" w:rsidP="001946C8">
      <w:pPr>
        <w:spacing w:after="60" w:line="240" w:lineRule="auto"/>
        <w:jc w:val="both"/>
        <w:rPr>
          <w:sz w:val="16"/>
          <w:szCs w:val="16"/>
        </w:rPr>
      </w:pPr>
      <w:r w:rsidRPr="00C7464B">
        <w:rPr>
          <w:rStyle w:val="Nagwek7Znak"/>
          <w:rFonts w:ascii="Calibri" w:hAnsi="Calibri"/>
          <w:i w:val="0"/>
          <w:iCs w:val="0"/>
          <w:sz w:val="16"/>
          <w:szCs w:val="16"/>
          <w:vertAlign w:val="superscript"/>
        </w:rPr>
        <w:footnoteRef/>
      </w:r>
      <w:r w:rsidRPr="00C7464B">
        <w:rPr>
          <w:sz w:val="16"/>
          <w:szCs w:val="16"/>
        </w:rPr>
        <w:t xml:space="preserve"> Mitek A., </w:t>
      </w:r>
      <w:r w:rsidRPr="00C7464B">
        <w:rPr>
          <w:i/>
          <w:sz w:val="16"/>
          <w:szCs w:val="16"/>
        </w:rPr>
        <w:t>Wpływ zróżnicowania województw na finansowanie opieki długoterminowej w Polsce</w:t>
      </w:r>
      <w:r w:rsidRPr="00C7464B">
        <w:rPr>
          <w:sz w:val="16"/>
          <w:szCs w:val="16"/>
        </w:rPr>
        <w:t>, Zes</w:t>
      </w:r>
      <w:r w:rsidRPr="00C7464B">
        <w:rPr>
          <w:i/>
          <w:sz w:val="16"/>
          <w:szCs w:val="16"/>
        </w:rPr>
        <w:t>zyty Naukowe Uniwersytetu Szczecińskiego. Finanse Rynki finansowe, Ubezpieczenia</w:t>
      </w:r>
      <w:r w:rsidRPr="00C7464B">
        <w:rPr>
          <w:sz w:val="16"/>
          <w:szCs w:val="16"/>
        </w:rPr>
        <w:t xml:space="preserve"> 2014, nr 67, s. 992.</w:t>
      </w:r>
    </w:p>
  </w:footnote>
  <w:footnote w:id="46">
    <w:p w14:paraId="4287E8EA" w14:textId="77777777" w:rsidR="004C3D8E" w:rsidRPr="00F751E2" w:rsidRDefault="004C3D8E" w:rsidP="001946C8">
      <w:pPr>
        <w:pStyle w:val="Tekstprzypisudolnego"/>
        <w:spacing w:after="60"/>
        <w:rPr>
          <w:sz w:val="16"/>
          <w:szCs w:val="16"/>
        </w:rPr>
      </w:pPr>
      <w:r w:rsidRPr="00F751E2">
        <w:rPr>
          <w:rStyle w:val="Odwoanieprzypisudolnego"/>
          <w:color w:val="0070C0"/>
          <w:sz w:val="16"/>
          <w:szCs w:val="16"/>
        </w:rPr>
        <w:footnoteRef/>
      </w:r>
      <w:r w:rsidRPr="00F751E2">
        <w:rPr>
          <w:color w:val="0070C0"/>
          <w:sz w:val="16"/>
          <w:szCs w:val="16"/>
        </w:rPr>
        <w:t xml:space="preserve"> </w:t>
      </w:r>
      <w:r w:rsidRPr="00F751E2">
        <w:rPr>
          <w:sz w:val="16"/>
          <w:szCs w:val="16"/>
        </w:rPr>
        <w:t>W wyniku ewaluacji pilotażu zwiększono liczbę miejsc w DDOM maksymalnie do 25 miejsc.</w:t>
      </w:r>
    </w:p>
  </w:footnote>
  <w:footnote w:id="47">
    <w:p w14:paraId="72FF32FE" w14:textId="77777777" w:rsidR="004C3D8E" w:rsidRPr="006974D8" w:rsidRDefault="004C3D8E" w:rsidP="001946C8">
      <w:pPr>
        <w:spacing w:after="60" w:line="240" w:lineRule="auto"/>
        <w:jc w:val="both"/>
        <w:rPr>
          <w:sz w:val="16"/>
          <w:szCs w:val="16"/>
        </w:rPr>
      </w:pPr>
      <w:r w:rsidRPr="00F751E2">
        <w:rPr>
          <w:rStyle w:val="Nagwek7Znak"/>
          <w:rFonts w:ascii="Calibri" w:hAnsi="Calibri"/>
          <w:i w:val="0"/>
          <w:iCs w:val="0"/>
          <w:sz w:val="16"/>
          <w:szCs w:val="16"/>
          <w:vertAlign w:val="superscript"/>
        </w:rPr>
        <w:footnoteRef/>
      </w:r>
      <w:r w:rsidRPr="006974D8">
        <w:rPr>
          <w:sz w:val="16"/>
          <w:szCs w:val="16"/>
        </w:rPr>
        <w:t xml:space="preserve"> Na zasadach określonych w przepisach ustawy z dnia 27 sierpnia 2004 r. </w:t>
      </w:r>
      <w:r w:rsidRPr="006974D8">
        <w:rPr>
          <w:i/>
          <w:sz w:val="16"/>
          <w:szCs w:val="16"/>
        </w:rPr>
        <w:t>o świadczeniach opieki zdrowotnej finansowanych ze środków publicznych</w:t>
      </w:r>
      <w:r w:rsidRPr="006974D8">
        <w:rPr>
          <w:sz w:val="16"/>
          <w:szCs w:val="16"/>
        </w:rPr>
        <w:t xml:space="preserve"> (Dz. U. z 2019 r. poz. 1373, z późn. zm.).</w:t>
      </w:r>
    </w:p>
  </w:footnote>
  <w:footnote w:id="48">
    <w:p w14:paraId="4354403F" w14:textId="77777777" w:rsidR="004C3D8E" w:rsidRPr="006974D8" w:rsidRDefault="004C3D8E" w:rsidP="001946C8">
      <w:pPr>
        <w:spacing w:after="60"/>
        <w:rPr>
          <w:sz w:val="16"/>
          <w:szCs w:val="16"/>
        </w:rPr>
      </w:pPr>
      <w:r w:rsidRPr="00F751E2">
        <w:rPr>
          <w:rStyle w:val="Nagwek7Znak"/>
          <w:rFonts w:ascii="Calibri" w:hAnsi="Calibri"/>
          <w:i w:val="0"/>
          <w:iCs w:val="0"/>
          <w:sz w:val="16"/>
          <w:szCs w:val="16"/>
          <w:vertAlign w:val="superscript"/>
        </w:rPr>
        <w:footnoteRef/>
      </w:r>
      <w:r w:rsidRPr="00F751E2">
        <w:rPr>
          <w:i/>
          <w:color w:val="0070C0"/>
          <w:sz w:val="16"/>
          <w:szCs w:val="16"/>
        </w:rPr>
        <w:t xml:space="preserve"> </w:t>
      </w:r>
      <w:r w:rsidRPr="006974D8">
        <w:rPr>
          <w:sz w:val="16"/>
          <w:szCs w:val="16"/>
        </w:rPr>
        <w:t xml:space="preserve">Zgodnie z § 3 ust. 1 i 2 rozporządzenia Ministra Zdrowia z dnia 29 października 2013 r. </w:t>
      </w:r>
      <w:r w:rsidRPr="006974D8">
        <w:rPr>
          <w:i/>
          <w:sz w:val="16"/>
          <w:szCs w:val="16"/>
        </w:rPr>
        <w:t>w sprawie świadczeń gwarantowanych z zakresu opieki paliatywnej i hospicyjnej</w:t>
      </w:r>
      <w:r w:rsidRPr="006974D8">
        <w:rPr>
          <w:sz w:val="16"/>
          <w:szCs w:val="16"/>
        </w:rPr>
        <w:t xml:space="preserve"> (Dz.U. z 2018 r. poz. 742</w:t>
      </w:r>
      <w:r>
        <w:rPr>
          <w:sz w:val="16"/>
          <w:szCs w:val="16"/>
        </w:rPr>
        <w:t>, z późn. zm.</w:t>
      </w:r>
      <w:r w:rsidRPr="006974D8">
        <w:rPr>
          <w:sz w:val="16"/>
          <w:szCs w:val="16"/>
        </w:rPr>
        <w:t>).</w:t>
      </w:r>
    </w:p>
  </w:footnote>
  <w:footnote w:id="49">
    <w:p w14:paraId="1231820A" w14:textId="77777777" w:rsidR="004C3D8E" w:rsidRPr="00670CA1" w:rsidRDefault="004C3D8E" w:rsidP="001946C8">
      <w:pPr>
        <w:spacing w:after="60" w:line="240" w:lineRule="auto"/>
        <w:jc w:val="both"/>
        <w:rPr>
          <w:sz w:val="16"/>
          <w:szCs w:val="16"/>
        </w:rPr>
      </w:pPr>
      <w:r w:rsidRPr="00C7464B">
        <w:rPr>
          <w:rStyle w:val="Nagwek7Znak"/>
          <w:rFonts w:ascii="Calibri" w:hAnsi="Calibri"/>
          <w:i w:val="0"/>
          <w:iCs w:val="0"/>
          <w:sz w:val="16"/>
          <w:szCs w:val="16"/>
          <w:vertAlign w:val="superscript"/>
        </w:rPr>
        <w:footnoteRef/>
      </w:r>
      <w:r w:rsidRPr="00C7464B">
        <w:rPr>
          <w:i/>
          <w:iCs/>
          <w:sz w:val="16"/>
          <w:szCs w:val="16"/>
        </w:rPr>
        <w:t xml:space="preserve"> </w:t>
      </w:r>
      <w:r w:rsidRPr="00670CA1">
        <w:rPr>
          <w:i/>
          <w:sz w:val="16"/>
          <w:szCs w:val="16"/>
        </w:rPr>
        <w:t>Pogłębione studium usług opiekuńczych skierowanych do osób starszych. Środowiskowa opieka formalna i nieformalna. Raport z badań</w:t>
      </w:r>
      <w:r w:rsidRPr="00670CA1">
        <w:rPr>
          <w:sz w:val="16"/>
          <w:szCs w:val="16"/>
        </w:rPr>
        <w:t>. Poznań 2017, s. 21.</w:t>
      </w:r>
    </w:p>
  </w:footnote>
  <w:footnote w:id="50">
    <w:p w14:paraId="1056623F" w14:textId="77777777" w:rsidR="004C3D8E" w:rsidRPr="00670CA1" w:rsidRDefault="004C3D8E" w:rsidP="001946C8">
      <w:pPr>
        <w:spacing w:after="60" w:line="240" w:lineRule="auto"/>
        <w:jc w:val="both"/>
        <w:rPr>
          <w:sz w:val="16"/>
          <w:szCs w:val="16"/>
        </w:rPr>
      </w:pPr>
      <w:r w:rsidRPr="00C7464B">
        <w:rPr>
          <w:rStyle w:val="Nagwek7Znak"/>
          <w:rFonts w:ascii="Calibri" w:hAnsi="Calibri"/>
          <w:i w:val="0"/>
          <w:iCs w:val="0"/>
          <w:sz w:val="16"/>
          <w:szCs w:val="16"/>
          <w:vertAlign w:val="superscript"/>
        </w:rPr>
        <w:footnoteRef/>
      </w:r>
      <w:r w:rsidRPr="00670CA1">
        <w:rPr>
          <w:sz w:val="16"/>
          <w:szCs w:val="16"/>
        </w:rPr>
        <w:t xml:space="preserve"> Rosochacka-Gmitrzak M., </w:t>
      </w:r>
      <w:r w:rsidRPr="00670CA1">
        <w:rPr>
          <w:i/>
          <w:sz w:val="16"/>
          <w:szCs w:val="16"/>
        </w:rPr>
        <w:t>Wsparcie opiekunów nieformalnych – w stronę równowagi społecznych oczekiwań i opiekuńczych możliwości rodzin</w:t>
      </w:r>
      <w:r w:rsidRPr="00670CA1">
        <w:rPr>
          <w:sz w:val="16"/>
          <w:szCs w:val="16"/>
        </w:rPr>
        <w:t xml:space="preserve">, [w:] Racław M. (red.), </w:t>
      </w:r>
      <w:r w:rsidRPr="00670CA1">
        <w:rPr>
          <w:i/>
          <w:sz w:val="16"/>
          <w:szCs w:val="16"/>
        </w:rPr>
        <w:t>Publiczna troska, prywatna opieka. Społeczności lokalne wobec osób starszych</w:t>
      </w:r>
      <w:r w:rsidRPr="00670CA1">
        <w:rPr>
          <w:sz w:val="16"/>
          <w:szCs w:val="16"/>
        </w:rPr>
        <w:t>, Instytut Spraw Publicznych, Warszawa 2011, s. 140.</w:t>
      </w:r>
    </w:p>
  </w:footnote>
  <w:footnote w:id="51">
    <w:p w14:paraId="5D03CF98" w14:textId="77777777" w:rsidR="004C3D8E" w:rsidRPr="00670CA1" w:rsidRDefault="004C3D8E" w:rsidP="001946C8">
      <w:pPr>
        <w:spacing w:after="60" w:line="240" w:lineRule="auto"/>
        <w:jc w:val="both"/>
        <w:rPr>
          <w:sz w:val="16"/>
          <w:szCs w:val="16"/>
        </w:rPr>
      </w:pPr>
      <w:r w:rsidRPr="00C7464B">
        <w:rPr>
          <w:rStyle w:val="Nagwek7Znak"/>
          <w:rFonts w:ascii="Calibri" w:hAnsi="Calibri"/>
          <w:i w:val="0"/>
          <w:iCs w:val="0"/>
          <w:sz w:val="16"/>
          <w:szCs w:val="16"/>
          <w:vertAlign w:val="superscript"/>
        </w:rPr>
        <w:footnoteRef/>
      </w:r>
      <w:r w:rsidRPr="00C7464B">
        <w:rPr>
          <w:i/>
          <w:iCs/>
          <w:color w:val="0070C0"/>
          <w:sz w:val="16"/>
          <w:szCs w:val="16"/>
          <w:vertAlign w:val="superscript"/>
        </w:rPr>
        <w:t xml:space="preserve"> </w:t>
      </w:r>
      <w:r w:rsidRPr="00670CA1">
        <w:rPr>
          <w:i/>
          <w:sz w:val="16"/>
          <w:szCs w:val="16"/>
        </w:rPr>
        <w:t xml:space="preserve">Założenia Długofalowej Polityki Senioralnej w Polsce na lata 2014-2020, s. 21, </w:t>
      </w:r>
      <w:r w:rsidRPr="00670CA1">
        <w:rPr>
          <w:sz w:val="16"/>
          <w:szCs w:val="16"/>
        </w:rPr>
        <w:t>Załącznik do uchwały nr 238 Rady Ministrów z dnia 24 grudnia 2013 r. (Dz. U. z 2014 r. poz. 118).</w:t>
      </w:r>
    </w:p>
  </w:footnote>
  <w:footnote w:id="52">
    <w:p w14:paraId="763FE9B6" w14:textId="77777777" w:rsidR="004C3D8E" w:rsidRPr="00670CA1" w:rsidRDefault="004C3D8E" w:rsidP="001946C8">
      <w:pPr>
        <w:spacing w:after="60" w:line="240" w:lineRule="auto"/>
        <w:jc w:val="both"/>
        <w:rPr>
          <w:sz w:val="16"/>
          <w:szCs w:val="16"/>
        </w:rPr>
      </w:pPr>
      <w:r w:rsidRPr="00C7464B">
        <w:rPr>
          <w:rStyle w:val="Nagwek7Znak"/>
          <w:rFonts w:ascii="Calibri" w:hAnsi="Calibri"/>
          <w:i w:val="0"/>
          <w:iCs w:val="0"/>
          <w:sz w:val="16"/>
          <w:szCs w:val="16"/>
          <w:vertAlign w:val="superscript"/>
        </w:rPr>
        <w:footnoteRef/>
      </w:r>
      <w:r w:rsidRPr="00670CA1">
        <w:rPr>
          <w:sz w:val="16"/>
          <w:szCs w:val="16"/>
        </w:rPr>
        <w:t xml:space="preserve"> Wytyczne w zakresie realizacji przedsięwzięć w obszarze włączenia społecznego i zwalczani ubóstwa z wykorzystaniem środków Europejskiej Funduszu Społecznego i Europejskiego Funduszu Rozwoju Regionalnego na lata 2014-2020 z 24 października 2015r., s. 8.</w:t>
      </w:r>
    </w:p>
  </w:footnote>
  <w:footnote w:id="53">
    <w:p w14:paraId="0CF5CFC0" w14:textId="77777777" w:rsidR="004C3D8E" w:rsidRPr="00670CA1" w:rsidRDefault="004C3D8E" w:rsidP="001946C8">
      <w:pPr>
        <w:spacing w:after="60" w:line="240" w:lineRule="auto"/>
        <w:jc w:val="both"/>
        <w:rPr>
          <w:sz w:val="16"/>
          <w:szCs w:val="16"/>
        </w:rPr>
      </w:pPr>
      <w:r w:rsidRPr="00C7464B">
        <w:rPr>
          <w:rStyle w:val="Nagwek7Znak"/>
          <w:rFonts w:ascii="Calibri" w:hAnsi="Calibri"/>
          <w:i w:val="0"/>
          <w:iCs w:val="0"/>
          <w:sz w:val="16"/>
          <w:szCs w:val="16"/>
          <w:vertAlign w:val="superscript"/>
        </w:rPr>
        <w:footnoteRef/>
      </w:r>
      <w:r w:rsidRPr="00C7464B">
        <w:rPr>
          <w:i/>
          <w:iCs/>
          <w:color w:val="0070C0"/>
          <w:sz w:val="16"/>
          <w:szCs w:val="16"/>
        </w:rPr>
        <w:t xml:space="preserve"> </w:t>
      </w:r>
      <w:r w:rsidRPr="00670CA1">
        <w:rPr>
          <w:sz w:val="16"/>
          <w:szCs w:val="16"/>
        </w:rPr>
        <w:t xml:space="preserve">Zgodnie z art. 23 i 87 ustawy z dnia 25 lutego 1964 r. – </w:t>
      </w:r>
      <w:r w:rsidRPr="00670CA1">
        <w:rPr>
          <w:i/>
          <w:iCs/>
          <w:sz w:val="16"/>
          <w:szCs w:val="16"/>
        </w:rPr>
        <w:t xml:space="preserve">Kodeks rodzinny i opiekuńczy </w:t>
      </w:r>
      <w:r w:rsidRPr="00670CA1">
        <w:rPr>
          <w:sz w:val="16"/>
          <w:szCs w:val="16"/>
        </w:rPr>
        <w:t>(Dz.U. z 2019 r. poz. 2086 i 2028)</w:t>
      </w:r>
    </w:p>
  </w:footnote>
  <w:footnote w:id="54">
    <w:p w14:paraId="4D2FAA21" w14:textId="77777777" w:rsidR="004C3D8E" w:rsidRPr="00670CA1" w:rsidRDefault="004C3D8E" w:rsidP="001946C8">
      <w:pPr>
        <w:spacing w:after="60" w:line="240" w:lineRule="auto"/>
        <w:jc w:val="both"/>
        <w:rPr>
          <w:sz w:val="16"/>
          <w:szCs w:val="16"/>
        </w:rPr>
      </w:pPr>
      <w:r w:rsidRPr="00C7464B">
        <w:rPr>
          <w:rStyle w:val="Nagwek7Znak"/>
          <w:rFonts w:ascii="Calibri" w:hAnsi="Calibri"/>
          <w:i w:val="0"/>
          <w:iCs w:val="0"/>
          <w:sz w:val="16"/>
          <w:szCs w:val="16"/>
          <w:vertAlign w:val="superscript"/>
        </w:rPr>
        <w:footnoteRef/>
      </w:r>
      <w:r w:rsidRPr="00C7464B">
        <w:rPr>
          <w:i/>
          <w:iCs/>
          <w:color w:val="0070C0"/>
          <w:sz w:val="16"/>
          <w:szCs w:val="16"/>
        </w:rPr>
        <w:t xml:space="preserve"> </w:t>
      </w:r>
      <w:r w:rsidRPr="00670CA1">
        <w:rPr>
          <w:sz w:val="16"/>
          <w:szCs w:val="16"/>
        </w:rPr>
        <w:t xml:space="preserve">Zgodnie z art. 1008 ustawy z dnia 23 kwietnia 1964 r. – Kodeks Cywilny </w:t>
      </w:r>
      <w:r w:rsidRPr="00FC0400">
        <w:rPr>
          <w:sz w:val="16"/>
          <w:szCs w:val="16"/>
        </w:rPr>
        <w:t>(Dz.U. z 2019 r. poz. 1145</w:t>
      </w:r>
      <w:r>
        <w:rPr>
          <w:sz w:val="16"/>
          <w:szCs w:val="16"/>
        </w:rPr>
        <w:t xml:space="preserve"> i 1419</w:t>
      </w:r>
      <w:r w:rsidRPr="00FC0400">
        <w:rPr>
          <w:sz w:val="16"/>
          <w:szCs w:val="16"/>
        </w:rPr>
        <w:t>)</w:t>
      </w:r>
    </w:p>
  </w:footnote>
  <w:footnote w:id="55">
    <w:p w14:paraId="389E825D" w14:textId="77777777" w:rsidR="004C3D8E" w:rsidRPr="00670CA1" w:rsidRDefault="004C3D8E" w:rsidP="001946C8">
      <w:pPr>
        <w:spacing w:after="60" w:line="240" w:lineRule="auto"/>
        <w:jc w:val="both"/>
        <w:rPr>
          <w:sz w:val="16"/>
          <w:szCs w:val="16"/>
        </w:rPr>
      </w:pPr>
      <w:r w:rsidRPr="00C7464B">
        <w:rPr>
          <w:rStyle w:val="Nagwek7Znak"/>
          <w:rFonts w:ascii="Calibri" w:hAnsi="Calibri"/>
          <w:i w:val="0"/>
          <w:iCs w:val="0"/>
          <w:sz w:val="16"/>
          <w:szCs w:val="16"/>
          <w:vertAlign w:val="superscript"/>
        </w:rPr>
        <w:footnoteRef/>
      </w:r>
      <w:r w:rsidRPr="00C7464B">
        <w:rPr>
          <w:rStyle w:val="Nagwek7Znak"/>
          <w:i w:val="0"/>
          <w:iCs w:val="0"/>
          <w:sz w:val="16"/>
          <w:szCs w:val="16"/>
          <w:vertAlign w:val="superscript"/>
        </w:rPr>
        <w:t xml:space="preserve"> </w:t>
      </w:r>
      <w:r w:rsidRPr="00670CA1">
        <w:rPr>
          <w:rFonts w:cs="Calibri"/>
          <w:i/>
          <w:sz w:val="16"/>
          <w:szCs w:val="16"/>
        </w:rPr>
        <w:t>Stan obecny i przyszłość opieki długoterminowej w starzejącej się Polsce</w:t>
      </w:r>
      <w:r w:rsidRPr="00670CA1">
        <w:rPr>
          <w:rFonts w:cs="Calibri"/>
          <w:sz w:val="16"/>
          <w:szCs w:val="16"/>
        </w:rPr>
        <w:t xml:space="preserve">, </w:t>
      </w:r>
      <w:r w:rsidRPr="00670CA1">
        <w:rPr>
          <w:rFonts w:cs="Calibri"/>
          <w:i/>
          <w:sz w:val="16"/>
          <w:szCs w:val="16"/>
        </w:rPr>
        <w:t>Uwagi na potrzeby opracowania polityki dotyczącej opieki długoterminowej</w:t>
      </w:r>
      <w:r w:rsidRPr="00670CA1">
        <w:rPr>
          <w:rFonts w:cs="Calibri"/>
          <w:sz w:val="16"/>
          <w:szCs w:val="16"/>
        </w:rPr>
        <w:t>, Bank Światowy, 2015, s. 1</w:t>
      </w:r>
      <w:r w:rsidRPr="00670CA1">
        <w:rPr>
          <w:rFonts w:cs="Calibri"/>
          <w:i/>
          <w:sz w:val="16"/>
          <w:szCs w:val="16"/>
        </w:rPr>
        <w:t xml:space="preserve"> </w:t>
      </w:r>
      <w:r w:rsidRPr="00670CA1">
        <w:rPr>
          <w:rFonts w:cs="Calibri"/>
          <w:sz w:val="16"/>
          <w:szCs w:val="16"/>
        </w:rPr>
        <w:t>n</w:t>
      </w:r>
      <w:r w:rsidRPr="00670CA1">
        <w:rPr>
          <w:sz w:val="16"/>
          <w:szCs w:val="16"/>
        </w:rPr>
        <w:t xml:space="preserve">a podstawie: </w:t>
      </w:r>
      <w:r w:rsidRPr="00670CA1">
        <w:rPr>
          <w:rFonts w:cs="Calibri"/>
          <w:i/>
          <w:color w:val="000000"/>
          <w:sz w:val="16"/>
          <w:szCs w:val="16"/>
          <w:shd w:val="clear" w:color="auto" w:fill="FFFFFF"/>
        </w:rPr>
        <w:t>Long-Term Care for the Elderly in Poland</w:t>
      </w:r>
      <w:r w:rsidRPr="00670CA1">
        <w:rPr>
          <w:rFonts w:cs="Calibri"/>
          <w:color w:val="000000"/>
          <w:sz w:val="16"/>
          <w:szCs w:val="16"/>
          <w:shd w:val="clear" w:color="auto" w:fill="FFFFFF"/>
        </w:rPr>
        <w:t xml:space="preserve">, </w:t>
      </w:r>
      <w:r w:rsidRPr="00670CA1">
        <w:rPr>
          <w:rFonts w:cs="Calibri"/>
          <w:sz w:val="16"/>
          <w:szCs w:val="16"/>
        </w:rPr>
        <w:t xml:space="preserve">Łuczak P., </w:t>
      </w:r>
      <w:r w:rsidRPr="00670CA1">
        <w:rPr>
          <w:rFonts w:cs="Calibri"/>
          <w:color w:val="000000"/>
          <w:sz w:val="16"/>
          <w:szCs w:val="16"/>
          <w:shd w:val="clear" w:color="auto" w:fill="FFFFFF"/>
        </w:rPr>
        <w:t xml:space="preserve">Wydawnictwo Uniwersytetu Ekonomicznego w Poznaniu, Poznań </w:t>
      </w:r>
      <w:r w:rsidRPr="00670CA1">
        <w:rPr>
          <w:rFonts w:cs="Calibri"/>
          <w:sz w:val="16"/>
          <w:szCs w:val="16"/>
        </w:rPr>
        <w:t>2013.</w:t>
      </w:r>
    </w:p>
  </w:footnote>
  <w:footnote w:id="56">
    <w:p w14:paraId="33FC037A" w14:textId="77777777" w:rsidR="004C3D8E" w:rsidRPr="00670CA1" w:rsidRDefault="004C3D8E" w:rsidP="001946C8">
      <w:pPr>
        <w:spacing w:after="60" w:line="240" w:lineRule="auto"/>
        <w:jc w:val="both"/>
        <w:rPr>
          <w:sz w:val="16"/>
          <w:szCs w:val="16"/>
        </w:rPr>
      </w:pPr>
      <w:r w:rsidRPr="00C7464B">
        <w:rPr>
          <w:rStyle w:val="Nagwek7Znak"/>
          <w:rFonts w:ascii="Calibri" w:hAnsi="Calibri"/>
          <w:i w:val="0"/>
          <w:iCs w:val="0"/>
          <w:sz w:val="16"/>
          <w:szCs w:val="16"/>
          <w:vertAlign w:val="superscript"/>
        </w:rPr>
        <w:footnoteRef/>
      </w:r>
      <w:r w:rsidRPr="00670CA1">
        <w:rPr>
          <w:sz w:val="16"/>
          <w:szCs w:val="16"/>
        </w:rPr>
        <w:t xml:space="preserve"> </w:t>
      </w:r>
      <w:r w:rsidRPr="00670CA1">
        <w:rPr>
          <w:i/>
          <w:sz w:val="16"/>
          <w:szCs w:val="16"/>
        </w:rPr>
        <w:t>Services for Supporting Family Carers of Older Dependent People in Europe: Characteristics, Coverage and Usage, The Trans-European Survey Report</w:t>
      </w:r>
      <w:r w:rsidRPr="00670CA1">
        <w:rPr>
          <w:sz w:val="16"/>
          <w:szCs w:val="16"/>
        </w:rPr>
        <w:t>, Eurofamcare 2006 – przeprowadzonym badaniu przyjęto definicję opiekuna rodzinnego jako osobę, która świadczyła opiekę i pomoc swojemu krewnemu w wieku 65 lat lub starszemu przez przynajmniej 4 godziny w tygodniu, niezależnie od poziomu niesprawności (psychicznej i/lub fizycznej) podopiecznego.</w:t>
      </w:r>
    </w:p>
  </w:footnote>
  <w:footnote w:id="57">
    <w:p w14:paraId="661E230E" w14:textId="77777777" w:rsidR="004C3D8E" w:rsidRPr="00846257" w:rsidRDefault="004C3D8E" w:rsidP="001946C8">
      <w:pPr>
        <w:spacing w:after="60" w:line="240" w:lineRule="auto"/>
        <w:jc w:val="both"/>
        <w:rPr>
          <w:sz w:val="16"/>
          <w:szCs w:val="16"/>
        </w:rPr>
      </w:pPr>
      <w:r w:rsidRPr="00C7464B">
        <w:rPr>
          <w:rStyle w:val="Nagwek7Znak"/>
          <w:rFonts w:ascii="Calibri" w:hAnsi="Calibri"/>
          <w:i w:val="0"/>
          <w:iCs w:val="0"/>
          <w:sz w:val="16"/>
          <w:szCs w:val="16"/>
          <w:vertAlign w:val="superscript"/>
        </w:rPr>
        <w:footnoteRef/>
      </w:r>
      <w:r w:rsidRPr="00846257">
        <w:rPr>
          <w:rStyle w:val="Nagwek7Znak"/>
          <w:sz w:val="16"/>
          <w:szCs w:val="16"/>
          <w:vertAlign w:val="superscript"/>
        </w:rPr>
        <w:t xml:space="preserve"> </w:t>
      </w:r>
      <w:r w:rsidRPr="00846257">
        <w:rPr>
          <w:rFonts w:cs="Calibri"/>
          <w:i/>
          <w:sz w:val="16"/>
          <w:szCs w:val="16"/>
        </w:rPr>
        <w:t>Stan obecny i przyszłość opieki długoterminowej w starzejącej się Polsce</w:t>
      </w:r>
      <w:r w:rsidRPr="00846257">
        <w:rPr>
          <w:rFonts w:cs="Calibri"/>
          <w:sz w:val="16"/>
          <w:szCs w:val="16"/>
        </w:rPr>
        <w:t xml:space="preserve">, </w:t>
      </w:r>
      <w:r w:rsidRPr="00846257">
        <w:rPr>
          <w:rFonts w:cs="Calibri"/>
          <w:i/>
          <w:sz w:val="16"/>
          <w:szCs w:val="16"/>
        </w:rPr>
        <w:t>Uwagi na potrzeby opracowania polityki dotyczącej opieki długoterminowej</w:t>
      </w:r>
      <w:r w:rsidRPr="00846257">
        <w:rPr>
          <w:rFonts w:cs="Calibri"/>
          <w:sz w:val="16"/>
          <w:szCs w:val="16"/>
        </w:rPr>
        <w:t>, Bank Światowy, 2015, s. 15 i 43.</w:t>
      </w:r>
    </w:p>
  </w:footnote>
  <w:footnote w:id="58">
    <w:p w14:paraId="2D33B1B8" w14:textId="77777777" w:rsidR="004C3D8E" w:rsidRPr="00846257" w:rsidRDefault="004C3D8E" w:rsidP="001946C8">
      <w:pPr>
        <w:spacing w:after="60" w:line="240" w:lineRule="auto"/>
        <w:jc w:val="both"/>
        <w:rPr>
          <w:sz w:val="16"/>
          <w:szCs w:val="16"/>
        </w:rPr>
      </w:pPr>
      <w:r w:rsidRPr="00C7464B">
        <w:rPr>
          <w:rStyle w:val="Nagwek7Znak"/>
          <w:rFonts w:ascii="Calibri" w:hAnsi="Calibri"/>
          <w:i w:val="0"/>
          <w:iCs w:val="0"/>
          <w:sz w:val="16"/>
          <w:szCs w:val="16"/>
          <w:vertAlign w:val="superscript"/>
        </w:rPr>
        <w:footnoteRef/>
      </w:r>
      <w:r w:rsidRPr="00C7464B">
        <w:rPr>
          <w:i/>
          <w:iCs/>
          <w:sz w:val="16"/>
          <w:szCs w:val="16"/>
        </w:rPr>
        <w:t xml:space="preserve"> </w:t>
      </w:r>
      <w:r w:rsidRPr="00846257">
        <w:rPr>
          <w:i/>
          <w:iCs/>
          <w:sz w:val="16"/>
          <w:szCs w:val="16"/>
        </w:rPr>
        <w:t>Jakość życia starszych opiekunów nieformalnych osób przewlekle chorych w opiece domowej</w:t>
      </w:r>
      <w:r w:rsidRPr="00846257">
        <w:rPr>
          <w:sz w:val="16"/>
          <w:szCs w:val="16"/>
        </w:rPr>
        <w:t>, Kachaniuk H., Bartoszek A., Ślusarska B., Nowicki G., Kocka K., Deluga A., Piasecka K., [w:] Geriatria 2018, nr 12, s. 81.</w:t>
      </w:r>
    </w:p>
  </w:footnote>
  <w:footnote w:id="59">
    <w:p w14:paraId="3335AD52" w14:textId="77777777" w:rsidR="004C3D8E" w:rsidRPr="007D6564" w:rsidRDefault="004C3D8E" w:rsidP="001946C8">
      <w:pPr>
        <w:spacing w:after="60" w:line="240" w:lineRule="auto"/>
        <w:jc w:val="both"/>
        <w:rPr>
          <w:sz w:val="16"/>
          <w:szCs w:val="16"/>
          <w:lang w:val="en-US"/>
        </w:rPr>
      </w:pPr>
      <w:r w:rsidRPr="00C7464B">
        <w:rPr>
          <w:rStyle w:val="Nagwek7Znak"/>
          <w:rFonts w:ascii="Calibri" w:hAnsi="Calibri"/>
          <w:i w:val="0"/>
          <w:iCs w:val="0"/>
          <w:sz w:val="16"/>
          <w:szCs w:val="16"/>
          <w:vertAlign w:val="superscript"/>
        </w:rPr>
        <w:footnoteRef/>
      </w:r>
      <w:r w:rsidRPr="00FC0400">
        <w:rPr>
          <w:sz w:val="16"/>
          <w:szCs w:val="16"/>
          <w:lang w:val="en-GB"/>
        </w:rPr>
        <w:t xml:space="preserve"> </w:t>
      </w:r>
      <w:r w:rsidRPr="00846257">
        <w:rPr>
          <w:i/>
          <w:sz w:val="16"/>
          <w:szCs w:val="16"/>
          <w:lang w:val="en-GB"/>
        </w:rPr>
        <w:t>Services for Supporting Family Carers of Older Dependent People in Europe: Characteristics, Coverage and Usage, The Trans-European Survey Report</w:t>
      </w:r>
      <w:r w:rsidRPr="00846257">
        <w:rPr>
          <w:sz w:val="16"/>
          <w:szCs w:val="16"/>
          <w:lang w:val="en-GB"/>
        </w:rPr>
        <w:t>, Eurofamcare 2006.</w:t>
      </w:r>
    </w:p>
  </w:footnote>
  <w:footnote w:id="60">
    <w:p w14:paraId="2D46F596" w14:textId="77777777" w:rsidR="004C3D8E" w:rsidRPr="00846257" w:rsidRDefault="004C3D8E" w:rsidP="001946C8">
      <w:pPr>
        <w:spacing w:after="60" w:line="240" w:lineRule="auto"/>
        <w:jc w:val="both"/>
        <w:rPr>
          <w:sz w:val="16"/>
          <w:szCs w:val="16"/>
        </w:rPr>
      </w:pPr>
      <w:r w:rsidRPr="00C7464B">
        <w:rPr>
          <w:rStyle w:val="Nagwek7Znak"/>
          <w:rFonts w:ascii="Calibri" w:hAnsi="Calibri"/>
          <w:i w:val="0"/>
          <w:iCs w:val="0"/>
          <w:sz w:val="16"/>
          <w:szCs w:val="16"/>
          <w:vertAlign w:val="superscript"/>
        </w:rPr>
        <w:footnoteRef/>
      </w:r>
      <w:r w:rsidRPr="00FC0400">
        <w:rPr>
          <w:sz w:val="16"/>
          <w:szCs w:val="16"/>
        </w:rPr>
        <w:t xml:space="preserve"> </w:t>
      </w:r>
      <w:r w:rsidRPr="00846257">
        <w:rPr>
          <w:sz w:val="16"/>
          <w:szCs w:val="16"/>
        </w:rPr>
        <w:t xml:space="preserve">Błędowski P., Szatur-Jaworska B.,  Szweda-Lewandowska B., Kubicki P., </w:t>
      </w:r>
      <w:r w:rsidRPr="00846257">
        <w:rPr>
          <w:i/>
          <w:iCs/>
          <w:sz w:val="16"/>
          <w:szCs w:val="16"/>
        </w:rPr>
        <w:t>Raport na temat sytuacji osób starszych w Polsce</w:t>
      </w:r>
      <w:r w:rsidRPr="00846257">
        <w:rPr>
          <w:sz w:val="16"/>
          <w:szCs w:val="16"/>
        </w:rPr>
        <w:t>, Warszawa 2012, s. 64.</w:t>
      </w:r>
    </w:p>
  </w:footnote>
  <w:footnote w:id="61">
    <w:p w14:paraId="16484A52" w14:textId="77777777" w:rsidR="004C3D8E" w:rsidRPr="00846257" w:rsidRDefault="004C3D8E" w:rsidP="001946C8">
      <w:pPr>
        <w:spacing w:after="60" w:line="240" w:lineRule="auto"/>
        <w:jc w:val="both"/>
        <w:rPr>
          <w:sz w:val="16"/>
          <w:szCs w:val="16"/>
        </w:rPr>
      </w:pPr>
      <w:r w:rsidRPr="00C7464B">
        <w:rPr>
          <w:rStyle w:val="Nagwek7Znak"/>
          <w:rFonts w:ascii="Calibri" w:hAnsi="Calibri"/>
          <w:i w:val="0"/>
          <w:iCs w:val="0"/>
          <w:sz w:val="16"/>
          <w:szCs w:val="16"/>
          <w:vertAlign w:val="superscript"/>
        </w:rPr>
        <w:footnoteRef/>
      </w:r>
      <w:r w:rsidRPr="00FC0400">
        <w:rPr>
          <w:sz w:val="16"/>
          <w:szCs w:val="16"/>
        </w:rPr>
        <w:t xml:space="preserve"> </w:t>
      </w:r>
      <w:r w:rsidRPr="00846257">
        <w:rPr>
          <w:sz w:val="16"/>
          <w:szCs w:val="16"/>
        </w:rPr>
        <w:t xml:space="preserve">Szweda-Lewandowska Z., </w:t>
      </w:r>
      <w:r w:rsidRPr="00846257">
        <w:rPr>
          <w:i/>
          <w:iCs/>
          <w:sz w:val="16"/>
          <w:szCs w:val="16"/>
        </w:rPr>
        <w:t>Zapotrzebowanie na instytucjonalne formy pomocy osobom starszym w perspektywie dwudziestu pięciu lat w świetle aktualnych determinant w mikro- i makroskali</w:t>
      </w:r>
      <w:r w:rsidRPr="00846257">
        <w:rPr>
          <w:sz w:val="16"/>
          <w:szCs w:val="16"/>
        </w:rPr>
        <w:t xml:space="preserve">, [w:] J. T. Kowalewski (red.) </w:t>
      </w:r>
      <w:r w:rsidRPr="00846257">
        <w:rPr>
          <w:i/>
          <w:iCs/>
          <w:sz w:val="16"/>
          <w:szCs w:val="16"/>
        </w:rPr>
        <w:t>Przestrzenne zróżnicowanie starzenia się ludności Polski. Przyczyny, etapy, następstwa</w:t>
      </w:r>
      <w:r w:rsidRPr="00846257">
        <w:rPr>
          <w:sz w:val="16"/>
          <w:szCs w:val="16"/>
        </w:rPr>
        <w:t>, Łódź 2011, s. 17.</w:t>
      </w:r>
    </w:p>
  </w:footnote>
  <w:footnote w:id="62">
    <w:p w14:paraId="6E57E28F" w14:textId="77777777" w:rsidR="004C3D8E" w:rsidRPr="00846257" w:rsidRDefault="004C3D8E" w:rsidP="001946C8">
      <w:pPr>
        <w:spacing w:after="60" w:line="240" w:lineRule="auto"/>
        <w:jc w:val="both"/>
        <w:rPr>
          <w:sz w:val="16"/>
          <w:szCs w:val="16"/>
        </w:rPr>
      </w:pPr>
      <w:r w:rsidRPr="00C7464B">
        <w:rPr>
          <w:rStyle w:val="Nagwek7Znak"/>
          <w:rFonts w:ascii="Calibri" w:hAnsi="Calibri"/>
          <w:i w:val="0"/>
          <w:iCs w:val="0"/>
          <w:sz w:val="16"/>
          <w:szCs w:val="16"/>
          <w:vertAlign w:val="superscript"/>
        </w:rPr>
        <w:footnoteRef/>
      </w:r>
      <w:r w:rsidRPr="00FC0400">
        <w:rPr>
          <w:sz w:val="16"/>
          <w:szCs w:val="16"/>
        </w:rPr>
        <w:t xml:space="preserve"> N</w:t>
      </w:r>
      <w:r w:rsidRPr="00846257">
        <w:rPr>
          <w:sz w:val="16"/>
          <w:szCs w:val="16"/>
        </w:rPr>
        <w:t xml:space="preserve">a podstawie: Janowicz A., </w:t>
      </w:r>
      <w:r w:rsidRPr="00846257">
        <w:rPr>
          <w:i/>
          <w:sz w:val="16"/>
          <w:szCs w:val="16"/>
        </w:rPr>
        <w:t>Rola opiekunów nieformalnych w opiece u kresu życia. Przyczynek do badań w ramach projektu, European Palliative Care Academy (EUPCA)</w:t>
      </w:r>
      <w:r w:rsidRPr="00846257">
        <w:rPr>
          <w:sz w:val="16"/>
          <w:szCs w:val="16"/>
        </w:rPr>
        <w:t xml:space="preserve">, </w:t>
      </w:r>
      <w:r w:rsidRPr="00846257">
        <w:rPr>
          <w:i/>
          <w:sz w:val="16"/>
          <w:szCs w:val="16"/>
        </w:rPr>
        <w:t>Pielęgniarstwo i Zdrowie Publiczne</w:t>
      </w:r>
      <w:r w:rsidRPr="00846257">
        <w:rPr>
          <w:sz w:val="16"/>
          <w:szCs w:val="16"/>
        </w:rPr>
        <w:t xml:space="preserve"> 2014, tom 4, nr 2, s. 161–167.</w:t>
      </w:r>
    </w:p>
  </w:footnote>
  <w:footnote w:id="63">
    <w:p w14:paraId="3C9B7FAF" w14:textId="77777777" w:rsidR="004C3D8E" w:rsidRPr="00846257" w:rsidRDefault="004C3D8E" w:rsidP="001946C8">
      <w:pPr>
        <w:spacing w:after="60" w:line="240" w:lineRule="auto"/>
        <w:jc w:val="both"/>
        <w:rPr>
          <w:sz w:val="16"/>
          <w:szCs w:val="16"/>
        </w:rPr>
      </w:pPr>
      <w:r w:rsidRPr="00C7464B">
        <w:rPr>
          <w:rStyle w:val="Nagwek7Znak"/>
          <w:rFonts w:ascii="Calibri" w:hAnsi="Calibri"/>
          <w:i w:val="0"/>
          <w:iCs w:val="0"/>
          <w:sz w:val="16"/>
          <w:szCs w:val="16"/>
          <w:vertAlign w:val="superscript"/>
        </w:rPr>
        <w:footnoteRef/>
      </w:r>
      <w:r w:rsidRPr="00FC0400">
        <w:rPr>
          <w:sz w:val="16"/>
          <w:szCs w:val="16"/>
        </w:rPr>
        <w:t xml:space="preserve"> 67</w:t>
      </w:r>
      <w:r w:rsidRPr="00846257">
        <w:rPr>
          <w:sz w:val="16"/>
          <w:szCs w:val="16"/>
        </w:rPr>
        <w:t xml:space="preserve">% zgodnie z: </w:t>
      </w:r>
      <w:r w:rsidRPr="00846257">
        <w:rPr>
          <w:i/>
          <w:sz w:val="16"/>
          <w:szCs w:val="16"/>
        </w:rPr>
        <w:t>Pogłębione studium usług opiekuńczych skierowanych do osób starszych. Środowiskowa opieka formalna i nieformalna. Raport z badań</w:t>
      </w:r>
      <w:r w:rsidRPr="00846257">
        <w:rPr>
          <w:sz w:val="16"/>
          <w:szCs w:val="16"/>
        </w:rPr>
        <w:t>, Poznań 2017, s. 7 (dot. badania CATI).</w:t>
      </w:r>
    </w:p>
  </w:footnote>
  <w:footnote w:id="64">
    <w:p w14:paraId="347E409B" w14:textId="77777777" w:rsidR="004C3D8E" w:rsidRPr="00846257" w:rsidRDefault="004C3D8E" w:rsidP="001946C8">
      <w:pPr>
        <w:spacing w:after="60" w:line="240" w:lineRule="auto"/>
        <w:jc w:val="both"/>
        <w:rPr>
          <w:sz w:val="16"/>
          <w:szCs w:val="16"/>
        </w:rPr>
      </w:pPr>
      <w:r w:rsidRPr="00C7464B">
        <w:rPr>
          <w:rStyle w:val="Nagwek7Znak"/>
          <w:rFonts w:ascii="Calibri" w:hAnsi="Calibri"/>
          <w:i w:val="0"/>
          <w:iCs w:val="0"/>
          <w:sz w:val="16"/>
          <w:szCs w:val="16"/>
          <w:vertAlign w:val="superscript"/>
        </w:rPr>
        <w:footnoteRef/>
      </w:r>
      <w:r w:rsidRPr="00C7464B">
        <w:rPr>
          <w:i/>
          <w:iCs/>
          <w:color w:val="0070C0"/>
          <w:sz w:val="16"/>
          <w:szCs w:val="16"/>
        </w:rPr>
        <w:t xml:space="preserve"> </w:t>
      </w:r>
      <w:r w:rsidRPr="00FC0400">
        <w:rPr>
          <w:sz w:val="16"/>
          <w:szCs w:val="16"/>
        </w:rPr>
        <w:t>77</w:t>
      </w:r>
      <w:r w:rsidRPr="00846257">
        <w:rPr>
          <w:sz w:val="16"/>
          <w:szCs w:val="16"/>
        </w:rPr>
        <w:t xml:space="preserve">,5% zgodnie z: </w:t>
      </w:r>
      <w:r w:rsidRPr="00846257">
        <w:rPr>
          <w:i/>
          <w:iCs/>
          <w:sz w:val="16"/>
          <w:szCs w:val="16"/>
        </w:rPr>
        <w:t>Jakość życia starszych opiekunów nieformalnych osób przewlekle chorych w opiece domowej</w:t>
      </w:r>
      <w:r w:rsidRPr="00846257">
        <w:rPr>
          <w:sz w:val="16"/>
          <w:szCs w:val="16"/>
        </w:rPr>
        <w:t>, Kachaniuk H., Bartoszek A., Ślusarska B., Nowicki G., Kocka K., Deluga A., Piasecka K., [w:] Geriatria 2018, nr 12, s. 77.</w:t>
      </w:r>
    </w:p>
  </w:footnote>
  <w:footnote w:id="65">
    <w:p w14:paraId="6A814097" w14:textId="77777777" w:rsidR="004C3D8E" w:rsidRPr="00846257" w:rsidRDefault="004C3D8E" w:rsidP="001946C8">
      <w:pPr>
        <w:spacing w:after="60" w:line="240" w:lineRule="auto"/>
        <w:jc w:val="both"/>
        <w:rPr>
          <w:sz w:val="16"/>
          <w:szCs w:val="16"/>
        </w:rPr>
      </w:pPr>
      <w:r w:rsidRPr="00C7464B">
        <w:rPr>
          <w:rStyle w:val="Nagwek7Znak"/>
          <w:rFonts w:ascii="Calibri" w:hAnsi="Calibri"/>
          <w:i w:val="0"/>
          <w:iCs w:val="0"/>
          <w:sz w:val="16"/>
          <w:szCs w:val="16"/>
          <w:vertAlign w:val="superscript"/>
        </w:rPr>
        <w:footnoteRef/>
      </w:r>
      <w:r w:rsidRPr="00FC0400">
        <w:rPr>
          <w:sz w:val="16"/>
          <w:szCs w:val="16"/>
        </w:rPr>
        <w:t xml:space="preserve"> 6</w:t>
      </w:r>
      <w:r w:rsidRPr="00846257">
        <w:rPr>
          <w:sz w:val="16"/>
          <w:szCs w:val="16"/>
        </w:rPr>
        <w:t xml:space="preserve">1,4% na podstawie: </w:t>
      </w:r>
      <w:r w:rsidRPr="00846257">
        <w:rPr>
          <w:i/>
          <w:sz w:val="16"/>
          <w:szCs w:val="16"/>
        </w:rPr>
        <w:t>Pogłębione studium usług opiekuńczych skierowanych do osób starszych. Środowiskowa opieka formalna i nieformalna. Raport z badań</w:t>
      </w:r>
      <w:r w:rsidRPr="00846257">
        <w:rPr>
          <w:sz w:val="16"/>
          <w:szCs w:val="16"/>
        </w:rPr>
        <w:t>. Poznań 2017, s. 68 (dot. badania CATI).</w:t>
      </w:r>
    </w:p>
  </w:footnote>
  <w:footnote w:id="66">
    <w:p w14:paraId="7B97C93A" w14:textId="77777777" w:rsidR="004C3D8E" w:rsidRDefault="004C3D8E" w:rsidP="001946C8">
      <w:pPr>
        <w:spacing w:after="60" w:line="240" w:lineRule="auto"/>
        <w:jc w:val="both"/>
      </w:pPr>
      <w:r w:rsidRPr="00C7464B">
        <w:rPr>
          <w:rStyle w:val="Nagwek7Znak"/>
          <w:rFonts w:ascii="Calibri" w:hAnsi="Calibri"/>
          <w:i w:val="0"/>
          <w:iCs w:val="0"/>
          <w:sz w:val="16"/>
          <w:szCs w:val="16"/>
          <w:vertAlign w:val="superscript"/>
        </w:rPr>
        <w:footnoteRef/>
      </w:r>
      <w:r w:rsidRPr="00FC0400">
        <w:rPr>
          <w:sz w:val="16"/>
          <w:szCs w:val="16"/>
        </w:rPr>
        <w:t xml:space="preserve"> </w:t>
      </w:r>
      <w:r>
        <w:rPr>
          <w:rFonts w:cs="Calibri"/>
          <w:sz w:val="16"/>
          <w:szCs w:val="16"/>
        </w:rPr>
        <w:t>Badanie AZER (Wóycicka I., Rurarz R., 2007).</w:t>
      </w:r>
    </w:p>
  </w:footnote>
  <w:footnote w:id="67">
    <w:p w14:paraId="090FB740" w14:textId="77777777" w:rsidR="004C3D8E" w:rsidRPr="00FC0400" w:rsidRDefault="004C3D8E" w:rsidP="001946C8">
      <w:pPr>
        <w:spacing w:after="60" w:line="240" w:lineRule="auto"/>
        <w:jc w:val="both"/>
        <w:rPr>
          <w:sz w:val="16"/>
          <w:szCs w:val="16"/>
        </w:rPr>
      </w:pPr>
      <w:r w:rsidRPr="00FC0400">
        <w:rPr>
          <w:rStyle w:val="Nagwek7Znak"/>
          <w:rFonts w:ascii="Calibri" w:hAnsi="Calibri"/>
          <w:i w:val="0"/>
          <w:iCs w:val="0"/>
          <w:sz w:val="16"/>
          <w:szCs w:val="16"/>
          <w:vertAlign w:val="superscript"/>
        </w:rPr>
        <w:footnoteRef/>
      </w:r>
      <w:r w:rsidRPr="00FC0400">
        <w:rPr>
          <w:color w:val="0070C0"/>
          <w:sz w:val="16"/>
          <w:szCs w:val="16"/>
        </w:rPr>
        <w:t xml:space="preserve"> </w:t>
      </w:r>
      <w:r w:rsidRPr="00FC0400">
        <w:rPr>
          <w:i/>
          <w:iCs/>
          <w:sz w:val="16"/>
          <w:szCs w:val="16"/>
        </w:rPr>
        <w:t>Kobiety i mężczyźni na rynku pracy</w:t>
      </w:r>
      <w:r w:rsidRPr="00FC0400">
        <w:rPr>
          <w:sz w:val="16"/>
          <w:szCs w:val="16"/>
        </w:rPr>
        <w:t>, GUS, Warszawa 2016, s. 3,14.</w:t>
      </w:r>
    </w:p>
  </w:footnote>
  <w:footnote w:id="68">
    <w:p w14:paraId="3AF5CB6C" w14:textId="77777777" w:rsidR="004C3D8E" w:rsidRPr="00FC0400" w:rsidRDefault="004C3D8E" w:rsidP="001946C8">
      <w:pPr>
        <w:spacing w:after="60" w:line="240" w:lineRule="auto"/>
        <w:jc w:val="both"/>
        <w:rPr>
          <w:sz w:val="16"/>
          <w:szCs w:val="16"/>
        </w:rPr>
      </w:pPr>
      <w:r w:rsidRPr="00FC0400">
        <w:rPr>
          <w:rStyle w:val="Nagwek7Znak"/>
          <w:rFonts w:ascii="Calibri" w:hAnsi="Calibri"/>
          <w:i w:val="0"/>
          <w:iCs w:val="0"/>
          <w:sz w:val="16"/>
          <w:szCs w:val="16"/>
          <w:vertAlign w:val="superscript"/>
        </w:rPr>
        <w:footnoteRef/>
      </w:r>
      <w:r w:rsidRPr="00FC0400">
        <w:rPr>
          <w:sz w:val="16"/>
          <w:szCs w:val="16"/>
        </w:rPr>
        <w:t xml:space="preserve"> Racław M, </w:t>
      </w:r>
      <w:r w:rsidRPr="00FC0400">
        <w:rPr>
          <w:i/>
          <w:iCs/>
          <w:sz w:val="16"/>
          <w:szCs w:val="16"/>
        </w:rPr>
        <w:t>Opiekunowie nieformalni. Krótkookresowa funkcjonalność nieopłacanej pracy</w:t>
      </w:r>
      <w:r w:rsidRPr="00FC0400">
        <w:rPr>
          <w:sz w:val="16"/>
          <w:szCs w:val="16"/>
        </w:rPr>
        <w:t xml:space="preserve">, [w:] Hrynkiewicz J., </w:t>
      </w:r>
      <w:r w:rsidRPr="00FC0400">
        <w:rPr>
          <w:i/>
          <w:iCs/>
          <w:sz w:val="16"/>
          <w:szCs w:val="16"/>
        </w:rPr>
        <w:t>O sytuacji ludzi starszych</w:t>
      </w:r>
      <w:r w:rsidRPr="00FC0400">
        <w:rPr>
          <w:sz w:val="16"/>
          <w:szCs w:val="16"/>
        </w:rPr>
        <w:t>, tom 2., Rządowa Rada Ludnościowa, Zakład Wydawnictw Statystycznych, Warszawa 2012, s. 71-82.</w:t>
      </w:r>
    </w:p>
  </w:footnote>
  <w:footnote w:id="69">
    <w:p w14:paraId="0289B86B" w14:textId="77777777" w:rsidR="004C3D8E" w:rsidRPr="00FC0400" w:rsidRDefault="004C3D8E" w:rsidP="001946C8">
      <w:pPr>
        <w:spacing w:after="60" w:line="240" w:lineRule="auto"/>
        <w:jc w:val="both"/>
        <w:rPr>
          <w:sz w:val="16"/>
          <w:szCs w:val="16"/>
        </w:rPr>
      </w:pPr>
      <w:r w:rsidRPr="00FC0400">
        <w:rPr>
          <w:rStyle w:val="Nagwek7Znak"/>
          <w:rFonts w:ascii="Calibri" w:hAnsi="Calibri"/>
          <w:i w:val="0"/>
          <w:iCs w:val="0"/>
          <w:sz w:val="16"/>
          <w:szCs w:val="16"/>
          <w:vertAlign w:val="superscript"/>
        </w:rPr>
        <w:footnoteRef/>
      </w:r>
      <w:r w:rsidRPr="00FC0400">
        <w:rPr>
          <w:sz w:val="16"/>
          <w:szCs w:val="16"/>
        </w:rPr>
        <w:t xml:space="preserve"> Szatur-Jaworska B., </w:t>
      </w:r>
      <w:r w:rsidRPr="00FC0400">
        <w:rPr>
          <w:i/>
          <w:iCs/>
          <w:sz w:val="16"/>
          <w:szCs w:val="16"/>
        </w:rPr>
        <w:t>Sytuacja rodzinna i potrzeby opiekuńcze ludzi starych w Polsce</w:t>
      </w:r>
      <w:r w:rsidRPr="00FC0400">
        <w:rPr>
          <w:sz w:val="16"/>
          <w:szCs w:val="16"/>
        </w:rPr>
        <w:t>, Studia BAS, 2012, s. 74-75 44.</w:t>
      </w:r>
    </w:p>
  </w:footnote>
  <w:footnote w:id="70">
    <w:p w14:paraId="5F650D67" w14:textId="77777777" w:rsidR="004C3D8E" w:rsidRPr="00192754" w:rsidRDefault="004C3D8E" w:rsidP="005631A4">
      <w:pPr>
        <w:pStyle w:val="Tekstprzypisudolnego"/>
        <w:rPr>
          <w:sz w:val="16"/>
          <w:szCs w:val="16"/>
        </w:rPr>
      </w:pPr>
      <w:r w:rsidRPr="00192754">
        <w:rPr>
          <w:rStyle w:val="Odwoanieprzypisudolnego"/>
          <w:sz w:val="16"/>
          <w:szCs w:val="16"/>
        </w:rPr>
        <w:footnoteRef/>
      </w:r>
      <w:r w:rsidRPr="00192754">
        <w:rPr>
          <w:sz w:val="16"/>
          <w:szCs w:val="16"/>
        </w:rPr>
        <w:t xml:space="preserve"> </w:t>
      </w:r>
      <w:r>
        <w:rPr>
          <w:sz w:val="16"/>
          <w:szCs w:val="16"/>
        </w:rPr>
        <w:t>Na podstawie</w:t>
      </w:r>
      <w:r w:rsidRPr="00192754">
        <w:rPr>
          <w:sz w:val="16"/>
          <w:szCs w:val="16"/>
        </w:rPr>
        <w:t xml:space="preserve"> z dany</w:t>
      </w:r>
      <w:r>
        <w:rPr>
          <w:sz w:val="16"/>
          <w:szCs w:val="16"/>
        </w:rPr>
        <w:t>ch</w:t>
      </w:r>
      <w:r w:rsidRPr="00192754">
        <w:rPr>
          <w:sz w:val="16"/>
          <w:szCs w:val="16"/>
        </w:rPr>
        <w:t xml:space="preserve"> </w:t>
      </w:r>
      <w:r w:rsidRPr="00192754">
        <w:rPr>
          <w:rFonts w:cstheme="minorHAnsi"/>
          <w:sz w:val="16"/>
          <w:szCs w:val="16"/>
        </w:rPr>
        <w:t>Centrum Kształcenia Podyplomowego Pielęgniarek i Położnych.</w:t>
      </w:r>
    </w:p>
  </w:footnote>
  <w:footnote w:id="71">
    <w:p w14:paraId="42C012AB" w14:textId="77777777" w:rsidR="004C3D8E" w:rsidRDefault="004C3D8E" w:rsidP="005631A4">
      <w:pPr>
        <w:pStyle w:val="Tekstprzypisudolnego"/>
      </w:pPr>
      <w:r>
        <w:rPr>
          <w:rStyle w:val="Odwoanieprzypisudolnego"/>
        </w:rPr>
        <w:footnoteRef/>
      </w:r>
      <w:r>
        <w:t xml:space="preserve"> </w:t>
      </w:r>
      <w:r>
        <w:rPr>
          <w:sz w:val="16"/>
          <w:szCs w:val="16"/>
        </w:rPr>
        <w:t>P</w:t>
      </w:r>
      <w:r>
        <w:rPr>
          <w:i/>
          <w:iCs/>
          <w:sz w:val="16"/>
          <w:szCs w:val="16"/>
        </w:rPr>
        <w:t>ielęgniarki i pielęgniarze opieki długoterminowej domowej</w:t>
      </w:r>
      <w:r>
        <w:rPr>
          <w:sz w:val="16"/>
          <w:szCs w:val="16"/>
        </w:rPr>
        <w:t xml:space="preserve">, Nowak-Kapusta Z, Irzyniec T., Franek G, Drzazga B., [w:] </w:t>
      </w:r>
      <w:r>
        <w:rPr>
          <w:i/>
          <w:iCs/>
          <w:sz w:val="16"/>
          <w:szCs w:val="16"/>
        </w:rPr>
        <w:t>Pielęgniarstwo Polskie</w:t>
      </w:r>
      <w:r>
        <w:rPr>
          <w:sz w:val="16"/>
          <w:szCs w:val="16"/>
        </w:rPr>
        <w:t xml:space="preserve"> 2017, nr 3(65), s. 409–415.</w:t>
      </w:r>
    </w:p>
  </w:footnote>
  <w:footnote w:id="72">
    <w:p w14:paraId="5D98F353" w14:textId="77777777" w:rsidR="004C3D8E" w:rsidRPr="0004510B" w:rsidRDefault="004C3D8E" w:rsidP="005631A4">
      <w:pPr>
        <w:pStyle w:val="Tekstprzypisudolnego"/>
        <w:rPr>
          <w:sz w:val="16"/>
          <w:szCs w:val="16"/>
        </w:rPr>
      </w:pPr>
      <w:r w:rsidRPr="0004510B">
        <w:rPr>
          <w:rStyle w:val="Odwoanieprzypisudolnego"/>
          <w:sz w:val="16"/>
          <w:szCs w:val="16"/>
        </w:rPr>
        <w:footnoteRef/>
      </w:r>
      <w:r w:rsidRPr="0004510B">
        <w:rPr>
          <w:sz w:val="16"/>
          <w:szCs w:val="16"/>
        </w:rPr>
        <w:t xml:space="preserve"> Na podstawie danych Centrum Kształcenia Podyplomowego Pielęgniarek i Położnych</w:t>
      </w:r>
      <w:r>
        <w:rPr>
          <w:sz w:val="16"/>
          <w:szCs w:val="16"/>
        </w:rPr>
        <w:t>.</w:t>
      </w:r>
    </w:p>
  </w:footnote>
  <w:footnote w:id="73">
    <w:p w14:paraId="4FBBA2C0" w14:textId="4A3BC292" w:rsidR="004C3D8E" w:rsidRPr="00077474" w:rsidRDefault="004C3D8E" w:rsidP="005631A4">
      <w:pPr>
        <w:pStyle w:val="Tekstprzypisudolnego"/>
        <w:rPr>
          <w:sz w:val="16"/>
          <w:szCs w:val="16"/>
        </w:rPr>
      </w:pPr>
      <w:r w:rsidRPr="00077474">
        <w:rPr>
          <w:rStyle w:val="Odwoanieprzypisudolnego"/>
          <w:sz w:val="16"/>
          <w:szCs w:val="16"/>
        </w:rPr>
        <w:footnoteRef/>
      </w:r>
      <w:r w:rsidRPr="00077474">
        <w:rPr>
          <w:sz w:val="16"/>
          <w:szCs w:val="16"/>
        </w:rPr>
        <w:t xml:space="preserve"> </w:t>
      </w:r>
      <w:r w:rsidRPr="00B60026">
        <w:rPr>
          <w:i/>
          <w:iCs/>
          <w:sz w:val="16"/>
          <w:szCs w:val="16"/>
        </w:rPr>
        <w:t xml:space="preserve">Biuletyny </w:t>
      </w:r>
      <w:r w:rsidRPr="00077474">
        <w:rPr>
          <w:i/>
          <w:iCs/>
          <w:sz w:val="16"/>
          <w:szCs w:val="16"/>
        </w:rPr>
        <w:t>S</w:t>
      </w:r>
      <w:r w:rsidRPr="00B60026">
        <w:rPr>
          <w:i/>
          <w:iCs/>
          <w:sz w:val="16"/>
          <w:szCs w:val="16"/>
        </w:rPr>
        <w:t>tatystyczne Ministerstwa Zdrowia</w:t>
      </w:r>
      <w:r w:rsidRPr="00B60026">
        <w:rPr>
          <w:sz w:val="16"/>
          <w:szCs w:val="16"/>
        </w:rPr>
        <w:t xml:space="preserve"> 2015–2019 wydawane przez Centrum Systemów Informacyjnych Ochrony Zdrowia.</w:t>
      </w:r>
    </w:p>
  </w:footnote>
  <w:footnote w:id="74">
    <w:p w14:paraId="56CCF891" w14:textId="77777777" w:rsidR="004C3D8E" w:rsidRPr="00077474" w:rsidRDefault="004C3D8E" w:rsidP="00EC3CD6">
      <w:pPr>
        <w:pStyle w:val="Tekstprzypisudolnego"/>
        <w:rPr>
          <w:sz w:val="16"/>
          <w:szCs w:val="16"/>
        </w:rPr>
      </w:pPr>
      <w:r w:rsidRPr="00077474">
        <w:rPr>
          <w:rStyle w:val="Odwoanieprzypisudolnego"/>
          <w:sz w:val="16"/>
          <w:szCs w:val="16"/>
        </w:rPr>
        <w:footnoteRef/>
      </w:r>
      <w:r w:rsidRPr="00077474">
        <w:rPr>
          <w:sz w:val="16"/>
          <w:szCs w:val="16"/>
        </w:rPr>
        <w:t xml:space="preserve"> Rozporządzenie z dnia 13 marca 2017 r. </w:t>
      </w:r>
      <w:r w:rsidRPr="00077474">
        <w:rPr>
          <w:bCs/>
          <w:sz w:val="16"/>
          <w:szCs w:val="16"/>
        </w:rPr>
        <w:t>(Dz. U. z 2017 r. poz. 622, z późn. zm.).</w:t>
      </w:r>
    </w:p>
  </w:footnote>
  <w:footnote w:id="75">
    <w:p w14:paraId="24D6F265" w14:textId="77777777" w:rsidR="004C3D8E" w:rsidRPr="00EE446B" w:rsidRDefault="004C3D8E" w:rsidP="005631A4">
      <w:pPr>
        <w:pStyle w:val="Tekstprzypisudolnego"/>
        <w:rPr>
          <w:sz w:val="16"/>
        </w:rPr>
      </w:pPr>
      <w:r w:rsidRPr="00EE446B">
        <w:rPr>
          <w:rStyle w:val="Odwoanieprzypisudolnego"/>
          <w:sz w:val="16"/>
        </w:rPr>
        <w:footnoteRef/>
      </w:r>
      <w:r w:rsidRPr="00EE446B">
        <w:rPr>
          <w:sz w:val="16"/>
        </w:rPr>
        <w:t xml:space="preserve"> W ramach systemu pomocy społecznej opieka nad osobami z zaburzeniami otępiennymi odbywa się w: domach rodzinnych, domach opieki społecznej (jednostki samorządowe), domach pomocy społecznej (podmioty działalności gospodarczej), gminnych ośrodkach pomocy społecznej. W ramach sektora prywatnego opieka taka jest sprawowana w prywatnych domach opieki lub przez prywatnych opiekunów zastępczych zajmujących się chorym w domu.</w:t>
      </w:r>
    </w:p>
  </w:footnote>
  <w:footnote w:id="76">
    <w:p w14:paraId="651DC0C4" w14:textId="77777777" w:rsidR="004C3D8E" w:rsidRPr="00EE446B" w:rsidRDefault="004C3D8E" w:rsidP="005631A4">
      <w:pPr>
        <w:pStyle w:val="Tekstprzypisudolnego"/>
        <w:rPr>
          <w:sz w:val="16"/>
        </w:rPr>
      </w:pPr>
      <w:r w:rsidRPr="00BD77BF">
        <w:rPr>
          <w:rStyle w:val="Odwoanieprzypisudolnego"/>
          <w:sz w:val="16"/>
        </w:rPr>
        <w:footnoteRef/>
      </w:r>
      <w:r w:rsidRPr="00EE446B">
        <w:rPr>
          <w:sz w:val="16"/>
        </w:rPr>
        <w:t xml:space="preserve"> Durda M., </w:t>
      </w:r>
      <w:r w:rsidRPr="00EE446B">
        <w:rPr>
          <w:i/>
          <w:sz w:val="16"/>
        </w:rPr>
        <w:t>Organizacja opieki nad osobami z demencją w Polsce na tle krajów rozwiniętych i rozwijających się</w:t>
      </w:r>
      <w:r w:rsidRPr="00EE446B">
        <w:rPr>
          <w:sz w:val="16"/>
        </w:rPr>
        <w:t xml:space="preserve">, </w:t>
      </w:r>
      <w:r w:rsidRPr="00EE446B">
        <w:rPr>
          <w:i/>
          <w:sz w:val="16"/>
        </w:rPr>
        <w:t>Gerontologia Polska</w:t>
      </w:r>
      <w:r w:rsidRPr="00EE446B">
        <w:rPr>
          <w:sz w:val="16"/>
        </w:rPr>
        <w:t xml:space="preserve"> 2010, tom 18, nr 2, s. 77.</w:t>
      </w:r>
    </w:p>
  </w:footnote>
  <w:footnote w:id="77">
    <w:p w14:paraId="7415A43E" w14:textId="5F59D806" w:rsidR="004C3D8E" w:rsidRPr="005F1938" w:rsidRDefault="004C3D8E">
      <w:pPr>
        <w:pStyle w:val="Tekstprzypisudolnego"/>
        <w:rPr>
          <w:sz w:val="16"/>
          <w:szCs w:val="16"/>
        </w:rPr>
      </w:pPr>
      <w:r w:rsidRPr="005F1938">
        <w:rPr>
          <w:rStyle w:val="Odwoanieprzypisudolnego"/>
          <w:color w:val="0070C0"/>
          <w:sz w:val="16"/>
          <w:szCs w:val="16"/>
        </w:rPr>
        <w:footnoteRef/>
      </w:r>
      <w:r w:rsidRPr="005F1938">
        <w:rPr>
          <w:color w:val="0070C0"/>
          <w:sz w:val="16"/>
          <w:szCs w:val="16"/>
        </w:rPr>
        <w:t xml:space="preserve"> </w:t>
      </w:r>
      <w:r w:rsidRPr="005F1938">
        <w:rPr>
          <w:i/>
          <w:iCs/>
          <w:sz w:val="16"/>
          <w:szCs w:val="16"/>
        </w:rPr>
        <w:t>Opiekunowie rodzinni osób starszych – problemy, potrzeby, wyzwania dla polityki społecznej – raport z badania</w:t>
      </w:r>
      <w:r w:rsidRPr="005F1938">
        <w:rPr>
          <w:iCs/>
          <w:sz w:val="16"/>
          <w:szCs w:val="16"/>
        </w:rPr>
        <w:t>, ROPS Kraków</w:t>
      </w:r>
      <w:r w:rsidRPr="005F1938">
        <w:rPr>
          <w:i/>
          <w:iCs/>
          <w:sz w:val="16"/>
          <w:szCs w:val="16"/>
        </w:rPr>
        <w:t xml:space="preserve">, </w:t>
      </w:r>
      <w:r w:rsidRPr="005F1938">
        <w:rPr>
          <w:iCs/>
          <w:sz w:val="16"/>
          <w:szCs w:val="16"/>
        </w:rPr>
        <w:t>Kraków 2015, s. 7.</w:t>
      </w:r>
    </w:p>
  </w:footnote>
  <w:footnote w:id="78">
    <w:p w14:paraId="41790242" w14:textId="77777777" w:rsidR="004C3D8E" w:rsidRPr="005F1938" w:rsidRDefault="004C3D8E" w:rsidP="005631A4">
      <w:pPr>
        <w:pStyle w:val="Tekstprzypisudolnego"/>
        <w:rPr>
          <w:sz w:val="16"/>
          <w:szCs w:val="16"/>
        </w:rPr>
      </w:pPr>
      <w:r w:rsidRPr="005F1938">
        <w:rPr>
          <w:rStyle w:val="Nagwek7Znak"/>
          <w:rFonts w:ascii="Calibri" w:hAnsi="Calibri"/>
          <w:sz w:val="16"/>
          <w:szCs w:val="16"/>
          <w:vertAlign w:val="superscript"/>
        </w:rPr>
        <w:footnoteRef/>
      </w:r>
      <w:r w:rsidRPr="005F1938">
        <w:rPr>
          <w:i/>
          <w:iCs/>
          <w:sz w:val="16"/>
          <w:szCs w:val="16"/>
        </w:rPr>
        <w:t xml:space="preserve"> Opiekunowie rodzinni osób starszych – problemy, potrzeby, wyzwania dla polityki społecznej – raport z badania</w:t>
      </w:r>
      <w:r w:rsidRPr="005F1938">
        <w:rPr>
          <w:iCs/>
          <w:sz w:val="16"/>
          <w:szCs w:val="16"/>
        </w:rPr>
        <w:t>, ROPS Kraków</w:t>
      </w:r>
      <w:r w:rsidRPr="005F1938">
        <w:rPr>
          <w:i/>
          <w:iCs/>
          <w:sz w:val="16"/>
          <w:szCs w:val="16"/>
        </w:rPr>
        <w:t xml:space="preserve">, </w:t>
      </w:r>
      <w:r w:rsidRPr="005F1938">
        <w:rPr>
          <w:iCs/>
          <w:sz w:val="16"/>
          <w:szCs w:val="16"/>
        </w:rPr>
        <w:t>Kraków 2015, s. 8.</w:t>
      </w:r>
    </w:p>
  </w:footnote>
  <w:footnote w:id="79">
    <w:p w14:paraId="5A587CC2" w14:textId="78B60073" w:rsidR="004C3D8E" w:rsidRPr="00786D0E" w:rsidRDefault="004C3D8E" w:rsidP="00386A4A">
      <w:pPr>
        <w:spacing w:after="60" w:line="240" w:lineRule="auto"/>
        <w:jc w:val="both"/>
        <w:rPr>
          <w:sz w:val="16"/>
          <w:szCs w:val="16"/>
        </w:rPr>
      </w:pPr>
      <w:r w:rsidRPr="005F1938">
        <w:rPr>
          <w:rStyle w:val="Nagwek7Znak"/>
          <w:rFonts w:ascii="Calibri" w:hAnsi="Calibri"/>
          <w:i w:val="0"/>
          <w:iCs w:val="0"/>
          <w:sz w:val="16"/>
          <w:szCs w:val="16"/>
          <w:vertAlign w:val="superscript"/>
        </w:rPr>
        <w:footnoteRef/>
      </w:r>
      <w:r w:rsidRPr="00786D0E">
        <w:rPr>
          <w:sz w:val="16"/>
          <w:szCs w:val="16"/>
        </w:rPr>
        <w:t xml:space="preserve"> </w:t>
      </w:r>
      <w:r w:rsidRPr="005F1938">
        <w:rPr>
          <w:sz w:val="16"/>
          <w:szCs w:val="16"/>
        </w:rPr>
        <w:t xml:space="preserve">Racław M., </w:t>
      </w:r>
      <w:r w:rsidRPr="005F1938">
        <w:rPr>
          <w:i/>
          <w:iCs/>
          <w:sz w:val="16"/>
          <w:szCs w:val="16"/>
        </w:rPr>
        <w:t>Opiekunowie nieformalni. Krótkookresowa funkcjonalność nieopłacanej pracy</w:t>
      </w:r>
      <w:r w:rsidRPr="005F1938">
        <w:rPr>
          <w:sz w:val="16"/>
          <w:szCs w:val="16"/>
        </w:rPr>
        <w:t xml:space="preserve">, [w:] </w:t>
      </w:r>
      <w:r w:rsidRPr="005F1938">
        <w:rPr>
          <w:i/>
          <w:iCs/>
          <w:sz w:val="16"/>
          <w:szCs w:val="16"/>
        </w:rPr>
        <w:t>O sytuacji ludzi starszych</w:t>
      </w:r>
      <w:r w:rsidRPr="005F1938">
        <w:rPr>
          <w:sz w:val="16"/>
          <w:szCs w:val="16"/>
        </w:rPr>
        <w:t>, J. Hrynkiewicz (red.), Rządowa Rada Ludnościowa, Warszawa 2012, s. 76.</w:t>
      </w:r>
    </w:p>
  </w:footnote>
  <w:footnote w:id="80">
    <w:p w14:paraId="0FB71611" w14:textId="77777777" w:rsidR="004C3D8E" w:rsidRPr="00EE446B" w:rsidRDefault="004C3D8E" w:rsidP="00386A4A">
      <w:pPr>
        <w:pStyle w:val="Tekstprzypisudolnego"/>
        <w:jc w:val="both"/>
        <w:rPr>
          <w:sz w:val="16"/>
          <w:szCs w:val="16"/>
        </w:rPr>
      </w:pPr>
      <w:r w:rsidRPr="00FD0BEB">
        <w:rPr>
          <w:rStyle w:val="Znakiprzypiswdolnych"/>
          <w:color w:val="0070C0"/>
          <w:sz w:val="16"/>
          <w:szCs w:val="16"/>
          <w:vertAlign w:val="superscript"/>
        </w:rPr>
        <w:footnoteRef/>
      </w:r>
      <w:r w:rsidRPr="00FD0BEB">
        <w:rPr>
          <w:rStyle w:val="Znakiprzypiswdolnych"/>
          <w:color w:val="0070C0"/>
          <w:sz w:val="16"/>
          <w:szCs w:val="16"/>
          <w:vertAlign w:val="superscript"/>
        </w:rPr>
        <w:t xml:space="preserve"> </w:t>
      </w:r>
      <w:r w:rsidRPr="00EE446B">
        <w:rPr>
          <w:i/>
          <w:iCs/>
          <w:sz w:val="16"/>
          <w:szCs w:val="16"/>
        </w:rPr>
        <w:t>Jakość życia starszych opiekunów nieformalnych osób przewlekle chorych w opiece domowej</w:t>
      </w:r>
      <w:r w:rsidRPr="00EE446B">
        <w:rPr>
          <w:iCs/>
          <w:sz w:val="16"/>
          <w:szCs w:val="16"/>
        </w:rPr>
        <w:t xml:space="preserve">, Kachaniuk H, Bartoszek A., Ślusarska B., Nowicki G., Kocka K., Deluga A., Piasecka K. [w:] </w:t>
      </w:r>
      <w:r w:rsidRPr="00EE446B">
        <w:rPr>
          <w:i/>
          <w:iCs/>
          <w:sz w:val="16"/>
          <w:szCs w:val="16"/>
        </w:rPr>
        <w:t>Geriatria</w:t>
      </w:r>
      <w:r w:rsidRPr="00EE446B">
        <w:rPr>
          <w:iCs/>
          <w:sz w:val="16"/>
          <w:szCs w:val="16"/>
        </w:rPr>
        <w:t xml:space="preserve"> 2018, nr 12, s. 75.</w:t>
      </w:r>
    </w:p>
  </w:footnote>
  <w:footnote w:id="81">
    <w:p w14:paraId="7DD639C0" w14:textId="77777777" w:rsidR="004C3D8E" w:rsidRPr="00EE446B" w:rsidRDefault="004C3D8E" w:rsidP="00386A4A">
      <w:pPr>
        <w:pStyle w:val="Tekstprzypisudolnego"/>
        <w:jc w:val="both"/>
        <w:rPr>
          <w:sz w:val="16"/>
          <w:szCs w:val="16"/>
        </w:rPr>
      </w:pPr>
      <w:r w:rsidRPr="00FD0BEB">
        <w:rPr>
          <w:rStyle w:val="Znakiprzypiswdolnych"/>
          <w:color w:val="0070C0"/>
          <w:sz w:val="16"/>
          <w:szCs w:val="16"/>
          <w:vertAlign w:val="superscript"/>
        </w:rPr>
        <w:footnoteRef/>
      </w:r>
      <w:r w:rsidRPr="00FD0BEB">
        <w:rPr>
          <w:rStyle w:val="Znakiprzypiswdolnych"/>
          <w:color w:val="0070C0"/>
          <w:sz w:val="16"/>
          <w:szCs w:val="16"/>
          <w:vertAlign w:val="superscript"/>
        </w:rPr>
        <w:t xml:space="preserve"> </w:t>
      </w:r>
      <w:r w:rsidRPr="00EE446B">
        <w:rPr>
          <w:i/>
          <w:iCs/>
          <w:sz w:val="16"/>
          <w:szCs w:val="16"/>
        </w:rPr>
        <w:t>Jakość życia starszych opiekunów nieformalnych osób przewlekle chorych w opiece domowej</w:t>
      </w:r>
      <w:r w:rsidRPr="00EE446B">
        <w:rPr>
          <w:iCs/>
          <w:sz w:val="16"/>
          <w:szCs w:val="16"/>
        </w:rPr>
        <w:t xml:space="preserve">, Kachaniuk H, Bartoszek A., Ślusarska B., Nowicki G., Kocka K., Deluga A., Piasecka K. [w:] </w:t>
      </w:r>
      <w:r w:rsidRPr="00EE446B">
        <w:rPr>
          <w:i/>
          <w:iCs/>
          <w:sz w:val="16"/>
          <w:szCs w:val="16"/>
        </w:rPr>
        <w:t>Geriatria</w:t>
      </w:r>
      <w:r w:rsidRPr="00EE446B">
        <w:rPr>
          <w:iCs/>
          <w:sz w:val="16"/>
          <w:szCs w:val="16"/>
        </w:rPr>
        <w:t xml:space="preserve"> 2018, nr 12, s. 75.</w:t>
      </w:r>
    </w:p>
  </w:footnote>
  <w:footnote w:id="82">
    <w:p w14:paraId="1E728811" w14:textId="77777777" w:rsidR="004C3D8E" w:rsidRPr="00EE446B" w:rsidRDefault="004C3D8E" w:rsidP="00386A4A">
      <w:pPr>
        <w:pStyle w:val="Tekstprzypisudolnego"/>
        <w:spacing w:after="60"/>
        <w:jc w:val="both"/>
        <w:rPr>
          <w:sz w:val="16"/>
          <w:szCs w:val="16"/>
        </w:rPr>
      </w:pPr>
      <w:r w:rsidRPr="00FD0BEB">
        <w:rPr>
          <w:rStyle w:val="Znakiprzypiswdolnych"/>
          <w:color w:val="0070C0"/>
          <w:sz w:val="16"/>
          <w:szCs w:val="16"/>
          <w:vertAlign w:val="superscript"/>
        </w:rPr>
        <w:footnoteRef/>
      </w:r>
      <w:r w:rsidRPr="00FD0BEB">
        <w:rPr>
          <w:rStyle w:val="Znakiprzypiswdolnych"/>
          <w:color w:val="0070C0"/>
          <w:sz w:val="16"/>
          <w:szCs w:val="16"/>
          <w:vertAlign w:val="superscript"/>
        </w:rPr>
        <w:t xml:space="preserve"> </w:t>
      </w:r>
      <w:r w:rsidRPr="00EE446B">
        <w:rPr>
          <w:i/>
          <w:iCs/>
          <w:sz w:val="16"/>
          <w:szCs w:val="16"/>
        </w:rPr>
        <w:t>Jakość życia starszych opiekunów nieformalnych osób przewlekle chorych w opiece domowej</w:t>
      </w:r>
      <w:r w:rsidRPr="00EE446B">
        <w:rPr>
          <w:iCs/>
          <w:sz w:val="16"/>
          <w:szCs w:val="16"/>
        </w:rPr>
        <w:t xml:space="preserve">, Kachaniuk H, Bartoszek A., Ślusarska B., Nowicki G., Kocka K., Deluga A., Piasecka K. [w:] </w:t>
      </w:r>
      <w:r w:rsidRPr="00EE446B">
        <w:rPr>
          <w:i/>
          <w:iCs/>
          <w:sz w:val="16"/>
          <w:szCs w:val="16"/>
        </w:rPr>
        <w:t>Geriatria</w:t>
      </w:r>
      <w:r w:rsidRPr="00EE446B">
        <w:rPr>
          <w:iCs/>
          <w:sz w:val="16"/>
          <w:szCs w:val="16"/>
        </w:rPr>
        <w:t xml:space="preserve"> 2018, nr 12, s. 81.</w:t>
      </w:r>
    </w:p>
  </w:footnote>
  <w:footnote w:id="83">
    <w:p w14:paraId="2ADABDD5" w14:textId="77777777" w:rsidR="004C3D8E" w:rsidRPr="005E6342" w:rsidRDefault="004C3D8E" w:rsidP="00386A4A">
      <w:pPr>
        <w:pStyle w:val="Tekstprzypisudolnego"/>
        <w:spacing w:after="60"/>
        <w:jc w:val="both"/>
        <w:rPr>
          <w:sz w:val="16"/>
          <w:szCs w:val="16"/>
        </w:rPr>
      </w:pPr>
      <w:r w:rsidRPr="00FD0BEB">
        <w:rPr>
          <w:rStyle w:val="Odwoanieprzypisudolnego"/>
          <w:color w:val="0070C0"/>
          <w:sz w:val="16"/>
          <w:szCs w:val="16"/>
        </w:rPr>
        <w:footnoteRef/>
      </w:r>
      <w:r w:rsidRPr="005E6342">
        <w:rPr>
          <w:sz w:val="16"/>
          <w:szCs w:val="16"/>
        </w:rPr>
        <w:t xml:space="preserve"> Badania dotyczące opiekunów nieformalnych w Polsce przeprowadzono również w ramach międzynarodowego projektu </w:t>
      </w:r>
      <w:r w:rsidRPr="00B60026">
        <w:rPr>
          <w:i/>
          <w:sz w:val="16"/>
        </w:rPr>
        <w:t>Nurse Managed Care for Elderly</w:t>
      </w:r>
      <w:r w:rsidRPr="005E6342">
        <w:rPr>
          <w:sz w:val="16"/>
          <w:szCs w:val="16"/>
        </w:rPr>
        <w:t xml:space="preserve"> – NMCE, którego polskim partnerem był zespół WSINF z Łodzi. Celem przedsięwzięcia było określenie potrzeb edukacyjnych opiekunów formalnych i nieformalnych, opracowanie dróg wspierania opiekunów nieformalnych jako osób dorosłych oraz podniesienie poziomu kompetencji i jakości opieki zdrowotnej świadczonej przez opiekunów – na podstawie: Janowicz A., </w:t>
      </w:r>
      <w:r w:rsidRPr="005E6342">
        <w:rPr>
          <w:i/>
          <w:sz w:val="16"/>
          <w:szCs w:val="16"/>
        </w:rPr>
        <w:t>Rola opiekunów nieformalnych w opiece u kresu życia. Przyczynek do badań w ramach projektu, Eur</w:t>
      </w:r>
      <w:r w:rsidRPr="007F5F1E">
        <w:rPr>
          <w:i/>
          <w:sz w:val="16"/>
          <w:szCs w:val="16"/>
        </w:rPr>
        <w:t>opean Palliative Care Academy (EUPCA)</w:t>
      </w:r>
      <w:r w:rsidRPr="007F5F1E">
        <w:rPr>
          <w:sz w:val="16"/>
          <w:szCs w:val="16"/>
        </w:rPr>
        <w:t xml:space="preserve">, </w:t>
      </w:r>
      <w:r w:rsidRPr="007F5F1E">
        <w:rPr>
          <w:i/>
          <w:sz w:val="16"/>
          <w:szCs w:val="16"/>
        </w:rPr>
        <w:t>Pielęgniarstwo i Zdrowie Publiczne</w:t>
      </w:r>
      <w:r w:rsidRPr="007F5F1E">
        <w:rPr>
          <w:sz w:val="16"/>
          <w:szCs w:val="16"/>
        </w:rPr>
        <w:t xml:space="preserve"> 2014, tom 4, nr 2, s. 163.</w:t>
      </w:r>
      <w:r w:rsidRPr="005E6342">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24"/>
      <w:gridCol w:w="3024"/>
      <w:gridCol w:w="3024"/>
    </w:tblGrid>
    <w:tr w:rsidR="004C3D8E" w14:paraId="6AA69FE2" w14:textId="77777777" w:rsidTr="00AD3DBB">
      <w:tc>
        <w:tcPr>
          <w:tcW w:w="3024" w:type="dxa"/>
        </w:tcPr>
        <w:p w14:paraId="324E45BE" w14:textId="12DCA995" w:rsidR="004C3D8E" w:rsidRDefault="004C3D8E" w:rsidP="00AD3DBB">
          <w:pPr>
            <w:pStyle w:val="Nagwek"/>
            <w:ind w:left="-115"/>
          </w:pPr>
        </w:p>
      </w:tc>
      <w:tc>
        <w:tcPr>
          <w:tcW w:w="3024" w:type="dxa"/>
        </w:tcPr>
        <w:p w14:paraId="03248441" w14:textId="402B44E5" w:rsidR="004C3D8E" w:rsidRDefault="004C3D8E" w:rsidP="00AD3DBB">
          <w:pPr>
            <w:pStyle w:val="Nagwek"/>
            <w:jc w:val="center"/>
          </w:pPr>
        </w:p>
      </w:tc>
      <w:tc>
        <w:tcPr>
          <w:tcW w:w="3024" w:type="dxa"/>
        </w:tcPr>
        <w:p w14:paraId="31D8C1D0" w14:textId="4357E6C9" w:rsidR="004C3D8E" w:rsidRDefault="004C3D8E" w:rsidP="00AD3DBB">
          <w:pPr>
            <w:pStyle w:val="Nagwek"/>
            <w:ind w:right="-115"/>
            <w:jc w:val="right"/>
          </w:pPr>
        </w:p>
      </w:tc>
    </w:tr>
  </w:tbl>
  <w:p w14:paraId="62F6415D" w14:textId="6BD70AA2" w:rsidR="004C3D8E" w:rsidRDefault="004C3D8E" w:rsidP="00AD3DB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lvl>
    <w:lvl w:ilvl="1">
      <w:start w:val="1"/>
      <w:numFmt w:val="decimal"/>
      <w:lvlText w:val="%1.%2."/>
      <w:lvlJc w:val="left"/>
      <w:pPr>
        <w:tabs>
          <w:tab w:val="num" w:pos="0"/>
        </w:tabs>
        <w:ind w:left="4669" w:hanging="720"/>
      </w:pPr>
    </w:lvl>
    <w:lvl w:ilvl="2">
      <w:start w:val="1"/>
      <w:numFmt w:val="decimal"/>
      <w:lvlText w:val="%1.%2.%3."/>
      <w:lvlJc w:val="left"/>
      <w:pPr>
        <w:tabs>
          <w:tab w:val="num" w:pos="0"/>
        </w:tabs>
        <w:ind w:left="8258" w:hanging="720"/>
      </w:pPr>
    </w:lvl>
    <w:lvl w:ilvl="3">
      <w:start w:val="1"/>
      <w:numFmt w:val="decimal"/>
      <w:lvlText w:val="%1.%2.%3.%4."/>
      <w:lvlJc w:val="left"/>
      <w:pPr>
        <w:tabs>
          <w:tab w:val="num" w:pos="0"/>
        </w:tabs>
        <w:ind w:left="12207" w:hanging="1080"/>
      </w:pPr>
    </w:lvl>
    <w:lvl w:ilvl="4">
      <w:start w:val="1"/>
      <w:numFmt w:val="decimal"/>
      <w:lvlText w:val="%1.%2.%3.%4.%5."/>
      <w:lvlJc w:val="left"/>
      <w:pPr>
        <w:tabs>
          <w:tab w:val="num" w:pos="0"/>
        </w:tabs>
        <w:ind w:left="15796" w:hanging="1080"/>
      </w:pPr>
    </w:lvl>
    <w:lvl w:ilvl="5">
      <w:start w:val="1"/>
      <w:numFmt w:val="decimal"/>
      <w:lvlText w:val="%1.%2.%3.%4.%5.%6."/>
      <w:lvlJc w:val="left"/>
      <w:pPr>
        <w:tabs>
          <w:tab w:val="num" w:pos="0"/>
        </w:tabs>
        <w:ind w:left="19745" w:hanging="1440"/>
      </w:pPr>
    </w:lvl>
    <w:lvl w:ilvl="6">
      <w:start w:val="1"/>
      <w:numFmt w:val="decimal"/>
      <w:lvlText w:val="%1.%2.%3.%4.%5.%6.%7."/>
      <w:lvlJc w:val="left"/>
      <w:pPr>
        <w:tabs>
          <w:tab w:val="num" w:pos="0"/>
        </w:tabs>
        <w:ind w:left="23334" w:hanging="1440"/>
      </w:pPr>
    </w:lvl>
    <w:lvl w:ilvl="7">
      <w:start w:val="1"/>
      <w:numFmt w:val="decimal"/>
      <w:lvlText w:val="%1.%2.%3.%4.%5.%6.%7.%8."/>
      <w:lvlJc w:val="left"/>
      <w:pPr>
        <w:tabs>
          <w:tab w:val="num" w:pos="0"/>
        </w:tabs>
        <w:ind w:left="27283" w:hanging="1800"/>
      </w:pPr>
    </w:lvl>
    <w:lvl w:ilvl="8">
      <w:start w:val="1"/>
      <w:numFmt w:val="decimal"/>
      <w:lvlText w:val="%1.%2.%3.%4.%5.%6.%7.%8.%9."/>
      <w:lvlJc w:val="left"/>
      <w:pPr>
        <w:tabs>
          <w:tab w:val="num" w:pos="0"/>
        </w:tabs>
        <w:ind w:left="30872" w:hanging="1800"/>
      </w:p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720" w:hanging="360"/>
      </w:pPr>
    </w:lvl>
    <w:lvl w:ilvl="1">
      <w:start w:val="1"/>
      <w:numFmt w:val="decimal"/>
      <w:lvlText w:val="%1.%2."/>
      <w:lvlJc w:val="left"/>
      <w:pPr>
        <w:tabs>
          <w:tab w:val="num" w:pos="0"/>
        </w:tabs>
        <w:ind w:left="405" w:hanging="405"/>
      </w:p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 w15:restartNumberingAfterBreak="0">
    <w:nsid w:val="00000007"/>
    <w:multiLevelType w:val="multilevel"/>
    <w:tmpl w:val="00000007"/>
    <w:name w:val="WW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Num9"/>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name w:val="WWNum10"/>
    <w:lvl w:ilvl="0">
      <w:start w:val="2"/>
      <w:numFmt w:val="decimal"/>
      <w:lvlText w:val="%1."/>
      <w:lvlJc w:val="left"/>
      <w:pPr>
        <w:tabs>
          <w:tab w:val="num" w:pos="0"/>
        </w:tabs>
        <w:ind w:left="420" w:hanging="4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0" w15:restartNumberingAfterBreak="0">
    <w:nsid w:val="0000000B"/>
    <w:multiLevelType w:val="multilevel"/>
    <w:tmpl w:val="0000000B"/>
    <w:name w:val="WWNum11"/>
    <w:lvl w:ilvl="0">
      <w:start w:val="3"/>
      <w:numFmt w:val="decimal"/>
      <w:lvlText w:val="%1."/>
      <w:lvlJc w:val="left"/>
      <w:pPr>
        <w:tabs>
          <w:tab w:val="num" w:pos="0"/>
        </w:tabs>
        <w:ind w:left="420" w:hanging="42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1" w15:restartNumberingAfterBreak="0">
    <w:nsid w:val="0000000C"/>
    <w:multiLevelType w:val="multilevel"/>
    <w:tmpl w:val="0000000C"/>
    <w:name w:val="WWNum12"/>
    <w:lvl w:ilvl="0">
      <w:start w:val="4"/>
      <w:numFmt w:val="decimal"/>
      <w:lvlText w:val="%1."/>
      <w:lvlJc w:val="left"/>
      <w:pPr>
        <w:tabs>
          <w:tab w:val="num" w:pos="0"/>
        </w:tabs>
        <w:ind w:left="420" w:hanging="42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000000E"/>
    <w:name w:val="WWNum14"/>
    <w:lvl w:ilvl="0">
      <w:start w:val="3"/>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4" w15:restartNumberingAfterBreak="0">
    <w:nsid w:val="0000000F"/>
    <w:multiLevelType w:val="multilevel"/>
    <w:tmpl w:val="0000000F"/>
    <w:name w:val="WWNum15"/>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5" w15:restartNumberingAfterBreak="0">
    <w:nsid w:val="00000010"/>
    <w:multiLevelType w:val="multilevel"/>
    <w:tmpl w:val="00000010"/>
    <w:name w:val="WW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15:restartNumberingAfterBreak="0">
    <w:nsid w:val="00000011"/>
    <w:multiLevelType w:val="multilevel"/>
    <w:tmpl w:val="00000011"/>
    <w:name w:val="WWNum1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12"/>
    <w:multiLevelType w:val="multilevel"/>
    <w:tmpl w:val="00000012"/>
    <w:name w:val="WWNum1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15:restartNumberingAfterBreak="0">
    <w:nsid w:val="00000013"/>
    <w:multiLevelType w:val="multilevel"/>
    <w:tmpl w:val="00000013"/>
    <w:name w:val="WWNum1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4"/>
    <w:multiLevelType w:val="multilevel"/>
    <w:tmpl w:val="00000014"/>
    <w:name w:val="WWNum20"/>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00000015"/>
    <w:multiLevelType w:val="multilevel"/>
    <w:tmpl w:val="00000015"/>
    <w:name w:val="WWNum2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6"/>
    <w:multiLevelType w:val="multilevel"/>
    <w:tmpl w:val="694CF4EC"/>
    <w:name w:val="WWNum22"/>
    <w:lvl w:ilvl="0">
      <w:start w:val="1"/>
      <w:numFmt w:val="upperRoman"/>
      <w:lvlText w:val="%1."/>
      <w:lvlJc w:val="righ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7"/>
    <w:multiLevelType w:val="multilevel"/>
    <w:tmpl w:val="00000017"/>
    <w:name w:val="WWNum23"/>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440" w:hanging="1080"/>
      </w:pPr>
    </w:lvl>
    <w:lvl w:ilvl="3">
      <w:start w:val="1"/>
      <w:numFmt w:val="decimal"/>
      <w:lvlText w:val="%1.%2.%3.%4."/>
      <w:lvlJc w:val="left"/>
      <w:pPr>
        <w:tabs>
          <w:tab w:val="num" w:pos="0"/>
        </w:tabs>
        <w:ind w:left="1800" w:hanging="144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2160" w:hanging="1800"/>
      </w:pPr>
    </w:lvl>
    <w:lvl w:ilvl="6">
      <w:start w:val="1"/>
      <w:numFmt w:val="decimal"/>
      <w:lvlText w:val="%1.%2.%3.%4.%5.%6.%7."/>
      <w:lvlJc w:val="left"/>
      <w:pPr>
        <w:tabs>
          <w:tab w:val="num" w:pos="0"/>
        </w:tabs>
        <w:ind w:left="2520" w:hanging="2160"/>
      </w:pPr>
    </w:lvl>
    <w:lvl w:ilvl="7">
      <w:start w:val="1"/>
      <w:numFmt w:val="decimal"/>
      <w:lvlText w:val="%1.%2.%3.%4.%5.%6.%7.%8."/>
      <w:lvlJc w:val="left"/>
      <w:pPr>
        <w:tabs>
          <w:tab w:val="num" w:pos="0"/>
        </w:tabs>
        <w:ind w:left="2880" w:hanging="2520"/>
      </w:pPr>
    </w:lvl>
    <w:lvl w:ilvl="8">
      <w:start w:val="1"/>
      <w:numFmt w:val="decimal"/>
      <w:lvlText w:val="%1.%2.%3.%4.%5.%6.%7.%8.%9."/>
      <w:lvlJc w:val="left"/>
      <w:pPr>
        <w:tabs>
          <w:tab w:val="num" w:pos="0"/>
        </w:tabs>
        <w:ind w:left="2880" w:hanging="2520"/>
      </w:pPr>
    </w:lvl>
  </w:abstractNum>
  <w:abstractNum w:abstractNumId="23" w15:restartNumberingAfterBreak="0">
    <w:nsid w:val="00000018"/>
    <w:multiLevelType w:val="multilevel"/>
    <w:tmpl w:val="00000018"/>
    <w:name w:val="WWNum24"/>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 w15:restartNumberingAfterBreak="0">
    <w:nsid w:val="00000019"/>
    <w:multiLevelType w:val="multilevel"/>
    <w:tmpl w:val="00000019"/>
    <w:name w:val="WWNum25"/>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 w15:restartNumberingAfterBreak="0">
    <w:nsid w:val="0000001A"/>
    <w:multiLevelType w:val="multilevel"/>
    <w:tmpl w:val="0000001A"/>
    <w:name w:val="WWNum26"/>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440" w:hanging="1080"/>
      </w:pPr>
    </w:lvl>
    <w:lvl w:ilvl="3">
      <w:start w:val="1"/>
      <w:numFmt w:val="decimal"/>
      <w:lvlText w:val="%1.%2.%3.%4."/>
      <w:lvlJc w:val="left"/>
      <w:pPr>
        <w:tabs>
          <w:tab w:val="num" w:pos="0"/>
        </w:tabs>
        <w:ind w:left="1800" w:hanging="144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2160" w:hanging="1800"/>
      </w:pPr>
    </w:lvl>
    <w:lvl w:ilvl="6">
      <w:start w:val="1"/>
      <w:numFmt w:val="decimal"/>
      <w:lvlText w:val="%1.%2.%3.%4.%5.%6.%7."/>
      <w:lvlJc w:val="left"/>
      <w:pPr>
        <w:tabs>
          <w:tab w:val="num" w:pos="0"/>
        </w:tabs>
        <w:ind w:left="2520" w:hanging="2160"/>
      </w:pPr>
    </w:lvl>
    <w:lvl w:ilvl="7">
      <w:start w:val="1"/>
      <w:numFmt w:val="decimal"/>
      <w:lvlText w:val="%1.%2.%3.%4.%5.%6.%7.%8."/>
      <w:lvlJc w:val="left"/>
      <w:pPr>
        <w:tabs>
          <w:tab w:val="num" w:pos="0"/>
        </w:tabs>
        <w:ind w:left="2880" w:hanging="2520"/>
      </w:pPr>
    </w:lvl>
    <w:lvl w:ilvl="8">
      <w:start w:val="1"/>
      <w:numFmt w:val="decimal"/>
      <w:lvlText w:val="%1.%2.%3.%4.%5.%6.%7.%8.%9."/>
      <w:lvlJc w:val="left"/>
      <w:pPr>
        <w:tabs>
          <w:tab w:val="num" w:pos="0"/>
        </w:tabs>
        <w:ind w:left="2880" w:hanging="2520"/>
      </w:pPr>
    </w:lvl>
  </w:abstractNum>
  <w:abstractNum w:abstractNumId="26" w15:restartNumberingAfterBreak="0">
    <w:nsid w:val="0000001B"/>
    <w:multiLevelType w:val="multilevel"/>
    <w:tmpl w:val="0000001B"/>
    <w:name w:val="WWNum2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7" w15:restartNumberingAfterBreak="0">
    <w:nsid w:val="045725B7"/>
    <w:multiLevelType w:val="hybridMultilevel"/>
    <w:tmpl w:val="9648CC16"/>
    <w:lvl w:ilvl="0" w:tplc="20A23E66">
      <w:start w:val="1"/>
      <w:numFmt w:val="decimal"/>
      <w:lvlText w:val="%1."/>
      <w:lvlJc w:val="left"/>
      <w:pPr>
        <w:ind w:left="720" w:hanging="360"/>
      </w:pPr>
      <w:rPr>
        <w:rFonts w:ascii="Calibri" w:eastAsia="Calibri" w:hAnsi="Calibri" w:cs="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8526033"/>
    <w:multiLevelType w:val="hybridMultilevel"/>
    <w:tmpl w:val="942A8CF2"/>
    <w:lvl w:ilvl="0" w:tplc="95821C7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9AE1038"/>
    <w:multiLevelType w:val="multilevel"/>
    <w:tmpl w:val="C8445BA2"/>
    <w:styleLink w:val="WWNum27"/>
    <w:lvl w:ilvl="0">
      <w:numFmt w:val="bullet"/>
      <w:lvlText w:val="─"/>
      <w:lvlJc w:val="left"/>
      <w:pPr>
        <w:ind w:left="704" w:hanging="420"/>
      </w:pPr>
      <w:rPr>
        <w:rFonts w:ascii="Arial" w:hAnsi="Arial"/>
        <w:sz w:val="1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0" w15:restartNumberingAfterBreak="0">
    <w:nsid w:val="0B97553F"/>
    <w:multiLevelType w:val="hybridMultilevel"/>
    <w:tmpl w:val="20C205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CAB3F13"/>
    <w:multiLevelType w:val="hybridMultilevel"/>
    <w:tmpl w:val="D65E6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CE4330C"/>
    <w:multiLevelType w:val="hybridMultilevel"/>
    <w:tmpl w:val="8B44255E"/>
    <w:lvl w:ilvl="0" w:tplc="214480A4">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0D8F6017"/>
    <w:multiLevelType w:val="hybridMultilevel"/>
    <w:tmpl w:val="B97081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0EB298E"/>
    <w:multiLevelType w:val="hybridMultilevel"/>
    <w:tmpl w:val="E38295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31B336D"/>
    <w:multiLevelType w:val="hybridMultilevel"/>
    <w:tmpl w:val="25FA5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34D1B0E"/>
    <w:multiLevelType w:val="multilevel"/>
    <w:tmpl w:val="4CEEAD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3A855FE"/>
    <w:multiLevelType w:val="hybridMultilevel"/>
    <w:tmpl w:val="4F0612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58F474F"/>
    <w:multiLevelType w:val="hybridMultilevel"/>
    <w:tmpl w:val="1A326B64"/>
    <w:lvl w:ilvl="0" w:tplc="176CE7D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60201BE"/>
    <w:multiLevelType w:val="hybridMultilevel"/>
    <w:tmpl w:val="B98CB486"/>
    <w:lvl w:ilvl="0" w:tplc="3572A572">
      <w:start w:val="3"/>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6F0286F"/>
    <w:multiLevelType w:val="hybridMultilevel"/>
    <w:tmpl w:val="C19AE8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6FA34C8"/>
    <w:multiLevelType w:val="multilevel"/>
    <w:tmpl w:val="39E6932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15:restartNumberingAfterBreak="0">
    <w:nsid w:val="177801CB"/>
    <w:multiLevelType w:val="hybridMultilevel"/>
    <w:tmpl w:val="D6EA8B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8577D89"/>
    <w:multiLevelType w:val="hybridMultilevel"/>
    <w:tmpl w:val="6C16EE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89A7AF4"/>
    <w:multiLevelType w:val="hybridMultilevel"/>
    <w:tmpl w:val="BDB43F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068E42E">
      <w:start w:val="1"/>
      <w:numFmt w:val="decimal"/>
      <w:lvlText w:val="%7."/>
      <w:lvlJc w:val="left"/>
      <w:pPr>
        <w:ind w:left="5040" w:hanging="360"/>
      </w:pPr>
      <w:rPr>
        <w:b/>
        <w:bCs/>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E677D78"/>
    <w:multiLevelType w:val="hybridMultilevel"/>
    <w:tmpl w:val="611E55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E6B367C"/>
    <w:multiLevelType w:val="hybridMultilevel"/>
    <w:tmpl w:val="F57E91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1EC0D22"/>
    <w:multiLevelType w:val="hybridMultilevel"/>
    <w:tmpl w:val="2BC6A53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5254449"/>
    <w:multiLevelType w:val="hybridMultilevel"/>
    <w:tmpl w:val="C81085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75D62E8"/>
    <w:multiLevelType w:val="hybridMultilevel"/>
    <w:tmpl w:val="6388F082"/>
    <w:lvl w:ilvl="0" w:tplc="9D3CA54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C335A99"/>
    <w:multiLevelType w:val="hybridMultilevel"/>
    <w:tmpl w:val="5EF0AA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D793D17"/>
    <w:multiLevelType w:val="hybridMultilevel"/>
    <w:tmpl w:val="DCE4A3E0"/>
    <w:lvl w:ilvl="0" w:tplc="7E8E80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ED02F2F"/>
    <w:multiLevelType w:val="hybridMultilevel"/>
    <w:tmpl w:val="CC7095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F72719A"/>
    <w:multiLevelType w:val="hybridMultilevel"/>
    <w:tmpl w:val="D65E6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17934BF"/>
    <w:multiLevelType w:val="hybridMultilevel"/>
    <w:tmpl w:val="334A10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40C6EC4"/>
    <w:multiLevelType w:val="hybridMultilevel"/>
    <w:tmpl w:val="37342EA4"/>
    <w:lvl w:ilvl="0" w:tplc="425E7B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590185A"/>
    <w:multiLevelType w:val="multilevel"/>
    <w:tmpl w:val="3BF82220"/>
    <w:lvl w:ilvl="0">
      <w:start w:val="1"/>
      <w:numFmt w:val="decimal"/>
      <w:lvlText w:val="%1."/>
      <w:lvlJc w:val="left"/>
      <w:pPr>
        <w:ind w:left="360" w:hanging="360"/>
      </w:pPr>
      <w:rPr>
        <w:rFonts w:ascii="Calibri" w:eastAsia="Calibri" w:hAnsi="Calibri" w:cs="F"/>
      </w:rPr>
    </w:lvl>
    <w:lvl w:ilvl="1">
      <w:start w:val="1"/>
      <w:numFmt w:val="decimal"/>
      <w:lvlText w:val="%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8333B38"/>
    <w:multiLevelType w:val="hybridMultilevel"/>
    <w:tmpl w:val="258CD18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A02226B"/>
    <w:multiLevelType w:val="hybridMultilevel"/>
    <w:tmpl w:val="8E1644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EC415C1"/>
    <w:multiLevelType w:val="hybridMultilevel"/>
    <w:tmpl w:val="8E50F6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F1A105C"/>
    <w:multiLevelType w:val="hybridMultilevel"/>
    <w:tmpl w:val="E70E88C0"/>
    <w:lvl w:ilvl="0" w:tplc="8B6E7CC4">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1151312"/>
    <w:multiLevelType w:val="hybridMultilevel"/>
    <w:tmpl w:val="D65E6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5E47F11"/>
    <w:multiLevelType w:val="hybridMultilevel"/>
    <w:tmpl w:val="D65E6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69161B7"/>
    <w:multiLevelType w:val="hybridMultilevel"/>
    <w:tmpl w:val="FF4242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8B45EB5"/>
    <w:multiLevelType w:val="hybridMultilevel"/>
    <w:tmpl w:val="B574C9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B2A5236"/>
    <w:multiLevelType w:val="hybridMultilevel"/>
    <w:tmpl w:val="D9D445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C466DA7"/>
    <w:multiLevelType w:val="hybridMultilevel"/>
    <w:tmpl w:val="C99E55F2"/>
    <w:lvl w:ilvl="0" w:tplc="214480A4">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C714077"/>
    <w:multiLevelType w:val="hybridMultilevel"/>
    <w:tmpl w:val="9D58E1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D0619BA"/>
    <w:multiLevelType w:val="multilevel"/>
    <w:tmpl w:val="B2B09EF6"/>
    <w:lvl w:ilvl="0">
      <w:start w:val="1"/>
      <w:numFmt w:val="decimal"/>
      <w:lvlText w:val="%1."/>
      <w:lvlJc w:val="lef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9" w15:restartNumberingAfterBreak="0">
    <w:nsid w:val="53911A2B"/>
    <w:multiLevelType w:val="hybridMultilevel"/>
    <w:tmpl w:val="D6EA8B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488367D"/>
    <w:multiLevelType w:val="hybridMultilevel"/>
    <w:tmpl w:val="4CC0E6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7290F72"/>
    <w:multiLevelType w:val="multilevel"/>
    <w:tmpl w:val="0812094E"/>
    <w:lvl w:ilvl="0">
      <w:start w:val="1"/>
      <w:numFmt w:val="decimal"/>
      <w:lvlText w:val="%1."/>
      <w:lvlJc w:val="lef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2" w15:restartNumberingAfterBreak="0">
    <w:nsid w:val="592517E4"/>
    <w:multiLevelType w:val="multilevel"/>
    <w:tmpl w:val="9118C60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3" w15:restartNumberingAfterBreak="0">
    <w:nsid w:val="63D82F2B"/>
    <w:multiLevelType w:val="hybridMultilevel"/>
    <w:tmpl w:val="9D58E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7D24398"/>
    <w:multiLevelType w:val="hybridMultilevel"/>
    <w:tmpl w:val="AEC2E420"/>
    <w:lvl w:ilvl="0" w:tplc="C6BA57A4">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75" w15:restartNumberingAfterBreak="0">
    <w:nsid w:val="6BBE344C"/>
    <w:multiLevelType w:val="hybridMultilevel"/>
    <w:tmpl w:val="9D58E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BF972A5"/>
    <w:multiLevelType w:val="hybridMultilevel"/>
    <w:tmpl w:val="E0D007B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D231681"/>
    <w:multiLevelType w:val="multilevel"/>
    <w:tmpl w:val="FAB810D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78" w15:restartNumberingAfterBreak="0">
    <w:nsid w:val="71093D58"/>
    <w:multiLevelType w:val="multilevel"/>
    <w:tmpl w:val="8DA21C9C"/>
    <w:lvl w:ilvl="0">
      <w:start w:val="1"/>
      <w:numFmt w:val="decimal"/>
      <w:lvlText w:val="%1."/>
      <w:lvlJc w:val="left"/>
      <w:pPr>
        <w:ind w:left="360" w:hanging="360"/>
      </w:pPr>
      <w:rPr>
        <w:rFonts w:ascii="Calibri" w:eastAsia="Calibri" w:hAnsi="Calibri" w:cs="F"/>
      </w:rPr>
    </w:lvl>
    <w:lvl w:ilvl="1">
      <w:start w:val="1"/>
      <w:numFmt w:val="decimal"/>
      <w:lvlText w:val="%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28D66C5"/>
    <w:multiLevelType w:val="multilevel"/>
    <w:tmpl w:val="9E7EDCB8"/>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54C2F7A"/>
    <w:multiLevelType w:val="multilevel"/>
    <w:tmpl w:val="60C851C6"/>
    <w:lvl w:ilvl="0">
      <w:start w:val="1"/>
      <w:numFmt w:val="decimal"/>
      <w:lvlText w:val="%1."/>
      <w:lvlJc w:val="left"/>
      <w:pPr>
        <w:ind w:left="720" w:hanging="360"/>
      </w:pPr>
      <w:rPr>
        <w:rFonts w:hint="default"/>
      </w:rPr>
    </w:lvl>
    <w:lvl w:ilvl="1">
      <w:start w:val="1"/>
      <w:numFmt w:val="decimal"/>
      <w:pStyle w:val="Nagwek1"/>
      <w:lvlText w:val="%1.%2."/>
      <w:lvlJc w:val="left"/>
      <w:pPr>
        <w:ind w:left="765" w:hanging="405"/>
      </w:pPr>
    </w:lvl>
    <w:lvl w:ilvl="2">
      <w:start w:val="1"/>
      <w:numFmt w:val="decimal"/>
      <w:lvlText w:val="%1.%2.%3."/>
      <w:lvlJc w:val="left"/>
      <w:pPr>
        <w:ind w:left="1080" w:hanging="720"/>
      </w:pPr>
      <w:rPr>
        <w:strike w:val="0"/>
        <w:vertAlign w:val="baseline"/>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1" w15:restartNumberingAfterBreak="0">
    <w:nsid w:val="77636B61"/>
    <w:multiLevelType w:val="hybridMultilevel"/>
    <w:tmpl w:val="6DA279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95C069A"/>
    <w:multiLevelType w:val="hybridMultilevel"/>
    <w:tmpl w:val="CEE26E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A0F6560"/>
    <w:multiLevelType w:val="multilevel"/>
    <w:tmpl w:val="E076CFB2"/>
    <w:lvl w:ilvl="0">
      <w:start w:val="1"/>
      <w:numFmt w:val="upperRoman"/>
      <w:lvlText w:val="%1."/>
      <w:lvlJc w:val="left"/>
      <w:pPr>
        <w:tabs>
          <w:tab w:val="num" w:pos="720"/>
        </w:tabs>
        <w:ind w:left="720" w:hanging="360"/>
      </w:pPr>
    </w:lvl>
    <w:lvl w:ilvl="1">
      <w:start w:val="1"/>
      <w:numFmt w:val="upperRoman"/>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upperRoman"/>
      <w:lvlText w:val="%5."/>
      <w:lvlJc w:val="left"/>
      <w:pPr>
        <w:tabs>
          <w:tab w:val="num" w:pos="2160"/>
        </w:tabs>
        <w:ind w:left="2160" w:hanging="360"/>
      </w:pPr>
    </w:lvl>
    <w:lvl w:ilvl="5">
      <w:start w:val="1"/>
      <w:numFmt w:val="upperRoman"/>
      <w:lvlText w:val="%6."/>
      <w:lvlJc w:val="left"/>
      <w:pPr>
        <w:tabs>
          <w:tab w:val="num" w:pos="2520"/>
        </w:tabs>
        <w:ind w:left="2520" w:hanging="360"/>
      </w:pPr>
    </w:lvl>
    <w:lvl w:ilvl="6">
      <w:start w:val="1"/>
      <w:numFmt w:val="upperRoman"/>
      <w:lvlText w:val="%7."/>
      <w:lvlJc w:val="left"/>
      <w:pPr>
        <w:tabs>
          <w:tab w:val="num" w:pos="2880"/>
        </w:tabs>
        <w:ind w:left="2880" w:hanging="360"/>
      </w:pPr>
    </w:lvl>
    <w:lvl w:ilvl="7">
      <w:start w:val="1"/>
      <w:numFmt w:val="upperRoman"/>
      <w:lvlText w:val="%8."/>
      <w:lvlJc w:val="left"/>
      <w:pPr>
        <w:tabs>
          <w:tab w:val="num" w:pos="3240"/>
        </w:tabs>
        <w:ind w:left="3240" w:hanging="360"/>
      </w:pPr>
    </w:lvl>
    <w:lvl w:ilvl="8">
      <w:start w:val="1"/>
      <w:numFmt w:val="upperRoman"/>
      <w:lvlText w:val="%9."/>
      <w:lvlJc w:val="left"/>
      <w:pPr>
        <w:tabs>
          <w:tab w:val="num" w:pos="3600"/>
        </w:tabs>
        <w:ind w:left="3600" w:hanging="360"/>
      </w:pPr>
    </w:lvl>
  </w:abstractNum>
  <w:abstractNum w:abstractNumId="84" w15:restartNumberingAfterBreak="0">
    <w:nsid w:val="7A2A00D5"/>
    <w:multiLevelType w:val="multilevel"/>
    <w:tmpl w:val="D37820A8"/>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B0E25AB"/>
    <w:multiLevelType w:val="hybridMultilevel"/>
    <w:tmpl w:val="890C0E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9"/>
  </w:num>
  <w:num w:numId="2">
    <w:abstractNumId w:val="80"/>
  </w:num>
  <w:num w:numId="3">
    <w:abstractNumId w:val="1"/>
  </w:num>
  <w:num w:numId="4">
    <w:abstractNumId w:val="2"/>
  </w:num>
  <w:num w:numId="5">
    <w:abstractNumId w:val="3"/>
  </w:num>
  <w:num w:numId="6">
    <w:abstractNumId w:val="6"/>
  </w:num>
  <w:num w:numId="7">
    <w:abstractNumId w:val="18"/>
  </w:num>
  <w:num w:numId="8">
    <w:abstractNumId w:val="19"/>
  </w:num>
  <w:num w:numId="9">
    <w:abstractNumId w:val="20"/>
  </w:num>
  <w:num w:numId="10">
    <w:abstractNumId w:val="22"/>
  </w:num>
  <w:num w:numId="11">
    <w:abstractNumId w:val="23"/>
  </w:num>
  <w:num w:numId="12">
    <w:abstractNumId w:val="24"/>
  </w:num>
  <w:num w:numId="13">
    <w:abstractNumId w:val="55"/>
  </w:num>
  <w:num w:numId="14">
    <w:abstractNumId w:val="64"/>
  </w:num>
  <w:num w:numId="15">
    <w:abstractNumId w:val="0"/>
  </w:num>
  <w:num w:numId="16">
    <w:abstractNumId w:val="5"/>
  </w:num>
  <w:num w:numId="17">
    <w:abstractNumId w:val="21"/>
  </w:num>
  <w:num w:numId="18">
    <w:abstractNumId w:val="26"/>
  </w:num>
  <w:num w:numId="19">
    <w:abstractNumId w:val="68"/>
  </w:num>
  <w:num w:numId="20">
    <w:abstractNumId w:val="71"/>
  </w:num>
  <w:num w:numId="21">
    <w:abstractNumId w:val="39"/>
  </w:num>
  <w:num w:numId="22">
    <w:abstractNumId w:val="74"/>
  </w:num>
  <w:num w:numId="23">
    <w:abstractNumId w:val="47"/>
  </w:num>
  <w:num w:numId="24">
    <w:abstractNumId w:val="49"/>
  </w:num>
  <w:num w:numId="25">
    <w:abstractNumId w:val="57"/>
  </w:num>
  <w:num w:numId="26">
    <w:abstractNumId w:val="83"/>
  </w:num>
  <w:num w:numId="27">
    <w:abstractNumId w:val="77"/>
  </w:num>
  <w:num w:numId="28">
    <w:abstractNumId w:val="41"/>
  </w:num>
  <w:num w:numId="29">
    <w:abstractNumId w:val="36"/>
  </w:num>
  <w:num w:numId="30">
    <w:abstractNumId w:val="72"/>
  </w:num>
  <w:num w:numId="31">
    <w:abstractNumId w:val="37"/>
  </w:num>
  <w:num w:numId="32">
    <w:abstractNumId w:val="27"/>
  </w:num>
  <w:num w:numId="33">
    <w:abstractNumId w:val="56"/>
  </w:num>
  <w:num w:numId="34">
    <w:abstractNumId w:val="84"/>
  </w:num>
  <w:num w:numId="35">
    <w:abstractNumId w:val="79"/>
  </w:num>
  <w:num w:numId="36">
    <w:abstractNumId w:val="52"/>
  </w:num>
  <w:num w:numId="37">
    <w:abstractNumId w:val="50"/>
  </w:num>
  <w:num w:numId="38">
    <w:abstractNumId w:val="44"/>
  </w:num>
  <w:num w:numId="39">
    <w:abstractNumId w:val="78"/>
  </w:num>
  <w:num w:numId="40">
    <w:abstractNumId w:val="42"/>
  </w:num>
  <w:num w:numId="41">
    <w:abstractNumId w:val="48"/>
  </w:num>
  <w:num w:numId="42">
    <w:abstractNumId w:val="46"/>
  </w:num>
  <w:num w:numId="43">
    <w:abstractNumId w:val="73"/>
  </w:num>
  <w:num w:numId="44">
    <w:abstractNumId w:val="45"/>
  </w:num>
  <w:num w:numId="45">
    <w:abstractNumId w:val="81"/>
  </w:num>
  <w:num w:numId="46">
    <w:abstractNumId w:val="34"/>
  </w:num>
  <w:num w:numId="47">
    <w:abstractNumId w:val="65"/>
  </w:num>
  <w:num w:numId="48">
    <w:abstractNumId w:val="35"/>
  </w:num>
  <w:num w:numId="49">
    <w:abstractNumId w:val="31"/>
  </w:num>
  <w:num w:numId="50">
    <w:abstractNumId w:val="59"/>
  </w:num>
  <w:num w:numId="51">
    <w:abstractNumId w:val="70"/>
  </w:num>
  <w:num w:numId="52">
    <w:abstractNumId w:val="30"/>
  </w:num>
  <w:num w:numId="53">
    <w:abstractNumId w:val="28"/>
  </w:num>
  <w:num w:numId="54">
    <w:abstractNumId w:val="38"/>
  </w:num>
  <w:num w:numId="55">
    <w:abstractNumId w:val="51"/>
  </w:num>
  <w:num w:numId="56">
    <w:abstractNumId w:val="61"/>
  </w:num>
  <w:num w:numId="57">
    <w:abstractNumId w:val="53"/>
  </w:num>
  <w:num w:numId="58">
    <w:abstractNumId w:val="62"/>
  </w:num>
  <w:num w:numId="59">
    <w:abstractNumId w:val="67"/>
  </w:num>
  <w:num w:numId="60">
    <w:abstractNumId w:val="54"/>
  </w:num>
  <w:num w:numId="61">
    <w:abstractNumId w:val="58"/>
  </w:num>
  <w:num w:numId="62">
    <w:abstractNumId w:val="82"/>
  </w:num>
  <w:num w:numId="63">
    <w:abstractNumId w:val="76"/>
  </w:num>
  <w:num w:numId="64">
    <w:abstractNumId w:val="43"/>
  </w:num>
  <w:num w:numId="65">
    <w:abstractNumId w:val="33"/>
  </w:num>
  <w:num w:numId="66">
    <w:abstractNumId w:val="63"/>
  </w:num>
  <w:num w:numId="67">
    <w:abstractNumId w:val="60"/>
  </w:num>
  <w:num w:numId="68">
    <w:abstractNumId w:val="32"/>
  </w:num>
  <w:num w:numId="69">
    <w:abstractNumId w:val="66"/>
  </w:num>
  <w:num w:numId="70">
    <w:abstractNumId w:val="40"/>
  </w:num>
  <w:num w:numId="71">
    <w:abstractNumId w:val="85"/>
  </w:num>
  <w:num w:numId="72">
    <w:abstractNumId w:val="69"/>
  </w:num>
  <w:num w:numId="73">
    <w:abstractNumId w:val="7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36C"/>
    <w:rsid w:val="00001451"/>
    <w:rsid w:val="00002469"/>
    <w:rsid w:val="00014C26"/>
    <w:rsid w:val="00014C2A"/>
    <w:rsid w:val="00017ECB"/>
    <w:rsid w:val="00025460"/>
    <w:rsid w:val="00027A39"/>
    <w:rsid w:val="00030222"/>
    <w:rsid w:val="00030C52"/>
    <w:rsid w:val="000315A6"/>
    <w:rsid w:val="00031C8E"/>
    <w:rsid w:val="00031E67"/>
    <w:rsid w:val="00031FB8"/>
    <w:rsid w:val="0003460A"/>
    <w:rsid w:val="000354FB"/>
    <w:rsid w:val="00036C25"/>
    <w:rsid w:val="000421FD"/>
    <w:rsid w:val="0004510B"/>
    <w:rsid w:val="00046B06"/>
    <w:rsid w:val="000523B0"/>
    <w:rsid w:val="00053D39"/>
    <w:rsid w:val="00060AAF"/>
    <w:rsid w:val="00065936"/>
    <w:rsid w:val="0006793F"/>
    <w:rsid w:val="0007513B"/>
    <w:rsid w:val="00080CDE"/>
    <w:rsid w:val="0008101C"/>
    <w:rsid w:val="00090099"/>
    <w:rsid w:val="000905D4"/>
    <w:rsid w:val="00091973"/>
    <w:rsid w:val="00091C14"/>
    <w:rsid w:val="00093C9E"/>
    <w:rsid w:val="000942B4"/>
    <w:rsid w:val="0009584F"/>
    <w:rsid w:val="0009765B"/>
    <w:rsid w:val="000A0AB4"/>
    <w:rsid w:val="000A278C"/>
    <w:rsid w:val="000A5F52"/>
    <w:rsid w:val="000A6C07"/>
    <w:rsid w:val="000A7910"/>
    <w:rsid w:val="000B096C"/>
    <w:rsid w:val="000B20AB"/>
    <w:rsid w:val="000B25CA"/>
    <w:rsid w:val="000B34AB"/>
    <w:rsid w:val="000B4B8A"/>
    <w:rsid w:val="000B5132"/>
    <w:rsid w:val="000C322C"/>
    <w:rsid w:val="000C7CAC"/>
    <w:rsid w:val="000D0EE1"/>
    <w:rsid w:val="000D5907"/>
    <w:rsid w:val="000D67ED"/>
    <w:rsid w:val="000E193A"/>
    <w:rsid w:val="000E22BD"/>
    <w:rsid w:val="000E4ADB"/>
    <w:rsid w:val="000F02A3"/>
    <w:rsid w:val="000F2A64"/>
    <w:rsid w:val="000F2E77"/>
    <w:rsid w:val="000F561B"/>
    <w:rsid w:val="000F6AA9"/>
    <w:rsid w:val="0010043A"/>
    <w:rsid w:val="0010109C"/>
    <w:rsid w:val="00102078"/>
    <w:rsid w:val="00102A32"/>
    <w:rsid w:val="001040A0"/>
    <w:rsid w:val="001050D8"/>
    <w:rsid w:val="00110898"/>
    <w:rsid w:val="00110E88"/>
    <w:rsid w:val="00112970"/>
    <w:rsid w:val="00113490"/>
    <w:rsid w:val="001135D2"/>
    <w:rsid w:val="00113EA1"/>
    <w:rsid w:val="00115CC0"/>
    <w:rsid w:val="00117D31"/>
    <w:rsid w:val="00130E31"/>
    <w:rsid w:val="0013160F"/>
    <w:rsid w:val="001452B2"/>
    <w:rsid w:val="001464A6"/>
    <w:rsid w:val="00146D05"/>
    <w:rsid w:val="001477CB"/>
    <w:rsid w:val="001512DA"/>
    <w:rsid w:val="001515A1"/>
    <w:rsid w:val="0015568C"/>
    <w:rsid w:val="0015679C"/>
    <w:rsid w:val="00157339"/>
    <w:rsid w:val="00162E33"/>
    <w:rsid w:val="00165342"/>
    <w:rsid w:val="00166578"/>
    <w:rsid w:val="001679F9"/>
    <w:rsid w:val="001839EB"/>
    <w:rsid w:val="001841CE"/>
    <w:rsid w:val="001904DB"/>
    <w:rsid w:val="00190F70"/>
    <w:rsid w:val="00192754"/>
    <w:rsid w:val="001946C8"/>
    <w:rsid w:val="001946EB"/>
    <w:rsid w:val="001A16F0"/>
    <w:rsid w:val="001A436C"/>
    <w:rsid w:val="001B0A3C"/>
    <w:rsid w:val="001B553D"/>
    <w:rsid w:val="001C0305"/>
    <w:rsid w:val="001C1D82"/>
    <w:rsid w:val="001D6F7E"/>
    <w:rsid w:val="001E737E"/>
    <w:rsid w:val="00200296"/>
    <w:rsid w:val="0020221A"/>
    <w:rsid w:val="002064E0"/>
    <w:rsid w:val="002067F2"/>
    <w:rsid w:val="00207386"/>
    <w:rsid w:val="00214019"/>
    <w:rsid w:val="00215ABD"/>
    <w:rsid w:val="00216744"/>
    <w:rsid w:val="00223A29"/>
    <w:rsid w:val="002241D8"/>
    <w:rsid w:val="002324F9"/>
    <w:rsid w:val="002426DE"/>
    <w:rsid w:val="00245705"/>
    <w:rsid w:val="00247EB2"/>
    <w:rsid w:val="002510E3"/>
    <w:rsid w:val="0025249E"/>
    <w:rsid w:val="00253A33"/>
    <w:rsid w:val="002579E1"/>
    <w:rsid w:val="00263EF2"/>
    <w:rsid w:val="00266EC9"/>
    <w:rsid w:val="00267E4E"/>
    <w:rsid w:val="002738F2"/>
    <w:rsid w:val="00273BF7"/>
    <w:rsid w:val="002751B1"/>
    <w:rsid w:val="0027548B"/>
    <w:rsid w:val="00276F2A"/>
    <w:rsid w:val="00281C9C"/>
    <w:rsid w:val="00283C1F"/>
    <w:rsid w:val="002869A2"/>
    <w:rsid w:val="0029082D"/>
    <w:rsid w:val="00294C32"/>
    <w:rsid w:val="00294CB8"/>
    <w:rsid w:val="00296354"/>
    <w:rsid w:val="002A0791"/>
    <w:rsid w:val="002A096E"/>
    <w:rsid w:val="002A33DD"/>
    <w:rsid w:val="002A5F46"/>
    <w:rsid w:val="002A7420"/>
    <w:rsid w:val="002A79A9"/>
    <w:rsid w:val="002B0535"/>
    <w:rsid w:val="002B149C"/>
    <w:rsid w:val="002B5488"/>
    <w:rsid w:val="002B56F6"/>
    <w:rsid w:val="002C13DC"/>
    <w:rsid w:val="002C44D0"/>
    <w:rsid w:val="002C5E90"/>
    <w:rsid w:val="002D0B3D"/>
    <w:rsid w:val="002D1296"/>
    <w:rsid w:val="002D2781"/>
    <w:rsid w:val="002D2B72"/>
    <w:rsid w:val="002E12D3"/>
    <w:rsid w:val="002E3C8C"/>
    <w:rsid w:val="002F0CDC"/>
    <w:rsid w:val="002F1BF8"/>
    <w:rsid w:val="002F2007"/>
    <w:rsid w:val="002F4447"/>
    <w:rsid w:val="002F6B28"/>
    <w:rsid w:val="002F7747"/>
    <w:rsid w:val="002F7F47"/>
    <w:rsid w:val="00303628"/>
    <w:rsid w:val="00303BAB"/>
    <w:rsid w:val="00305C26"/>
    <w:rsid w:val="00307B3B"/>
    <w:rsid w:val="00310483"/>
    <w:rsid w:val="00312809"/>
    <w:rsid w:val="0032072C"/>
    <w:rsid w:val="0033100C"/>
    <w:rsid w:val="003317FC"/>
    <w:rsid w:val="00337A0F"/>
    <w:rsid w:val="00341B93"/>
    <w:rsid w:val="00343CE6"/>
    <w:rsid w:val="00351030"/>
    <w:rsid w:val="00355144"/>
    <w:rsid w:val="003559E7"/>
    <w:rsid w:val="003562B1"/>
    <w:rsid w:val="00357E7C"/>
    <w:rsid w:val="0036315B"/>
    <w:rsid w:val="00366786"/>
    <w:rsid w:val="00371FEE"/>
    <w:rsid w:val="003777F1"/>
    <w:rsid w:val="00383ECA"/>
    <w:rsid w:val="00385706"/>
    <w:rsid w:val="00386A4A"/>
    <w:rsid w:val="00386CF9"/>
    <w:rsid w:val="0039012D"/>
    <w:rsid w:val="00390388"/>
    <w:rsid w:val="003924A4"/>
    <w:rsid w:val="00397BB3"/>
    <w:rsid w:val="003A0326"/>
    <w:rsid w:val="003A368E"/>
    <w:rsid w:val="003B0D7A"/>
    <w:rsid w:val="003B0ECB"/>
    <w:rsid w:val="003B2755"/>
    <w:rsid w:val="003B5EDA"/>
    <w:rsid w:val="003B6F30"/>
    <w:rsid w:val="003C0445"/>
    <w:rsid w:val="003C223C"/>
    <w:rsid w:val="003C2AC1"/>
    <w:rsid w:val="003C338E"/>
    <w:rsid w:val="003D0650"/>
    <w:rsid w:val="003D2417"/>
    <w:rsid w:val="003E2A37"/>
    <w:rsid w:val="003E38C8"/>
    <w:rsid w:val="003E3A30"/>
    <w:rsid w:val="003E4779"/>
    <w:rsid w:val="003F0EEA"/>
    <w:rsid w:val="003F19A2"/>
    <w:rsid w:val="003F2FAA"/>
    <w:rsid w:val="003F5A16"/>
    <w:rsid w:val="0041050A"/>
    <w:rsid w:val="00411DD9"/>
    <w:rsid w:val="00414017"/>
    <w:rsid w:val="004144D5"/>
    <w:rsid w:val="00421C24"/>
    <w:rsid w:val="004228C0"/>
    <w:rsid w:val="00423936"/>
    <w:rsid w:val="00423A67"/>
    <w:rsid w:val="00426174"/>
    <w:rsid w:val="00430B3F"/>
    <w:rsid w:val="004322E3"/>
    <w:rsid w:val="00440DD1"/>
    <w:rsid w:val="00446A8C"/>
    <w:rsid w:val="00452D61"/>
    <w:rsid w:val="004531BD"/>
    <w:rsid w:val="00456F92"/>
    <w:rsid w:val="00457C60"/>
    <w:rsid w:val="004609F0"/>
    <w:rsid w:val="0046152F"/>
    <w:rsid w:val="004620C7"/>
    <w:rsid w:val="00462D60"/>
    <w:rsid w:val="00462FCA"/>
    <w:rsid w:val="00463B28"/>
    <w:rsid w:val="00465A2C"/>
    <w:rsid w:val="0047100C"/>
    <w:rsid w:val="0047746E"/>
    <w:rsid w:val="00480625"/>
    <w:rsid w:val="00481BBF"/>
    <w:rsid w:val="00485BC7"/>
    <w:rsid w:val="00491A03"/>
    <w:rsid w:val="0049383C"/>
    <w:rsid w:val="00497677"/>
    <w:rsid w:val="004A45F1"/>
    <w:rsid w:val="004A4FD1"/>
    <w:rsid w:val="004A7AB1"/>
    <w:rsid w:val="004B20E0"/>
    <w:rsid w:val="004B43D0"/>
    <w:rsid w:val="004B4F48"/>
    <w:rsid w:val="004C1F7E"/>
    <w:rsid w:val="004C2F87"/>
    <w:rsid w:val="004C3D8E"/>
    <w:rsid w:val="004C4A04"/>
    <w:rsid w:val="004D1F12"/>
    <w:rsid w:val="004D56E9"/>
    <w:rsid w:val="004D5C81"/>
    <w:rsid w:val="004E10CC"/>
    <w:rsid w:val="004E19B1"/>
    <w:rsid w:val="004E2EF2"/>
    <w:rsid w:val="004F023A"/>
    <w:rsid w:val="004F3B61"/>
    <w:rsid w:val="004F78E4"/>
    <w:rsid w:val="004F7EA0"/>
    <w:rsid w:val="00504903"/>
    <w:rsid w:val="005136D8"/>
    <w:rsid w:val="005139C7"/>
    <w:rsid w:val="00514E48"/>
    <w:rsid w:val="005153A3"/>
    <w:rsid w:val="00520803"/>
    <w:rsid w:val="00521C6C"/>
    <w:rsid w:val="0052354E"/>
    <w:rsid w:val="00524C4B"/>
    <w:rsid w:val="00526859"/>
    <w:rsid w:val="0052774A"/>
    <w:rsid w:val="0053076C"/>
    <w:rsid w:val="00531C70"/>
    <w:rsid w:val="00535A21"/>
    <w:rsid w:val="0053600D"/>
    <w:rsid w:val="0055133D"/>
    <w:rsid w:val="00552C4C"/>
    <w:rsid w:val="00552CD5"/>
    <w:rsid w:val="00553468"/>
    <w:rsid w:val="00554891"/>
    <w:rsid w:val="00554CDA"/>
    <w:rsid w:val="0056028B"/>
    <w:rsid w:val="0056110F"/>
    <w:rsid w:val="005631A4"/>
    <w:rsid w:val="00563413"/>
    <w:rsid w:val="00564D8E"/>
    <w:rsid w:val="00565E08"/>
    <w:rsid w:val="005705A2"/>
    <w:rsid w:val="00572285"/>
    <w:rsid w:val="005757B5"/>
    <w:rsid w:val="00581DA4"/>
    <w:rsid w:val="00583299"/>
    <w:rsid w:val="00584CBD"/>
    <w:rsid w:val="005868ED"/>
    <w:rsid w:val="00587DA2"/>
    <w:rsid w:val="005936F6"/>
    <w:rsid w:val="00593B62"/>
    <w:rsid w:val="005973CD"/>
    <w:rsid w:val="00597812"/>
    <w:rsid w:val="00597CC2"/>
    <w:rsid w:val="005A2D4F"/>
    <w:rsid w:val="005A4531"/>
    <w:rsid w:val="005A4DC3"/>
    <w:rsid w:val="005A5AE9"/>
    <w:rsid w:val="005A7257"/>
    <w:rsid w:val="005B1F96"/>
    <w:rsid w:val="005B20B0"/>
    <w:rsid w:val="005B3887"/>
    <w:rsid w:val="005B77E7"/>
    <w:rsid w:val="005C1A15"/>
    <w:rsid w:val="005C3E5A"/>
    <w:rsid w:val="005C61B1"/>
    <w:rsid w:val="005C72F9"/>
    <w:rsid w:val="005C7A0F"/>
    <w:rsid w:val="005D1EF7"/>
    <w:rsid w:val="005D3A00"/>
    <w:rsid w:val="005D628B"/>
    <w:rsid w:val="005E03FD"/>
    <w:rsid w:val="005E0402"/>
    <w:rsid w:val="005E2FC2"/>
    <w:rsid w:val="005E4205"/>
    <w:rsid w:val="005E4264"/>
    <w:rsid w:val="005E4EC9"/>
    <w:rsid w:val="005E4FEC"/>
    <w:rsid w:val="005E625C"/>
    <w:rsid w:val="005F1938"/>
    <w:rsid w:val="00600CA0"/>
    <w:rsid w:val="0060105E"/>
    <w:rsid w:val="0060187B"/>
    <w:rsid w:val="00603822"/>
    <w:rsid w:val="006063DB"/>
    <w:rsid w:val="0060644D"/>
    <w:rsid w:val="006131A4"/>
    <w:rsid w:val="006149B1"/>
    <w:rsid w:val="00615195"/>
    <w:rsid w:val="006161A0"/>
    <w:rsid w:val="00616D15"/>
    <w:rsid w:val="006215D4"/>
    <w:rsid w:val="00622177"/>
    <w:rsid w:val="00622E8F"/>
    <w:rsid w:val="0062390A"/>
    <w:rsid w:val="00624BD1"/>
    <w:rsid w:val="00627BAA"/>
    <w:rsid w:val="0063005E"/>
    <w:rsid w:val="006300BF"/>
    <w:rsid w:val="006310EC"/>
    <w:rsid w:val="0063189D"/>
    <w:rsid w:val="00633682"/>
    <w:rsid w:val="00635CD4"/>
    <w:rsid w:val="00636C81"/>
    <w:rsid w:val="006411C8"/>
    <w:rsid w:val="00644457"/>
    <w:rsid w:val="0065530A"/>
    <w:rsid w:val="00656F51"/>
    <w:rsid w:val="00660BD1"/>
    <w:rsid w:val="006612A4"/>
    <w:rsid w:val="00662118"/>
    <w:rsid w:val="00663424"/>
    <w:rsid w:val="00663AF6"/>
    <w:rsid w:val="00664ABC"/>
    <w:rsid w:val="006667AD"/>
    <w:rsid w:val="00670CA1"/>
    <w:rsid w:val="006738AC"/>
    <w:rsid w:val="0067540C"/>
    <w:rsid w:val="00683CDE"/>
    <w:rsid w:val="0068455E"/>
    <w:rsid w:val="006853EF"/>
    <w:rsid w:val="00695C1B"/>
    <w:rsid w:val="006974D8"/>
    <w:rsid w:val="006A0A70"/>
    <w:rsid w:val="006A5350"/>
    <w:rsid w:val="006A6470"/>
    <w:rsid w:val="006B075F"/>
    <w:rsid w:val="006B2F71"/>
    <w:rsid w:val="006B32A2"/>
    <w:rsid w:val="006B660B"/>
    <w:rsid w:val="006C18EA"/>
    <w:rsid w:val="006C71A4"/>
    <w:rsid w:val="006C7E6F"/>
    <w:rsid w:val="006D1587"/>
    <w:rsid w:val="006D36DB"/>
    <w:rsid w:val="006E1182"/>
    <w:rsid w:val="006E16D3"/>
    <w:rsid w:val="006E16F1"/>
    <w:rsid w:val="006E2F02"/>
    <w:rsid w:val="006E56B9"/>
    <w:rsid w:val="006E75E8"/>
    <w:rsid w:val="006F1199"/>
    <w:rsid w:val="006F1685"/>
    <w:rsid w:val="00702FD1"/>
    <w:rsid w:val="00712CC1"/>
    <w:rsid w:val="007134F3"/>
    <w:rsid w:val="00716C23"/>
    <w:rsid w:val="00717C9B"/>
    <w:rsid w:val="00724978"/>
    <w:rsid w:val="007320A2"/>
    <w:rsid w:val="0073639D"/>
    <w:rsid w:val="00736BF9"/>
    <w:rsid w:val="007379DF"/>
    <w:rsid w:val="00742BA9"/>
    <w:rsid w:val="0074311F"/>
    <w:rsid w:val="00750026"/>
    <w:rsid w:val="00750A1A"/>
    <w:rsid w:val="00750BB3"/>
    <w:rsid w:val="00752E79"/>
    <w:rsid w:val="00762D51"/>
    <w:rsid w:val="00764381"/>
    <w:rsid w:val="0076548E"/>
    <w:rsid w:val="00766EA3"/>
    <w:rsid w:val="00770D95"/>
    <w:rsid w:val="0077143E"/>
    <w:rsid w:val="00772D22"/>
    <w:rsid w:val="00773BD2"/>
    <w:rsid w:val="007760E4"/>
    <w:rsid w:val="00776641"/>
    <w:rsid w:val="007806DF"/>
    <w:rsid w:val="007813AD"/>
    <w:rsid w:val="0078279E"/>
    <w:rsid w:val="00782882"/>
    <w:rsid w:val="00785139"/>
    <w:rsid w:val="00786615"/>
    <w:rsid w:val="00786D0E"/>
    <w:rsid w:val="007878AF"/>
    <w:rsid w:val="0079082B"/>
    <w:rsid w:val="00790DE4"/>
    <w:rsid w:val="007A1744"/>
    <w:rsid w:val="007A1AB1"/>
    <w:rsid w:val="007A1B0E"/>
    <w:rsid w:val="007A2B4D"/>
    <w:rsid w:val="007A2F73"/>
    <w:rsid w:val="007A3044"/>
    <w:rsid w:val="007A6DF7"/>
    <w:rsid w:val="007B0B9E"/>
    <w:rsid w:val="007B32D5"/>
    <w:rsid w:val="007C2594"/>
    <w:rsid w:val="007C2981"/>
    <w:rsid w:val="007C3191"/>
    <w:rsid w:val="007C5D71"/>
    <w:rsid w:val="007C6838"/>
    <w:rsid w:val="007D0035"/>
    <w:rsid w:val="007D148B"/>
    <w:rsid w:val="007D6564"/>
    <w:rsid w:val="007D6B9F"/>
    <w:rsid w:val="007E1F7C"/>
    <w:rsid w:val="007E4921"/>
    <w:rsid w:val="007E7B0D"/>
    <w:rsid w:val="007F0450"/>
    <w:rsid w:val="007F0DA5"/>
    <w:rsid w:val="007F1C70"/>
    <w:rsid w:val="007F5FAE"/>
    <w:rsid w:val="00801AE2"/>
    <w:rsid w:val="00801FF6"/>
    <w:rsid w:val="008033D6"/>
    <w:rsid w:val="008045FE"/>
    <w:rsid w:val="00807E3B"/>
    <w:rsid w:val="008102F1"/>
    <w:rsid w:val="008150F8"/>
    <w:rsid w:val="00815A57"/>
    <w:rsid w:val="008174B9"/>
    <w:rsid w:val="00823988"/>
    <w:rsid w:val="00833B44"/>
    <w:rsid w:val="008343CB"/>
    <w:rsid w:val="00834FB4"/>
    <w:rsid w:val="008429A0"/>
    <w:rsid w:val="00843D14"/>
    <w:rsid w:val="00844055"/>
    <w:rsid w:val="00846257"/>
    <w:rsid w:val="00846DA3"/>
    <w:rsid w:val="00847ECD"/>
    <w:rsid w:val="00851B88"/>
    <w:rsid w:val="00856CE7"/>
    <w:rsid w:val="00857374"/>
    <w:rsid w:val="0086228C"/>
    <w:rsid w:val="00867B2E"/>
    <w:rsid w:val="00867E3D"/>
    <w:rsid w:val="00870C16"/>
    <w:rsid w:val="0087176F"/>
    <w:rsid w:val="00874582"/>
    <w:rsid w:val="00880932"/>
    <w:rsid w:val="008955CB"/>
    <w:rsid w:val="00897E23"/>
    <w:rsid w:val="008A07F5"/>
    <w:rsid w:val="008A281D"/>
    <w:rsid w:val="008A55E3"/>
    <w:rsid w:val="008B0933"/>
    <w:rsid w:val="008B0DCB"/>
    <w:rsid w:val="008B1443"/>
    <w:rsid w:val="008C0C9E"/>
    <w:rsid w:val="008C2F9E"/>
    <w:rsid w:val="008C42D0"/>
    <w:rsid w:val="008C5AB3"/>
    <w:rsid w:val="008D4883"/>
    <w:rsid w:val="008D6FD2"/>
    <w:rsid w:val="008DE9FC"/>
    <w:rsid w:val="008E20A7"/>
    <w:rsid w:val="008E236C"/>
    <w:rsid w:val="008E26D4"/>
    <w:rsid w:val="008F1CDB"/>
    <w:rsid w:val="008F3027"/>
    <w:rsid w:val="008F5892"/>
    <w:rsid w:val="008F75B8"/>
    <w:rsid w:val="0090002C"/>
    <w:rsid w:val="00900C10"/>
    <w:rsid w:val="00900C69"/>
    <w:rsid w:val="00902487"/>
    <w:rsid w:val="009127A4"/>
    <w:rsid w:val="00913DD8"/>
    <w:rsid w:val="00913E8F"/>
    <w:rsid w:val="009155C5"/>
    <w:rsid w:val="00916419"/>
    <w:rsid w:val="00920300"/>
    <w:rsid w:val="0092562E"/>
    <w:rsid w:val="0093024B"/>
    <w:rsid w:val="0093551D"/>
    <w:rsid w:val="00937933"/>
    <w:rsid w:val="00942C2B"/>
    <w:rsid w:val="00943900"/>
    <w:rsid w:val="009466B6"/>
    <w:rsid w:val="00946BC1"/>
    <w:rsid w:val="00951C3E"/>
    <w:rsid w:val="00952C8A"/>
    <w:rsid w:val="009573B7"/>
    <w:rsid w:val="009627B0"/>
    <w:rsid w:val="00963F5B"/>
    <w:rsid w:val="00967895"/>
    <w:rsid w:val="009708BF"/>
    <w:rsid w:val="009710D3"/>
    <w:rsid w:val="009720F3"/>
    <w:rsid w:val="00974E3F"/>
    <w:rsid w:val="00975093"/>
    <w:rsid w:val="009755E2"/>
    <w:rsid w:val="00975B1C"/>
    <w:rsid w:val="00977096"/>
    <w:rsid w:val="00977544"/>
    <w:rsid w:val="00977BD2"/>
    <w:rsid w:val="00980969"/>
    <w:rsid w:val="00980FA9"/>
    <w:rsid w:val="00982AAD"/>
    <w:rsid w:val="00983A37"/>
    <w:rsid w:val="0098409B"/>
    <w:rsid w:val="009861E4"/>
    <w:rsid w:val="0098623B"/>
    <w:rsid w:val="0099673E"/>
    <w:rsid w:val="0099769C"/>
    <w:rsid w:val="009977F4"/>
    <w:rsid w:val="009A14F5"/>
    <w:rsid w:val="009A2836"/>
    <w:rsid w:val="009B18B1"/>
    <w:rsid w:val="009B4FC4"/>
    <w:rsid w:val="009B5E42"/>
    <w:rsid w:val="009C1E6B"/>
    <w:rsid w:val="009D17D0"/>
    <w:rsid w:val="009D3A51"/>
    <w:rsid w:val="009D62C6"/>
    <w:rsid w:val="009D7374"/>
    <w:rsid w:val="009E0366"/>
    <w:rsid w:val="009E373B"/>
    <w:rsid w:val="009E4309"/>
    <w:rsid w:val="009E5D66"/>
    <w:rsid w:val="009F34C9"/>
    <w:rsid w:val="009F3D42"/>
    <w:rsid w:val="00A006EA"/>
    <w:rsid w:val="00A028CA"/>
    <w:rsid w:val="00A11875"/>
    <w:rsid w:val="00A12238"/>
    <w:rsid w:val="00A16E58"/>
    <w:rsid w:val="00A259DE"/>
    <w:rsid w:val="00A32E4B"/>
    <w:rsid w:val="00A32F41"/>
    <w:rsid w:val="00A37FAF"/>
    <w:rsid w:val="00A43B1A"/>
    <w:rsid w:val="00A4488F"/>
    <w:rsid w:val="00A45B65"/>
    <w:rsid w:val="00A50B80"/>
    <w:rsid w:val="00A52F8D"/>
    <w:rsid w:val="00A545BB"/>
    <w:rsid w:val="00A6582C"/>
    <w:rsid w:val="00A71F0F"/>
    <w:rsid w:val="00A75910"/>
    <w:rsid w:val="00A75AFB"/>
    <w:rsid w:val="00A75F32"/>
    <w:rsid w:val="00A76E32"/>
    <w:rsid w:val="00A857EC"/>
    <w:rsid w:val="00A85E5A"/>
    <w:rsid w:val="00A955C0"/>
    <w:rsid w:val="00A9646B"/>
    <w:rsid w:val="00AA001F"/>
    <w:rsid w:val="00AB34C1"/>
    <w:rsid w:val="00AB359A"/>
    <w:rsid w:val="00AB3991"/>
    <w:rsid w:val="00AB62C9"/>
    <w:rsid w:val="00AB6D98"/>
    <w:rsid w:val="00AC1DEA"/>
    <w:rsid w:val="00AD1F11"/>
    <w:rsid w:val="00AD349D"/>
    <w:rsid w:val="00AD3DBB"/>
    <w:rsid w:val="00AE3D80"/>
    <w:rsid w:val="00AE40EC"/>
    <w:rsid w:val="00AE74CF"/>
    <w:rsid w:val="00AF7D04"/>
    <w:rsid w:val="00B0470B"/>
    <w:rsid w:val="00B04C97"/>
    <w:rsid w:val="00B072AC"/>
    <w:rsid w:val="00B079A0"/>
    <w:rsid w:val="00B12B9D"/>
    <w:rsid w:val="00B15B2C"/>
    <w:rsid w:val="00B16D74"/>
    <w:rsid w:val="00B16F0F"/>
    <w:rsid w:val="00B23313"/>
    <w:rsid w:val="00B24A99"/>
    <w:rsid w:val="00B25A9A"/>
    <w:rsid w:val="00B329A9"/>
    <w:rsid w:val="00B362F7"/>
    <w:rsid w:val="00B36C64"/>
    <w:rsid w:val="00B37751"/>
    <w:rsid w:val="00B41862"/>
    <w:rsid w:val="00B41DDA"/>
    <w:rsid w:val="00B457B2"/>
    <w:rsid w:val="00B467AE"/>
    <w:rsid w:val="00B47B6D"/>
    <w:rsid w:val="00B5242B"/>
    <w:rsid w:val="00B53AED"/>
    <w:rsid w:val="00B54087"/>
    <w:rsid w:val="00B54728"/>
    <w:rsid w:val="00B558E3"/>
    <w:rsid w:val="00B60B41"/>
    <w:rsid w:val="00B62EB6"/>
    <w:rsid w:val="00B666DD"/>
    <w:rsid w:val="00B67073"/>
    <w:rsid w:val="00B768F1"/>
    <w:rsid w:val="00B76A9E"/>
    <w:rsid w:val="00B800E6"/>
    <w:rsid w:val="00B82ABA"/>
    <w:rsid w:val="00B82CD3"/>
    <w:rsid w:val="00B84B14"/>
    <w:rsid w:val="00B84EAA"/>
    <w:rsid w:val="00B90C87"/>
    <w:rsid w:val="00B91A9E"/>
    <w:rsid w:val="00B92F0A"/>
    <w:rsid w:val="00B947ED"/>
    <w:rsid w:val="00BA0928"/>
    <w:rsid w:val="00BA0CDB"/>
    <w:rsid w:val="00BB09DC"/>
    <w:rsid w:val="00BB1412"/>
    <w:rsid w:val="00BB3CB1"/>
    <w:rsid w:val="00BB59BB"/>
    <w:rsid w:val="00BB6938"/>
    <w:rsid w:val="00BC0806"/>
    <w:rsid w:val="00BC0888"/>
    <w:rsid w:val="00BC1547"/>
    <w:rsid w:val="00BC4C82"/>
    <w:rsid w:val="00BC76F6"/>
    <w:rsid w:val="00BD1D03"/>
    <w:rsid w:val="00BD2058"/>
    <w:rsid w:val="00BD35DC"/>
    <w:rsid w:val="00BD4E07"/>
    <w:rsid w:val="00BD5120"/>
    <w:rsid w:val="00BD64C4"/>
    <w:rsid w:val="00BD77BF"/>
    <w:rsid w:val="00BE309D"/>
    <w:rsid w:val="00BF008C"/>
    <w:rsid w:val="00BF0340"/>
    <w:rsid w:val="00BF160B"/>
    <w:rsid w:val="00BF53C4"/>
    <w:rsid w:val="00BF6BE7"/>
    <w:rsid w:val="00C00DC4"/>
    <w:rsid w:val="00C00FE5"/>
    <w:rsid w:val="00C05C49"/>
    <w:rsid w:val="00C1604F"/>
    <w:rsid w:val="00C2245B"/>
    <w:rsid w:val="00C35E38"/>
    <w:rsid w:val="00C36189"/>
    <w:rsid w:val="00C3772F"/>
    <w:rsid w:val="00C400C5"/>
    <w:rsid w:val="00C40E1F"/>
    <w:rsid w:val="00C41E75"/>
    <w:rsid w:val="00C430F4"/>
    <w:rsid w:val="00C44048"/>
    <w:rsid w:val="00C45196"/>
    <w:rsid w:val="00C526A7"/>
    <w:rsid w:val="00C60326"/>
    <w:rsid w:val="00C61BC5"/>
    <w:rsid w:val="00C62DC0"/>
    <w:rsid w:val="00C7464B"/>
    <w:rsid w:val="00C765AB"/>
    <w:rsid w:val="00C77D81"/>
    <w:rsid w:val="00C83572"/>
    <w:rsid w:val="00C876D8"/>
    <w:rsid w:val="00C878F2"/>
    <w:rsid w:val="00C90A9E"/>
    <w:rsid w:val="00CA621A"/>
    <w:rsid w:val="00CB3D35"/>
    <w:rsid w:val="00CB5693"/>
    <w:rsid w:val="00CB73C8"/>
    <w:rsid w:val="00CC0CF1"/>
    <w:rsid w:val="00CD6D54"/>
    <w:rsid w:val="00CD73A3"/>
    <w:rsid w:val="00CE3D48"/>
    <w:rsid w:val="00CE5DE5"/>
    <w:rsid w:val="00CF0680"/>
    <w:rsid w:val="00CF166E"/>
    <w:rsid w:val="00CF325C"/>
    <w:rsid w:val="00CF3BE5"/>
    <w:rsid w:val="00CF3EC5"/>
    <w:rsid w:val="00CF433A"/>
    <w:rsid w:val="00CF4CAD"/>
    <w:rsid w:val="00CF6819"/>
    <w:rsid w:val="00D05F7E"/>
    <w:rsid w:val="00D06A3A"/>
    <w:rsid w:val="00D07361"/>
    <w:rsid w:val="00D10080"/>
    <w:rsid w:val="00D10F40"/>
    <w:rsid w:val="00D11E03"/>
    <w:rsid w:val="00D15341"/>
    <w:rsid w:val="00D17FAB"/>
    <w:rsid w:val="00D20CEC"/>
    <w:rsid w:val="00D210AE"/>
    <w:rsid w:val="00D22632"/>
    <w:rsid w:val="00D244D6"/>
    <w:rsid w:val="00D25E0C"/>
    <w:rsid w:val="00D27E1C"/>
    <w:rsid w:val="00D354F0"/>
    <w:rsid w:val="00D36EA7"/>
    <w:rsid w:val="00D37781"/>
    <w:rsid w:val="00D401EB"/>
    <w:rsid w:val="00D44F1B"/>
    <w:rsid w:val="00D46259"/>
    <w:rsid w:val="00D47DB8"/>
    <w:rsid w:val="00D51499"/>
    <w:rsid w:val="00D51A47"/>
    <w:rsid w:val="00D60C11"/>
    <w:rsid w:val="00D61FF0"/>
    <w:rsid w:val="00D62687"/>
    <w:rsid w:val="00D631F5"/>
    <w:rsid w:val="00D64987"/>
    <w:rsid w:val="00D64F36"/>
    <w:rsid w:val="00D65649"/>
    <w:rsid w:val="00D65CC3"/>
    <w:rsid w:val="00D65D3F"/>
    <w:rsid w:val="00D7378B"/>
    <w:rsid w:val="00D73B9C"/>
    <w:rsid w:val="00D7609D"/>
    <w:rsid w:val="00D7752C"/>
    <w:rsid w:val="00D80D9D"/>
    <w:rsid w:val="00D85033"/>
    <w:rsid w:val="00D85361"/>
    <w:rsid w:val="00D8564B"/>
    <w:rsid w:val="00D932BD"/>
    <w:rsid w:val="00D959D1"/>
    <w:rsid w:val="00D9641C"/>
    <w:rsid w:val="00DA1D83"/>
    <w:rsid w:val="00DA3044"/>
    <w:rsid w:val="00DA399E"/>
    <w:rsid w:val="00DA3A9D"/>
    <w:rsid w:val="00DA5E8B"/>
    <w:rsid w:val="00DA64FA"/>
    <w:rsid w:val="00DA67E1"/>
    <w:rsid w:val="00DB2277"/>
    <w:rsid w:val="00DB4123"/>
    <w:rsid w:val="00DC1CE4"/>
    <w:rsid w:val="00DD0F23"/>
    <w:rsid w:val="00DD2123"/>
    <w:rsid w:val="00DE3458"/>
    <w:rsid w:val="00DE363C"/>
    <w:rsid w:val="00DE4DD1"/>
    <w:rsid w:val="00DE660F"/>
    <w:rsid w:val="00DE6A7F"/>
    <w:rsid w:val="00DE702B"/>
    <w:rsid w:val="00DE72A1"/>
    <w:rsid w:val="00DE7E33"/>
    <w:rsid w:val="00DF0994"/>
    <w:rsid w:val="00DF6705"/>
    <w:rsid w:val="00E0558C"/>
    <w:rsid w:val="00E0793A"/>
    <w:rsid w:val="00E07D64"/>
    <w:rsid w:val="00E11747"/>
    <w:rsid w:val="00E21CC0"/>
    <w:rsid w:val="00E24B4F"/>
    <w:rsid w:val="00E250CC"/>
    <w:rsid w:val="00E30664"/>
    <w:rsid w:val="00E30D87"/>
    <w:rsid w:val="00E319DC"/>
    <w:rsid w:val="00E31CD0"/>
    <w:rsid w:val="00E3214C"/>
    <w:rsid w:val="00E34A91"/>
    <w:rsid w:val="00E41A3C"/>
    <w:rsid w:val="00E452ED"/>
    <w:rsid w:val="00E515C7"/>
    <w:rsid w:val="00E53783"/>
    <w:rsid w:val="00E57475"/>
    <w:rsid w:val="00E62845"/>
    <w:rsid w:val="00E6450E"/>
    <w:rsid w:val="00E71CB0"/>
    <w:rsid w:val="00E735A7"/>
    <w:rsid w:val="00E7611A"/>
    <w:rsid w:val="00E87D22"/>
    <w:rsid w:val="00E912AD"/>
    <w:rsid w:val="00E91DB9"/>
    <w:rsid w:val="00E9318D"/>
    <w:rsid w:val="00E936D9"/>
    <w:rsid w:val="00E9795F"/>
    <w:rsid w:val="00E97AFC"/>
    <w:rsid w:val="00EA3D7A"/>
    <w:rsid w:val="00EA5E72"/>
    <w:rsid w:val="00EB13D4"/>
    <w:rsid w:val="00EB4F40"/>
    <w:rsid w:val="00EB6C2A"/>
    <w:rsid w:val="00EB6F6A"/>
    <w:rsid w:val="00EB76A6"/>
    <w:rsid w:val="00EC394F"/>
    <w:rsid w:val="00EC3CD6"/>
    <w:rsid w:val="00ED42FC"/>
    <w:rsid w:val="00ED4978"/>
    <w:rsid w:val="00ED579D"/>
    <w:rsid w:val="00EE0F25"/>
    <w:rsid w:val="00EE446B"/>
    <w:rsid w:val="00EE6F99"/>
    <w:rsid w:val="00EF1699"/>
    <w:rsid w:val="00EF281E"/>
    <w:rsid w:val="00EF44BA"/>
    <w:rsid w:val="00EF6AAE"/>
    <w:rsid w:val="00F00B15"/>
    <w:rsid w:val="00F039F7"/>
    <w:rsid w:val="00F05909"/>
    <w:rsid w:val="00F121E6"/>
    <w:rsid w:val="00F1373D"/>
    <w:rsid w:val="00F14604"/>
    <w:rsid w:val="00F14F52"/>
    <w:rsid w:val="00F178A7"/>
    <w:rsid w:val="00F20A42"/>
    <w:rsid w:val="00F20DC9"/>
    <w:rsid w:val="00F239E5"/>
    <w:rsid w:val="00F2662B"/>
    <w:rsid w:val="00F342EF"/>
    <w:rsid w:val="00F36ECF"/>
    <w:rsid w:val="00F412FD"/>
    <w:rsid w:val="00F4245B"/>
    <w:rsid w:val="00F43861"/>
    <w:rsid w:val="00F45210"/>
    <w:rsid w:val="00F56672"/>
    <w:rsid w:val="00F56FF2"/>
    <w:rsid w:val="00F57A85"/>
    <w:rsid w:val="00F65ED8"/>
    <w:rsid w:val="00F73EE0"/>
    <w:rsid w:val="00F75A9D"/>
    <w:rsid w:val="00F75F90"/>
    <w:rsid w:val="00F7682D"/>
    <w:rsid w:val="00F80026"/>
    <w:rsid w:val="00F82729"/>
    <w:rsid w:val="00F83904"/>
    <w:rsid w:val="00F858BB"/>
    <w:rsid w:val="00F86343"/>
    <w:rsid w:val="00F91FB6"/>
    <w:rsid w:val="00F95B6B"/>
    <w:rsid w:val="00F96E0C"/>
    <w:rsid w:val="00FA267A"/>
    <w:rsid w:val="00FA3B94"/>
    <w:rsid w:val="00FA5539"/>
    <w:rsid w:val="00FA5CFB"/>
    <w:rsid w:val="00FB46FA"/>
    <w:rsid w:val="00FB5607"/>
    <w:rsid w:val="00FB58D7"/>
    <w:rsid w:val="00FB62F9"/>
    <w:rsid w:val="00FB704F"/>
    <w:rsid w:val="00FC0400"/>
    <w:rsid w:val="00FD0D41"/>
    <w:rsid w:val="00FD161C"/>
    <w:rsid w:val="00FD18CC"/>
    <w:rsid w:val="00FD2A6E"/>
    <w:rsid w:val="00FD2BD0"/>
    <w:rsid w:val="00FD54CD"/>
    <w:rsid w:val="00FE02D3"/>
    <w:rsid w:val="00FE2D5B"/>
    <w:rsid w:val="00FE565E"/>
    <w:rsid w:val="00FF1A27"/>
    <w:rsid w:val="00FF60E4"/>
    <w:rsid w:val="011D7F6A"/>
    <w:rsid w:val="01896FDE"/>
    <w:rsid w:val="018A3E87"/>
    <w:rsid w:val="025E9EEA"/>
    <w:rsid w:val="02E9630C"/>
    <w:rsid w:val="02FC0A3C"/>
    <w:rsid w:val="03393E7F"/>
    <w:rsid w:val="03627D18"/>
    <w:rsid w:val="03B32854"/>
    <w:rsid w:val="03B69D78"/>
    <w:rsid w:val="04313C23"/>
    <w:rsid w:val="0504A4AE"/>
    <w:rsid w:val="0522CB58"/>
    <w:rsid w:val="0531830C"/>
    <w:rsid w:val="05E116BF"/>
    <w:rsid w:val="05E76A1D"/>
    <w:rsid w:val="0600DBB3"/>
    <w:rsid w:val="0613B9CF"/>
    <w:rsid w:val="06730320"/>
    <w:rsid w:val="067DFEC2"/>
    <w:rsid w:val="06CDE22C"/>
    <w:rsid w:val="0786CCE4"/>
    <w:rsid w:val="078DDBB5"/>
    <w:rsid w:val="07A7FE2F"/>
    <w:rsid w:val="0814F382"/>
    <w:rsid w:val="0937A1F9"/>
    <w:rsid w:val="0940F63A"/>
    <w:rsid w:val="09810195"/>
    <w:rsid w:val="0984F26D"/>
    <w:rsid w:val="0A6B47BA"/>
    <w:rsid w:val="0AA3B749"/>
    <w:rsid w:val="0AD64DEB"/>
    <w:rsid w:val="0B368230"/>
    <w:rsid w:val="0B588420"/>
    <w:rsid w:val="0B5E64D3"/>
    <w:rsid w:val="0B68CB03"/>
    <w:rsid w:val="0BC7A51C"/>
    <w:rsid w:val="0C477E91"/>
    <w:rsid w:val="0C7CEC38"/>
    <w:rsid w:val="0D239D27"/>
    <w:rsid w:val="0DE8FAFB"/>
    <w:rsid w:val="0EAD6D80"/>
    <w:rsid w:val="0EE6ADAF"/>
    <w:rsid w:val="0F018B19"/>
    <w:rsid w:val="0F4DE82F"/>
    <w:rsid w:val="0F6E865F"/>
    <w:rsid w:val="0F7C0BB2"/>
    <w:rsid w:val="0FE8B33E"/>
    <w:rsid w:val="101E7CDD"/>
    <w:rsid w:val="1032D431"/>
    <w:rsid w:val="10581714"/>
    <w:rsid w:val="106B466B"/>
    <w:rsid w:val="107A54B4"/>
    <w:rsid w:val="10D7E85C"/>
    <w:rsid w:val="12AE4680"/>
    <w:rsid w:val="135570DE"/>
    <w:rsid w:val="139F5859"/>
    <w:rsid w:val="13A64D6A"/>
    <w:rsid w:val="1459E1C8"/>
    <w:rsid w:val="14902695"/>
    <w:rsid w:val="161558B6"/>
    <w:rsid w:val="161FAFBB"/>
    <w:rsid w:val="164F7710"/>
    <w:rsid w:val="1667D46C"/>
    <w:rsid w:val="17321189"/>
    <w:rsid w:val="175EC857"/>
    <w:rsid w:val="17946C68"/>
    <w:rsid w:val="1811FDC5"/>
    <w:rsid w:val="183AA6BB"/>
    <w:rsid w:val="18501D68"/>
    <w:rsid w:val="1850BA79"/>
    <w:rsid w:val="1879A4DA"/>
    <w:rsid w:val="1891B9B8"/>
    <w:rsid w:val="18D605AC"/>
    <w:rsid w:val="19202536"/>
    <w:rsid w:val="194A292E"/>
    <w:rsid w:val="19A88479"/>
    <w:rsid w:val="19C1E426"/>
    <w:rsid w:val="19FFA8BF"/>
    <w:rsid w:val="1A1C3E17"/>
    <w:rsid w:val="1A734494"/>
    <w:rsid w:val="1A99DE2E"/>
    <w:rsid w:val="1ADA300E"/>
    <w:rsid w:val="1BA73D8A"/>
    <w:rsid w:val="1C78CCBB"/>
    <w:rsid w:val="1C8682C8"/>
    <w:rsid w:val="1CC7A023"/>
    <w:rsid w:val="1CE9AC8B"/>
    <w:rsid w:val="1D0F69AC"/>
    <w:rsid w:val="1D6AEE35"/>
    <w:rsid w:val="1D9D09FD"/>
    <w:rsid w:val="1DB1AAED"/>
    <w:rsid w:val="1E181061"/>
    <w:rsid w:val="1EC49440"/>
    <w:rsid w:val="1EC8302E"/>
    <w:rsid w:val="1F529C52"/>
    <w:rsid w:val="1F8D37EA"/>
    <w:rsid w:val="1FFF46A3"/>
    <w:rsid w:val="2035A7A1"/>
    <w:rsid w:val="2068728E"/>
    <w:rsid w:val="2102C654"/>
    <w:rsid w:val="21BE238B"/>
    <w:rsid w:val="21BEA081"/>
    <w:rsid w:val="21E98916"/>
    <w:rsid w:val="221BB197"/>
    <w:rsid w:val="22224632"/>
    <w:rsid w:val="223591BA"/>
    <w:rsid w:val="227C6FD4"/>
    <w:rsid w:val="229714BB"/>
    <w:rsid w:val="22D2618A"/>
    <w:rsid w:val="22FAE31A"/>
    <w:rsid w:val="23CC6659"/>
    <w:rsid w:val="23F28DCD"/>
    <w:rsid w:val="243BFE55"/>
    <w:rsid w:val="24A0337F"/>
    <w:rsid w:val="24A31420"/>
    <w:rsid w:val="24ADC888"/>
    <w:rsid w:val="24EFE2E3"/>
    <w:rsid w:val="2504AEF2"/>
    <w:rsid w:val="2528DFEA"/>
    <w:rsid w:val="252B0FDF"/>
    <w:rsid w:val="2534B7C8"/>
    <w:rsid w:val="253A73AF"/>
    <w:rsid w:val="255298E5"/>
    <w:rsid w:val="258B32D9"/>
    <w:rsid w:val="25BB0102"/>
    <w:rsid w:val="261A0A30"/>
    <w:rsid w:val="26255EEE"/>
    <w:rsid w:val="263E6536"/>
    <w:rsid w:val="26842658"/>
    <w:rsid w:val="26ECFC4E"/>
    <w:rsid w:val="27013B8E"/>
    <w:rsid w:val="2725D6A4"/>
    <w:rsid w:val="2775BCA7"/>
    <w:rsid w:val="28C25A4F"/>
    <w:rsid w:val="290205BF"/>
    <w:rsid w:val="29273D30"/>
    <w:rsid w:val="29800B88"/>
    <w:rsid w:val="2A6E7DA5"/>
    <w:rsid w:val="2A99341A"/>
    <w:rsid w:val="2AF96F29"/>
    <w:rsid w:val="2B919D72"/>
    <w:rsid w:val="2CCDF70B"/>
    <w:rsid w:val="2CF1330F"/>
    <w:rsid w:val="2CF26F7E"/>
    <w:rsid w:val="2D049966"/>
    <w:rsid w:val="2E0CBE8C"/>
    <w:rsid w:val="2E4784FC"/>
    <w:rsid w:val="2EC7520B"/>
    <w:rsid w:val="2ED5E77C"/>
    <w:rsid w:val="2F6DC5C3"/>
    <w:rsid w:val="2F8E2F7F"/>
    <w:rsid w:val="2FA2214A"/>
    <w:rsid w:val="2FB05B11"/>
    <w:rsid w:val="2FC59614"/>
    <w:rsid w:val="30A8C444"/>
    <w:rsid w:val="30BA8917"/>
    <w:rsid w:val="30C90A6E"/>
    <w:rsid w:val="31AFFBEB"/>
    <w:rsid w:val="31BA8289"/>
    <w:rsid w:val="31BC6C2E"/>
    <w:rsid w:val="31C74811"/>
    <w:rsid w:val="31CFD4AA"/>
    <w:rsid w:val="32037839"/>
    <w:rsid w:val="3256E8F9"/>
    <w:rsid w:val="3368E525"/>
    <w:rsid w:val="33811A23"/>
    <w:rsid w:val="34219476"/>
    <w:rsid w:val="346D1786"/>
    <w:rsid w:val="3509C4C1"/>
    <w:rsid w:val="350D37CA"/>
    <w:rsid w:val="3541D183"/>
    <w:rsid w:val="3556C412"/>
    <w:rsid w:val="355AE58D"/>
    <w:rsid w:val="35825584"/>
    <w:rsid w:val="35836C2E"/>
    <w:rsid w:val="35E0AFDB"/>
    <w:rsid w:val="35F9F082"/>
    <w:rsid w:val="360A82EF"/>
    <w:rsid w:val="360DFC5F"/>
    <w:rsid w:val="36742D72"/>
    <w:rsid w:val="36AB660B"/>
    <w:rsid w:val="36F93ECD"/>
    <w:rsid w:val="36FA9623"/>
    <w:rsid w:val="379839B2"/>
    <w:rsid w:val="37B1CBF8"/>
    <w:rsid w:val="381272E5"/>
    <w:rsid w:val="3824C93B"/>
    <w:rsid w:val="38D40DF6"/>
    <w:rsid w:val="3944E72E"/>
    <w:rsid w:val="398CD032"/>
    <w:rsid w:val="39A425EA"/>
    <w:rsid w:val="39DC0ACE"/>
    <w:rsid w:val="3ABEA65B"/>
    <w:rsid w:val="3ACD860C"/>
    <w:rsid w:val="3AE6A792"/>
    <w:rsid w:val="3B0C4B45"/>
    <w:rsid w:val="3B3021FC"/>
    <w:rsid w:val="3B7B81EB"/>
    <w:rsid w:val="3C32B172"/>
    <w:rsid w:val="3C3BB21F"/>
    <w:rsid w:val="3C87C78F"/>
    <w:rsid w:val="3CAC4847"/>
    <w:rsid w:val="3D016D04"/>
    <w:rsid w:val="3D890537"/>
    <w:rsid w:val="3D9C12F6"/>
    <w:rsid w:val="3FD3846A"/>
    <w:rsid w:val="406F60CE"/>
    <w:rsid w:val="40BDAAE3"/>
    <w:rsid w:val="4109CD15"/>
    <w:rsid w:val="41227CB8"/>
    <w:rsid w:val="41EC9052"/>
    <w:rsid w:val="421DA210"/>
    <w:rsid w:val="429305B0"/>
    <w:rsid w:val="42B63E4A"/>
    <w:rsid w:val="42B86DB9"/>
    <w:rsid w:val="42C602F9"/>
    <w:rsid w:val="42F09379"/>
    <w:rsid w:val="430029E3"/>
    <w:rsid w:val="433E338E"/>
    <w:rsid w:val="438ADA3E"/>
    <w:rsid w:val="43FD4657"/>
    <w:rsid w:val="447F0144"/>
    <w:rsid w:val="449459C4"/>
    <w:rsid w:val="44ABE6D1"/>
    <w:rsid w:val="44BBBC26"/>
    <w:rsid w:val="44CDF9F3"/>
    <w:rsid w:val="44F8B994"/>
    <w:rsid w:val="4514F149"/>
    <w:rsid w:val="4540916F"/>
    <w:rsid w:val="456217C2"/>
    <w:rsid w:val="45A0ACE5"/>
    <w:rsid w:val="45ACBFA3"/>
    <w:rsid w:val="461FD09F"/>
    <w:rsid w:val="46209910"/>
    <w:rsid w:val="4667ED97"/>
    <w:rsid w:val="46ACE390"/>
    <w:rsid w:val="46AF1696"/>
    <w:rsid w:val="46C04BEE"/>
    <w:rsid w:val="46C4B895"/>
    <w:rsid w:val="46EB0CF1"/>
    <w:rsid w:val="4783E9EF"/>
    <w:rsid w:val="47B9BE91"/>
    <w:rsid w:val="48077AE1"/>
    <w:rsid w:val="48CD23DB"/>
    <w:rsid w:val="48CF49D2"/>
    <w:rsid w:val="499EB492"/>
    <w:rsid w:val="49F02AE0"/>
    <w:rsid w:val="4B44101F"/>
    <w:rsid w:val="4B8C7699"/>
    <w:rsid w:val="4BA3C6C3"/>
    <w:rsid w:val="4BB11FC2"/>
    <w:rsid w:val="4BC7554F"/>
    <w:rsid w:val="4BF83911"/>
    <w:rsid w:val="4C2CDFC0"/>
    <w:rsid w:val="4C4B1462"/>
    <w:rsid w:val="4C8413B3"/>
    <w:rsid w:val="4C906007"/>
    <w:rsid w:val="4CB1C0B6"/>
    <w:rsid w:val="4CF712D7"/>
    <w:rsid w:val="4D3B79CC"/>
    <w:rsid w:val="4D7AAAAD"/>
    <w:rsid w:val="4D895FFA"/>
    <w:rsid w:val="4DC1F8BE"/>
    <w:rsid w:val="4DD58FFC"/>
    <w:rsid w:val="4DF185E0"/>
    <w:rsid w:val="4E29BEB2"/>
    <w:rsid w:val="4E7E2EFE"/>
    <w:rsid w:val="4F2BD908"/>
    <w:rsid w:val="4F42F9BA"/>
    <w:rsid w:val="4F61B320"/>
    <w:rsid w:val="4FE98AFE"/>
    <w:rsid w:val="50642095"/>
    <w:rsid w:val="506E0431"/>
    <w:rsid w:val="5100F2A1"/>
    <w:rsid w:val="513D76C8"/>
    <w:rsid w:val="5169AAB9"/>
    <w:rsid w:val="51AE90BF"/>
    <w:rsid w:val="51C2E384"/>
    <w:rsid w:val="51E7029D"/>
    <w:rsid w:val="52146E7B"/>
    <w:rsid w:val="5220F76C"/>
    <w:rsid w:val="5280A2D9"/>
    <w:rsid w:val="52C46A52"/>
    <w:rsid w:val="52D1C6E5"/>
    <w:rsid w:val="54837631"/>
    <w:rsid w:val="549262D8"/>
    <w:rsid w:val="549873CB"/>
    <w:rsid w:val="55171405"/>
    <w:rsid w:val="5599444C"/>
    <w:rsid w:val="55DDFDCA"/>
    <w:rsid w:val="562FDD81"/>
    <w:rsid w:val="563E3B5F"/>
    <w:rsid w:val="5682A5F4"/>
    <w:rsid w:val="56AB3FCC"/>
    <w:rsid w:val="56ADC758"/>
    <w:rsid w:val="56B5C902"/>
    <w:rsid w:val="56C7DA65"/>
    <w:rsid w:val="571C2DC0"/>
    <w:rsid w:val="57296C51"/>
    <w:rsid w:val="57637FD5"/>
    <w:rsid w:val="5769063A"/>
    <w:rsid w:val="57D33C5A"/>
    <w:rsid w:val="58141419"/>
    <w:rsid w:val="585BAC2D"/>
    <w:rsid w:val="5892B1F5"/>
    <w:rsid w:val="593DFE81"/>
    <w:rsid w:val="5A49CCD0"/>
    <w:rsid w:val="5A634943"/>
    <w:rsid w:val="5A68305D"/>
    <w:rsid w:val="5AC0ED60"/>
    <w:rsid w:val="5B340610"/>
    <w:rsid w:val="5B487CB9"/>
    <w:rsid w:val="5B5408AE"/>
    <w:rsid w:val="5BC6CF5F"/>
    <w:rsid w:val="5BF5F031"/>
    <w:rsid w:val="5C0E67CF"/>
    <w:rsid w:val="5C609511"/>
    <w:rsid w:val="5CC875CB"/>
    <w:rsid w:val="5CDEFC59"/>
    <w:rsid w:val="5CEE7A4E"/>
    <w:rsid w:val="5D20D6CC"/>
    <w:rsid w:val="5DB5D929"/>
    <w:rsid w:val="5E1EC2FC"/>
    <w:rsid w:val="5E29BC43"/>
    <w:rsid w:val="5E3B4893"/>
    <w:rsid w:val="5E8848F6"/>
    <w:rsid w:val="5F1C9298"/>
    <w:rsid w:val="5FB670E9"/>
    <w:rsid w:val="60132AFA"/>
    <w:rsid w:val="60155546"/>
    <w:rsid w:val="602F31A2"/>
    <w:rsid w:val="606056E2"/>
    <w:rsid w:val="607F170E"/>
    <w:rsid w:val="60CB2603"/>
    <w:rsid w:val="617B7A76"/>
    <w:rsid w:val="61D72402"/>
    <w:rsid w:val="627CBD80"/>
    <w:rsid w:val="62A8A8CF"/>
    <w:rsid w:val="62E74FF7"/>
    <w:rsid w:val="64B6D1BF"/>
    <w:rsid w:val="64E93B83"/>
    <w:rsid w:val="650A6438"/>
    <w:rsid w:val="65118C5E"/>
    <w:rsid w:val="6539B314"/>
    <w:rsid w:val="654E6325"/>
    <w:rsid w:val="659D5B83"/>
    <w:rsid w:val="65BE8D54"/>
    <w:rsid w:val="6682B2D9"/>
    <w:rsid w:val="6736F9C2"/>
    <w:rsid w:val="674124A1"/>
    <w:rsid w:val="6788B5DE"/>
    <w:rsid w:val="67C14ADD"/>
    <w:rsid w:val="67E59AEA"/>
    <w:rsid w:val="6855F0A6"/>
    <w:rsid w:val="693882BB"/>
    <w:rsid w:val="697C02FC"/>
    <w:rsid w:val="69810D38"/>
    <w:rsid w:val="699AD28D"/>
    <w:rsid w:val="69CAD25D"/>
    <w:rsid w:val="69CE5D3F"/>
    <w:rsid w:val="69F9458F"/>
    <w:rsid w:val="6A0E3A15"/>
    <w:rsid w:val="6A5BA772"/>
    <w:rsid w:val="6B964871"/>
    <w:rsid w:val="6C470BB5"/>
    <w:rsid w:val="6C575198"/>
    <w:rsid w:val="6C80F034"/>
    <w:rsid w:val="6CF66F9E"/>
    <w:rsid w:val="6D74C3A1"/>
    <w:rsid w:val="6E5ABAEC"/>
    <w:rsid w:val="6E5BC242"/>
    <w:rsid w:val="6E7592A4"/>
    <w:rsid w:val="6F006917"/>
    <w:rsid w:val="6F1065C3"/>
    <w:rsid w:val="6F6A2F26"/>
    <w:rsid w:val="6F7FC149"/>
    <w:rsid w:val="6FF7C74D"/>
    <w:rsid w:val="7005F5F4"/>
    <w:rsid w:val="700B5D8C"/>
    <w:rsid w:val="70165620"/>
    <w:rsid w:val="7046440F"/>
    <w:rsid w:val="708E8C91"/>
    <w:rsid w:val="70C16F4F"/>
    <w:rsid w:val="717FED0E"/>
    <w:rsid w:val="7198AAA9"/>
    <w:rsid w:val="71C89FF0"/>
    <w:rsid w:val="723B21B3"/>
    <w:rsid w:val="72AD7301"/>
    <w:rsid w:val="73063152"/>
    <w:rsid w:val="735DBD3A"/>
    <w:rsid w:val="73778371"/>
    <w:rsid w:val="738E90D2"/>
    <w:rsid w:val="73B167C7"/>
    <w:rsid w:val="73DA4B31"/>
    <w:rsid w:val="745B1EF7"/>
    <w:rsid w:val="7486E6E3"/>
    <w:rsid w:val="748F23AF"/>
    <w:rsid w:val="751BDD01"/>
    <w:rsid w:val="7522E1D9"/>
    <w:rsid w:val="75FD42F6"/>
    <w:rsid w:val="7609C364"/>
    <w:rsid w:val="760CB8ED"/>
    <w:rsid w:val="7630F3D7"/>
    <w:rsid w:val="76385939"/>
    <w:rsid w:val="7656A6F7"/>
    <w:rsid w:val="766C2325"/>
    <w:rsid w:val="7785ACEB"/>
    <w:rsid w:val="77F02CDB"/>
    <w:rsid w:val="78436837"/>
    <w:rsid w:val="78E9B498"/>
    <w:rsid w:val="78F3723C"/>
    <w:rsid w:val="795A67B7"/>
    <w:rsid w:val="798A577B"/>
    <w:rsid w:val="79B84C70"/>
    <w:rsid w:val="79C80DED"/>
    <w:rsid w:val="7A08CFB4"/>
    <w:rsid w:val="7A0D69C6"/>
    <w:rsid w:val="7A4A1957"/>
    <w:rsid w:val="7A4E3A28"/>
    <w:rsid w:val="7A7721D9"/>
    <w:rsid w:val="7A958A74"/>
    <w:rsid w:val="7A9AF91E"/>
    <w:rsid w:val="7B04F95C"/>
    <w:rsid w:val="7C4BC660"/>
    <w:rsid w:val="7C65CC78"/>
    <w:rsid w:val="7C8B3064"/>
    <w:rsid w:val="7CA8C888"/>
    <w:rsid w:val="7D4D206C"/>
    <w:rsid w:val="7D8F3252"/>
    <w:rsid w:val="7E09FE17"/>
    <w:rsid w:val="7E4CF72E"/>
    <w:rsid w:val="7E630876"/>
    <w:rsid w:val="7E9038C9"/>
    <w:rsid w:val="7E951F45"/>
    <w:rsid w:val="7EB9F234"/>
    <w:rsid w:val="7F817C50"/>
    <w:rsid w:val="7FC46A4A"/>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BBC81"/>
  <w15:chartTrackingRefBased/>
  <w15:docId w15:val="{32867EF6-E154-482A-BD14-1DD7EFD0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436C"/>
  </w:style>
  <w:style w:type="paragraph" w:styleId="Nagwek1">
    <w:name w:val="heading 1"/>
    <w:basedOn w:val="Normalny"/>
    <w:next w:val="Normalny"/>
    <w:link w:val="Nagwek1Znak"/>
    <w:uiPriority w:val="9"/>
    <w:qFormat/>
    <w:rsid w:val="00DD2123"/>
    <w:pPr>
      <w:keepNext/>
      <w:keepLines/>
      <w:numPr>
        <w:ilvl w:val="1"/>
        <w:numId w:val="2"/>
      </w:numPr>
      <w:spacing w:before="240" w:after="240"/>
      <w:outlineLvl w:val="0"/>
    </w:pPr>
    <w:rPr>
      <w:rFonts w:eastAsiaTheme="majorEastAsia" w:cstheme="majorBidi"/>
      <w:b/>
      <w:color w:val="2E74B5" w:themeColor="accent1" w:themeShade="BF"/>
      <w:sz w:val="32"/>
      <w:szCs w:val="32"/>
    </w:rPr>
  </w:style>
  <w:style w:type="paragraph" w:styleId="Nagwek2">
    <w:name w:val="heading 2"/>
    <w:basedOn w:val="Nagwek1"/>
    <w:next w:val="Normalny"/>
    <w:link w:val="Nagwek2Znak"/>
    <w:uiPriority w:val="9"/>
    <w:unhideWhenUsed/>
    <w:qFormat/>
    <w:rsid w:val="00DD2123"/>
    <w:pPr>
      <w:spacing w:before="360"/>
      <w:ind w:left="760" w:hanging="403"/>
      <w:outlineLvl w:val="1"/>
    </w:pPr>
    <w:rPr>
      <w:sz w:val="28"/>
    </w:rPr>
  </w:style>
  <w:style w:type="paragraph" w:styleId="Nagwek3">
    <w:name w:val="heading 3"/>
    <w:basedOn w:val="Normalny"/>
    <w:next w:val="Normalny"/>
    <w:link w:val="Nagwek3Znak"/>
    <w:uiPriority w:val="9"/>
    <w:unhideWhenUsed/>
    <w:qFormat/>
    <w:rsid w:val="008C0C9E"/>
    <w:pPr>
      <w:spacing w:before="240" w:after="120"/>
      <w:jc w:val="both"/>
      <w:outlineLvl w:val="2"/>
    </w:pPr>
    <w:rPr>
      <w:b/>
      <w:color w:val="0070C0"/>
      <w:sz w:val="25"/>
    </w:rPr>
  </w:style>
  <w:style w:type="paragraph" w:styleId="Nagwek4">
    <w:name w:val="heading 4"/>
    <w:basedOn w:val="Normalny"/>
    <w:next w:val="Normalny"/>
    <w:link w:val="Nagwek4Znak"/>
    <w:uiPriority w:val="9"/>
    <w:unhideWhenUsed/>
    <w:qFormat/>
    <w:rsid w:val="00D7752C"/>
    <w:pPr>
      <w:keepNext/>
      <w:keepLines/>
      <w:spacing w:before="240" w:after="120"/>
      <w:ind w:left="709"/>
      <w:jc w:val="both"/>
      <w:outlineLvl w:val="3"/>
    </w:pPr>
    <w:rPr>
      <w:rFonts w:asciiTheme="majorHAnsi" w:eastAsiaTheme="majorEastAsia" w:hAnsiTheme="majorHAnsi" w:cstheme="majorBidi"/>
      <w:b/>
      <w:iCs/>
      <w:color w:val="2E74B5" w:themeColor="accent1" w:themeShade="BF"/>
      <w:sz w:val="24"/>
    </w:rPr>
  </w:style>
  <w:style w:type="paragraph" w:styleId="Nagwek5">
    <w:name w:val="heading 5"/>
    <w:basedOn w:val="Normalny"/>
    <w:next w:val="Normalny"/>
    <w:link w:val="Nagwek5Znak"/>
    <w:uiPriority w:val="9"/>
    <w:unhideWhenUsed/>
    <w:qFormat/>
    <w:rsid w:val="00F73EE0"/>
    <w:pPr>
      <w:keepNext/>
      <w:keepLines/>
      <w:spacing w:before="240" w:after="120"/>
      <w:outlineLvl w:val="4"/>
    </w:pPr>
    <w:rPr>
      <w:rFonts w:asciiTheme="majorHAnsi" w:eastAsiaTheme="majorEastAsia" w:hAnsiTheme="majorHAnsi" w:cstheme="majorBidi"/>
      <w:b/>
      <w:color w:val="2E74B5" w:themeColor="accent1" w:themeShade="BF"/>
      <w:sz w:val="23"/>
    </w:rPr>
  </w:style>
  <w:style w:type="paragraph" w:styleId="Nagwek6">
    <w:name w:val="heading 6"/>
    <w:basedOn w:val="Normalny"/>
    <w:next w:val="Normalny"/>
    <w:link w:val="Nagwek6Znak"/>
    <w:uiPriority w:val="9"/>
    <w:unhideWhenUsed/>
    <w:qFormat/>
    <w:rsid w:val="00F73EE0"/>
    <w:pPr>
      <w:keepNext/>
      <w:keepLines/>
      <w:spacing w:before="180" w:after="120"/>
      <w:jc w:val="both"/>
      <w:outlineLvl w:val="5"/>
    </w:pPr>
    <w:rPr>
      <w:rFonts w:eastAsiaTheme="majorEastAsia" w:cstheme="majorBidi"/>
      <w:b/>
      <w:color w:val="0070C0"/>
    </w:rPr>
  </w:style>
  <w:style w:type="paragraph" w:styleId="Nagwek7">
    <w:name w:val="heading 7"/>
    <w:basedOn w:val="Normalny"/>
    <w:next w:val="Normalny"/>
    <w:link w:val="Nagwek7Znak"/>
    <w:uiPriority w:val="9"/>
    <w:unhideWhenUsed/>
    <w:qFormat/>
    <w:rsid w:val="00F73EE0"/>
    <w:pPr>
      <w:keepNext/>
      <w:keepLines/>
      <w:spacing w:before="120" w:after="120"/>
      <w:outlineLvl w:val="6"/>
    </w:pPr>
    <w:rPr>
      <w:rFonts w:asciiTheme="majorHAnsi" w:eastAsiaTheme="majorEastAsia" w:hAnsiTheme="majorHAnsi" w:cstheme="majorBidi"/>
      <w:i/>
      <w:iCs/>
      <w:color w:val="0070C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D2123"/>
    <w:rPr>
      <w:rFonts w:eastAsiaTheme="majorEastAsia" w:cstheme="majorBidi"/>
      <w:b/>
      <w:color w:val="2E74B5" w:themeColor="accent1" w:themeShade="BF"/>
      <w:sz w:val="32"/>
      <w:szCs w:val="32"/>
    </w:rPr>
  </w:style>
  <w:style w:type="character" w:customStyle="1" w:styleId="Nagwek2Znak">
    <w:name w:val="Nagłówek 2 Znak"/>
    <w:basedOn w:val="Domylnaczcionkaakapitu"/>
    <w:link w:val="Nagwek2"/>
    <w:uiPriority w:val="9"/>
    <w:rsid w:val="00DD2123"/>
    <w:rPr>
      <w:rFonts w:eastAsiaTheme="majorEastAsia" w:cstheme="majorBidi"/>
      <w:b/>
      <w:color w:val="2E74B5" w:themeColor="accent1" w:themeShade="BF"/>
      <w:sz w:val="28"/>
      <w:szCs w:val="32"/>
    </w:rPr>
  </w:style>
  <w:style w:type="character" w:customStyle="1" w:styleId="Nagwek3Znak">
    <w:name w:val="Nagłówek 3 Znak"/>
    <w:basedOn w:val="Domylnaczcionkaakapitu"/>
    <w:link w:val="Nagwek3"/>
    <w:uiPriority w:val="9"/>
    <w:rsid w:val="008C0C9E"/>
    <w:rPr>
      <w:b/>
      <w:color w:val="0070C0"/>
      <w:sz w:val="25"/>
    </w:rPr>
  </w:style>
  <w:style w:type="character" w:customStyle="1" w:styleId="Nagwek4Znak">
    <w:name w:val="Nagłówek 4 Znak"/>
    <w:basedOn w:val="Domylnaczcionkaakapitu"/>
    <w:link w:val="Nagwek4"/>
    <w:uiPriority w:val="9"/>
    <w:rsid w:val="00D7752C"/>
    <w:rPr>
      <w:rFonts w:asciiTheme="majorHAnsi" w:eastAsiaTheme="majorEastAsia" w:hAnsiTheme="majorHAnsi" w:cstheme="majorBidi"/>
      <w:b/>
      <w:iCs/>
      <w:color w:val="2E74B5" w:themeColor="accent1" w:themeShade="BF"/>
      <w:sz w:val="24"/>
    </w:rPr>
  </w:style>
  <w:style w:type="character" w:customStyle="1" w:styleId="Nagwek5Znak">
    <w:name w:val="Nagłówek 5 Znak"/>
    <w:basedOn w:val="Domylnaczcionkaakapitu"/>
    <w:link w:val="Nagwek5"/>
    <w:uiPriority w:val="9"/>
    <w:rsid w:val="00F73EE0"/>
    <w:rPr>
      <w:rFonts w:asciiTheme="majorHAnsi" w:eastAsiaTheme="majorEastAsia" w:hAnsiTheme="majorHAnsi" w:cstheme="majorBidi"/>
      <w:b/>
      <w:color w:val="2E74B5" w:themeColor="accent1" w:themeShade="BF"/>
      <w:sz w:val="23"/>
    </w:rPr>
  </w:style>
  <w:style w:type="paragraph" w:customStyle="1" w:styleId="Standard">
    <w:name w:val="Standard"/>
    <w:qFormat/>
    <w:rsid w:val="001A436C"/>
    <w:pPr>
      <w:suppressAutoHyphens/>
      <w:autoSpaceDN w:val="0"/>
      <w:textAlignment w:val="baseline"/>
    </w:pPr>
    <w:rPr>
      <w:rFonts w:ascii="Calibri" w:eastAsia="Calibri" w:hAnsi="Calibri" w:cs="F"/>
    </w:rPr>
  </w:style>
  <w:style w:type="table" w:styleId="Tabela-Siatka">
    <w:name w:val="Table Grid"/>
    <w:basedOn w:val="Standardowy"/>
    <w:uiPriority w:val="39"/>
    <w:rsid w:val="001A436C"/>
    <w:pPr>
      <w:widowControl w:val="0"/>
      <w:suppressAutoHyphens/>
      <w:autoSpaceDN w:val="0"/>
      <w:spacing w:after="0" w:line="240" w:lineRule="auto"/>
      <w:textAlignment w:val="baseline"/>
    </w:pPr>
    <w:rPr>
      <w:rFonts w:ascii="Calibri" w:eastAsia="Calibri" w:hAnsi="Calibri" w:cs="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1A436C"/>
    <w:pPr>
      <w:spacing w:after="600" w:line="240" w:lineRule="auto"/>
    </w:pPr>
    <w:rPr>
      <w:rFonts w:asciiTheme="majorHAnsi" w:eastAsiaTheme="majorEastAsia" w:hAnsiTheme="majorHAnsi" w:cstheme="majorBidi"/>
      <w:b/>
      <w:color w:val="0070C0"/>
      <w:spacing w:val="-10"/>
      <w:kern w:val="28"/>
      <w:sz w:val="36"/>
      <w:szCs w:val="56"/>
    </w:rPr>
  </w:style>
  <w:style w:type="character" w:customStyle="1" w:styleId="TytuZnak">
    <w:name w:val="Tytuł Znak"/>
    <w:basedOn w:val="Domylnaczcionkaakapitu"/>
    <w:link w:val="Tytu"/>
    <w:uiPriority w:val="10"/>
    <w:qFormat/>
    <w:rsid w:val="001A436C"/>
    <w:rPr>
      <w:rFonts w:asciiTheme="majorHAnsi" w:eastAsiaTheme="majorEastAsia" w:hAnsiTheme="majorHAnsi" w:cstheme="majorBidi"/>
      <w:b/>
      <w:color w:val="0070C0"/>
      <w:spacing w:val="-10"/>
      <w:kern w:val="28"/>
      <w:sz w:val="36"/>
      <w:szCs w:val="56"/>
    </w:rPr>
  </w:style>
  <w:style w:type="paragraph" w:styleId="Akapitzlist">
    <w:name w:val="List Paragraph"/>
    <w:basedOn w:val="Normalny"/>
    <w:qFormat/>
    <w:rsid w:val="001A436C"/>
    <w:pPr>
      <w:ind w:left="720"/>
      <w:contextualSpacing/>
    </w:pPr>
  </w:style>
  <w:style w:type="paragraph" w:customStyle="1" w:styleId="Standarduser">
    <w:name w:val="Standard (user)"/>
    <w:rsid w:val="001A436C"/>
    <w:pPr>
      <w:suppressAutoHyphens/>
      <w:autoSpaceDN w:val="0"/>
      <w:textAlignment w:val="baseline"/>
    </w:pPr>
    <w:rPr>
      <w:rFonts w:ascii="Calibri" w:eastAsia="Calibri" w:hAnsi="Calibri" w:cs="Tahoma"/>
    </w:rPr>
  </w:style>
  <w:style w:type="numbering" w:customStyle="1" w:styleId="WWNum27">
    <w:name w:val="WWNum27"/>
    <w:basedOn w:val="Bezlisty"/>
    <w:rsid w:val="001A436C"/>
    <w:pPr>
      <w:numPr>
        <w:numId w:val="1"/>
      </w:numPr>
    </w:pPr>
  </w:style>
  <w:style w:type="character" w:styleId="Odwoanieprzypisudolnego">
    <w:name w:val="footnote reference"/>
    <w:aliases w:val="Footnote Reference Number,Footnote symbol,Footnote reference number,note TESI,Footnote Reference Superscript,Appel note de bas de p,Times 10 Point,Exposant 3 Point,EN Footnote Reference,BVI fnr,E FNZ,OZNAKA OPOMBE,FZ"/>
    <w:basedOn w:val="Domylnaczcionkaakapitu"/>
    <w:link w:val="FootnoteReferneceCarcter"/>
    <w:uiPriority w:val="99"/>
    <w:unhideWhenUsed/>
    <w:qFormat/>
    <w:rsid w:val="001A436C"/>
    <w:rPr>
      <w:vertAlign w:val="superscript"/>
    </w:rPr>
  </w:style>
  <w:style w:type="paragraph" w:customStyle="1" w:styleId="FootnoteReferneceCarcter">
    <w:name w:val="Footnote Refernece Carácter"/>
    <w:aliases w:val="ftref Carácter,4_G Carácter"/>
    <w:basedOn w:val="Normalny"/>
    <w:link w:val="Odwoanieprzypisudolnego"/>
    <w:uiPriority w:val="99"/>
    <w:rsid w:val="001A436C"/>
    <w:pPr>
      <w:spacing w:before="120" w:line="240" w:lineRule="exact"/>
      <w:jc w:val="both"/>
    </w:pPr>
    <w:rPr>
      <w:vertAlign w:val="superscript"/>
    </w:rPr>
  </w:style>
  <w:style w:type="character" w:styleId="Odwoaniedokomentarza">
    <w:name w:val="annotation reference"/>
    <w:basedOn w:val="Domylnaczcionkaakapitu"/>
    <w:uiPriority w:val="99"/>
    <w:unhideWhenUsed/>
    <w:qFormat/>
    <w:rsid w:val="001A436C"/>
    <w:rPr>
      <w:sz w:val="16"/>
      <w:szCs w:val="16"/>
    </w:rPr>
  </w:style>
  <w:style w:type="paragraph" w:styleId="Tekstkomentarza">
    <w:name w:val="annotation text"/>
    <w:basedOn w:val="Normalny"/>
    <w:link w:val="TekstkomentarzaZnak"/>
    <w:uiPriority w:val="99"/>
    <w:unhideWhenUsed/>
    <w:qFormat/>
    <w:rsid w:val="001A436C"/>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1A436C"/>
    <w:rPr>
      <w:sz w:val="20"/>
      <w:szCs w:val="20"/>
    </w:rPr>
  </w:style>
  <w:style w:type="paragraph" w:styleId="Tekstprzypisudolnego">
    <w:name w:val="footnote text"/>
    <w:aliases w:val="Fodnotetekst Tegn1,Fodnotetekst Tegn Tegn,Fodnotetekst Tegn2 Tegn Tegn,Fodnotetekst Tegn Tegn Tegn Tegn,Fodnotetekst Tegn1 Tegn Tegn Tegn Tegn,Fodnotetekst Tegn Tegn Tegn Tegn Tegn Tegn,Tekst przypisu,Znak,Podrozdział"/>
    <w:basedOn w:val="Normalny"/>
    <w:link w:val="TekstprzypisudolnegoZnak"/>
    <w:uiPriority w:val="99"/>
    <w:unhideWhenUsed/>
    <w:qFormat/>
    <w:rsid w:val="001A436C"/>
    <w:pPr>
      <w:spacing w:after="0" w:line="240" w:lineRule="auto"/>
    </w:pPr>
    <w:rPr>
      <w:rFonts w:ascii="Calibri" w:eastAsia="Calibri" w:hAnsi="Calibri" w:cs="Times New Roman"/>
      <w:sz w:val="20"/>
      <w:szCs w:val="20"/>
    </w:rPr>
  </w:style>
  <w:style w:type="character" w:customStyle="1" w:styleId="TekstprzypisudolnegoZnak">
    <w:name w:val="Tekst przypisu dolnego Znak"/>
    <w:aliases w:val="Fodnotetekst Tegn1 Znak,Fodnotetekst Tegn Tegn Znak,Fodnotetekst Tegn2 Tegn Tegn Znak,Fodnotetekst Tegn Tegn Tegn Tegn Znak,Fodnotetekst Tegn1 Tegn Tegn Tegn Tegn Znak,Fodnotetekst Tegn Tegn Tegn Tegn Tegn Tegn Znak,Znak Znak"/>
    <w:basedOn w:val="Domylnaczcionkaakapitu"/>
    <w:link w:val="Tekstprzypisudolnego"/>
    <w:uiPriority w:val="99"/>
    <w:qFormat/>
    <w:rsid w:val="001A436C"/>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1A436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436C"/>
    <w:rPr>
      <w:rFonts w:ascii="Segoe UI" w:hAnsi="Segoe UI" w:cs="Segoe UI"/>
      <w:sz w:val="18"/>
      <w:szCs w:val="18"/>
    </w:rPr>
  </w:style>
  <w:style w:type="character" w:customStyle="1" w:styleId="Nagwek6Znak">
    <w:name w:val="Nagłówek 6 Znak"/>
    <w:basedOn w:val="Domylnaczcionkaakapitu"/>
    <w:link w:val="Nagwek6"/>
    <w:uiPriority w:val="9"/>
    <w:qFormat/>
    <w:rsid w:val="00F73EE0"/>
    <w:rPr>
      <w:rFonts w:eastAsiaTheme="majorEastAsia" w:cstheme="majorBidi"/>
      <w:b/>
      <w:color w:val="0070C0"/>
    </w:rPr>
  </w:style>
  <w:style w:type="character" w:customStyle="1" w:styleId="Nagwek7Znak">
    <w:name w:val="Nagłówek 7 Znak"/>
    <w:basedOn w:val="Domylnaczcionkaakapitu"/>
    <w:link w:val="Nagwek7"/>
    <w:uiPriority w:val="9"/>
    <w:rsid w:val="00F73EE0"/>
    <w:rPr>
      <w:rFonts w:asciiTheme="majorHAnsi" w:eastAsiaTheme="majorEastAsia" w:hAnsiTheme="majorHAnsi" w:cstheme="majorBidi"/>
      <w:i/>
      <w:iCs/>
      <w:color w:val="0070C0"/>
    </w:rPr>
  </w:style>
  <w:style w:type="paragraph" w:styleId="Tematkomentarza">
    <w:name w:val="annotation subject"/>
    <w:basedOn w:val="Tekstkomentarza"/>
    <w:next w:val="Tekstkomentarza"/>
    <w:link w:val="TematkomentarzaZnak"/>
    <w:uiPriority w:val="99"/>
    <w:semiHidden/>
    <w:unhideWhenUsed/>
    <w:rsid w:val="00452D61"/>
    <w:rPr>
      <w:b/>
      <w:bCs/>
    </w:rPr>
  </w:style>
  <w:style w:type="character" w:customStyle="1" w:styleId="TematkomentarzaZnak">
    <w:name w:val="Temat komentarza Znak"/>
    <w:basedOn w:val="TekstkomentarzaZnak"/>
    <w:link w:val="Tematkomentarza"/>
    <w:uiPriority w:val="99"/>
    <w:semiHidden/>
    <w:rsid w:val="00452D61"/>
    <w:rPr>
      <w:b/>
      <w:bCs/>
      <w:sz w:val="20"/>
      <w:szCs w:val="20"/>
    </w:rPr>
  </w:style>
  <w:style w:type="paragraph" w:customStyle="1" w:styleId="Footnote">
    <w:name w:val="Footnote"/>
    <w:basedOn w:val="Standard"/>
    <w:rsid w:val="006149B1"/>
    <w:pPr>
      <w:spacing w:after="0" w:line="240" w:lineRule="auto"/>
    </w:pPr>
    <w:rPr>
      <w:sz w:val="20"/>
      <w:szCs w:val="20"/>
    </w:rPr>
  </w:style>
  <w:style w:type="character" w:customStyle="1" w:styleId="Zakotwiczenieprzypisudolnego">
    <w:name w:val="Zakotwiczenie przypisu dolnego"/>
    <w:rsid w:val="002A0791"/>
    <w:rPr>
      <w:vertAlign w:val="superscript"/>
    </w:rPr>
  </w:style>
  <w:style w:type="character" w:customStyle="1" w:styleId="Znakiprzypiswdolnych">
    <w:name w:val="Znaki przypisów dolnych"/>
    <w:qFormat/>
    <w:rsid w:val="002A0791"/>
  </w:style>
  <w:style w:type="paragraph" w:styleId="Nagwek">
    <w:name w:val="header"/>
    <w:basedOn w:val="Normalny"/>
    <w:link w:val="NagwekZnak"/>
    <w:uiPriority w:val="99"/>
    <w:unhideWhenUsed/>
    <w:rsid w:val="00B666DD"/>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A75AFB"/>
  </w:style>
  <w:style w:type="paragraph" w:styleId="Stopka">
    <w:name w:val="footer"/>
    <w:basedOn w:val="Normalny"/>
    <w:link w:val="StopkaZnak"/>
    <w:uiPriority w:val="99"/>
    <w:unhideWhenUsed/>
    <w:rsid w:val="00B666DD"/>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A75AFB"/>
  </w:style>
  <w:style w:type="character" w:styleId="Hipercze">
    <w:name w:val="Hyperlink"/>
    <w:basedOn w:val="Domylnaczcionkaakapitu"/>
    <w:uiPriority w:val="99"/>
    <w:unhideWhenUsed/>
    <w:rsid w:val="00F20A42"/>
    <w:rPr>
      <w:color w:val="0563C1" w:themeColor="hyperlink"/>
      <w:u w:val="single"/>
    </w:rPr>
  </w:style>
  <w:style w:type="character" w:customStyle="1" w:styleId="Nierozpoznanawzmianka1">
    <w:name w:val="Nierozpoznana wzmianka1"/>
    <w:basedOn w:val="Domylnaczcionkaakapitu"/>
    <w:uiPriority w:val="99"/>
    <w:semiHidden/>
    <w:unhideWhenUsed/>
    <w:rsid w:val="00F20A42"/>
    <w:rPr>
      <w:color w:val="605E5C"/>
      <w:shd w:val="clear" w:color="auto" w:fill="E1DFDD"/>
    </w:rPr>
  </w:style>
  <w:style w:type="paragraph" w:styleId="Poprawka">
    <w:name w:val="Revision"/>
    <w:hidden/>
    <w:uiPriority w:val="99"/>
    <w:semiHidden/>
    <w:rsid w:val="0004510B"/>
    <w:pPr>
      <w:spacing w:after="0" w:line="240" w:lineRule="auto"/>
    </w:pPr>
  </w:style>
  <w:style w:type="numbering" w:customStyle="1" w:styleId="Bezlisty1">
    <w:name w:val="Bez listy1"/>
    <w:next w:val="Bezlisty"/>
    <w:uiPriority w:val="99"/>
    <w:semiHidden/>
    <w:unhideWhenUsed/>
    <w:rsid w:val="005631A4"/>
  </w:style>
  <w:style w:type="numbering" w:customStyle="1" w:styleId="WWNum271">
    <w:name w:val="WWNum271"/>
    <w:basedOn w:val="Bezlisty"/>
    <w:rsid w:val="005631A4"/>
  </w:style>
  <w:style w:type="character" w:customStyle="1" w:styleId="Nierozpoznanawzmianka10">
    <w:name w:val="Nierozpoznana wzmianka1"/>
    <w:basedOn w:val="Domylnaczcionkaakapitu"/>
    <w:uiPriority w:val="99"/>
    <w:semiHidden/>
    <w:unhideWhenUsed/>
    <w:rsid w:val="005631A4"/>
    <w:rPr>
      <w:color w:val="605E5C"/>
      <w:shd w:val="clear" w:color="auto" w:fill="E1DFDD"/>
    </w:rPr>
  </w:style>
  <w:style w:type="paragraph" w:styleId="Tekstprzypisukocowego">
    <w:name w:val="endnote text"/>
    <w:basedOn w:val="Normalny"/>
    <w:link w:val="TekstprzypisukocowegoZnak"/>
    <w:uiPriority w:val="99"/>
    <w:semiHidden/>
    <w:unhideWhenUsed/>
    <w:rsid w:val="005631A4"/>
    <w:pPr>
      <w:spacing w:after="0" w:line="240" w:lineRule="auto"/>
      <w:jc w:val="both"/>
    </w:pPr>
    <w:rPr>
      <w:sz w:val="20"/>
      <w:szCs w:val="20"/>
    </w:rPr>
  </w:style>
  <w:style w:type="character" w:customStyle="1" w:styleId="TekstprzypisukocowegoZnak">
    <w:name w:val="Tekst przypisu końcowego Znak"/>
    <w:basedOn w:val="Domylnaczcionkaakapitu"/>
    <w:link w:val="Tekstprzypisukocowego"/>
    <w:uiPriority w:val="99"/>
    <w:semiHidden/>
    <w:rsid w:val="005631A4"/>
    <w:rPr>
      <w:sz w:val="20"/>
      <w:szCs w:val="20"/>
    </w:rPr>
  </w:style>
  <w:style w:type="character" w:styleId="Odwoanieprzypisukocowego">
    <w:name w:val="endnote reference"/>
    <w:basedOn w:val="Domylnaczcionkaakapitu"/>
    <w:uiPriority w:val="99"/>
    <w:semiHidden/>
    <w:unhideWhenUsed/>
    <w:rsid w:val="005631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71329">
      <w:bodyDiv w:val="1"/>
      <w:marLeft w:val="0"/>
      <w:marRight w:val="0"/>
      <w:marTop w:val="0"/>
      <w:marBottom w:val="0"/>
      <w:divBdr>
        <w:top w:val="none" w:sz="0" w:space="0" w:color="auto"/>
        <w:left w:val="none" w:sz="0" w:space="0" w:color="auto"/>
        <w:bottom w:val="none" w:sz="0" w:space="0" w:color="auto"/>
        <w:right w:val="none" w:sz="0" w:space="0" w:color="auto"/>
      </w:divBdr>
    </w:div>
    <w:div w:id="551304945">
      <w:bodyDiv w:val="1"/>
      <w:marLeft w:val="0"/>
      <w:marRight w:val="0"/>
      <w:marTop w:val="0"/>
      <w:marBottom w:val="0"/>
      <w:divBdr>
        <w:top w:val="none" w:sz="0" w:space="0" w:color="auto"/>
        <w:left w:val="none" w:sz="0" w:space="0" w:color="auto"/>
        <w:bottom w:val="none" w:sz="0" w:space="0" w:color="auto"/>
        <w:right w:val="none" w:sz="0" w:space="0" w:color="auto"/>
      </w:divBdr>
    </w:div>
    <w:div w:id="551775984">
      <w:bodyDiv w:val="1"/>
      <w:marLeft w:val="0"/>
      <w:marRight w:val="0"/>
      <w:marTop w:val="0"/>
      <w:marBottom w:val="0"/>
      <w:divBdr>
        <w:top w:val="none" w:sz="0" w:space="0" w:color="auto"/>
        <w:left w:val="none" w:sz="0" w:space="0" w:color="auto"/>
        <w:bottom w:val="none" w:sz="0" w:space="0" w:color="auto"/>
        <w:right w:val="none" w:sz="0" w:space="0" w:color="auto"/>
      </w:divBdr>
    </w:div>
    <w:div w:id="894701036">
      <w:bodyDiv w:val="1"/>
      <w:marLeft w:val="0"/>
      <w:marRight w:val="0"/>
      <w:marTop w:val="0"/>
      <w:marBottom w:val="0"/>
      <w:divBdr>
        <w:top w:val="none" w:sz="0" w:space="0" w:color="auto"/>
        <w:left w:val="none" w:sz="0" w:space="0" w:color="auto"/>
        <w:bottom w:val="none" w:sz="0" w:space="0" w:color="auto"/>
        <w:right w:val="none" w:sz="0" w:space="0" w:color="auto"/>
      </w:divBdr>
    </w:div>
    <w:div w:id="1187447751">
      <w:bodyDiv w:val="1"/>
      <w:marLeft w:val="0"/>
      <w:marRight w:val="0"/>
      <w:marTop w:val="0"/>
      <w:marBottom w:val="0"/>
      <w:divBdr>
        <w:top w:val="none" w:sz="0" w:space="0" w:color="auto"/>
        <w:left w:val="none" w:sz="0" w:space="0" w:color="auto"/>
        <w:bottom w:val="none" w:sz="0" w:space="0" w:color="auto"/>
        <w:right w:val="none" w:sz="0" w:space="0" w:color="auto"/>
      </w:divBdr>
    </w:div>
    <w:div w:id="1531407385">
      <w:bodyDiv w:val="1"/>
      <w:marLeft w:val="0"/>
      <w:marRight w:val="0"/>
      <w:marTop w:val="0"/>
      <w:marBottom w:val="0"/>
      <w:divBdr>
        <w:top w:val="none" w:sz="0" w:space="0" w:color="auto"/>
        <w:left w:val="none" w:sz="0" w:space="0" w:color="auto"/>
        <w:bottom w:val="none" w:sz="0" w:space="0" w:color="auto"/>
        <w:right w:val="none" w:sz="0" w:space="0" w:color="auto"/>
      </w:divBdr>
    </w:div>
    <w:div w:id="1531529438">
      <w:bodyDiv w:val="1"/>
      <w:marLeft w:val="0"/>
      <w:marRight w:val="0"/>
      <w:marTop w:val="0"/>
      <w:marBottom w:val="0"/>
      <w:divBdr>
        <w:top w:val="none" w:sz="0" w:space="0" w:color="auto"/>
        <w:left w:val="none" w:sz="0" w:space="0" w:color="auto"/>
        <w:bottom w:val="none" w:sz="0" w:space="0" w:color="auto"/>
        <w:right w:val="none" w:sz="0" w:space="0" w:color="auto"/>
      </w:divBdr>
    </w:div>
    <w:div w:id="2011060772">
      <w:bodyDiv w:val="1"/>
      <w:marLeft w:val="0"/>
      <w:marRight w:val="0"/>
      <w:marTop w:val="0"/>
      <w:marBottom w:val="0"/>
      <w:divBdr>
        <w:top w:val="none" w:sz="0" w:space="0" w:color="auto"/>
        <w:left w:val="none" w:sz="0" w:space="0" w:color="auto"/>
        <w:bottom w:val="none" w:sz="0" w:space="0" w:color="auto"/>
        <w:right w:val="none" w:sz="0" w:space="0" w:color="auto"/>
      </w:divBdr>
    </w:div>
    <w:div w:id="2039550440">
      <w:bodyDiv w:val="1"/>
      <w:marLeft w:val="0"/>
      <w:marRight w:val="0"/>
      <w:marTop w:val="0"/>
      <w:marBottom w:val="0"/>
      <w:divBdr>
        <w:top w:val="none" w:sz="0" w:space="0" w:color="auto"/>
        <w:left w:val="none" w:sz="0" w:space="0" w:color="auto"/>
        <w:bottom w:val="none" w:sz="0" w:space="0" w:color="auto"/>
        <w:right w:val="none" w:sz="0" w:space="0" w:color="auto"/>
      </w:divBdr>
    </w:div>
    <w:div w:id="211983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5.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hyperlink" Target="http://www.pacjent.gov.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vizhub.healthdata.org/gbd-compare/" TargetMode="External"/><Relationship Id="rId2" Type="http://schemas.openxmlformats.org/officeDocument/2006/relationships/hyperlink" Target="https://vizhub.healthdata.org/gbd-compare/" TargetMode="External"/><Relationship Id="rId1" Type="http://schemas.openxmlformats.org/officeDocument/2006/relationships/hyperlink" Target="https://vizhub.healthdata.org/gbd-compare/" TargetMode="External"/><Relationship Id="rId4" Type="http://schemas.openxmlformats.org/officeDocument/2006/relationships/hyperlink" Target="http://oipip.opole.pl/wp-content/uploads/2014/04/pod_strategia.pdf"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Arkusz_programu_Microsoft_Excel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Arkusz_programu_Microsoft_Excel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Arkusz_programu_Microsoft_Excel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Arkusz_programu_Microsoft_Excel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Arkusz_programu_Microsoft_Excel5.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Arkusz_programu_Microsoft_Excel6.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Arkusz_programu_Microsoft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3955411948008485E-2"/>
          <c:y val="5.0400916380297825E-2"/>
          <c:w val="0.91604458805199152"/>
          <c:h val="0.77005714475563969"/>
        </c:manualLayout>
      </c:layout>
      <c:bar3DChart>
        <c:barDir val="col"/>
        <c:grouping val="clustered"/>
        <c:varyColors val="0"/>
        <c:ser>
          <c:idx val="0"/>
          <c:order val="0"/>
          <c:tx>
            <c:strRef>
              <c:f>Arkusz1!$B$1</c:f>
              <c:strCache>
                <c:ptCount val="1"/>
                <c:pt idx="0">
                  <c:v>Wiek respondentów [lata]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Pt>
            <c:idx val="0"/>
            <c:invertIfNegative val="0"/>
            <c:bubble3D val="0"/>
            <c:spPr>
              <a:solidFill>
                <a:schemeClr val="accent1">
                  <a:lumMod val="40000"/>
                  <a:lumOff val="60000"/>
                </a:schemeClr>
              </a:soli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1-2271-4B67-BA39-5B28C3DE2868}"/>
              </c:ext>
            </c:extLst>
          </c:dPt>
          <c:dPt>
            <c:idx val="1"/>
            <c:invertIfNegative val="0"/>
            <c:bubble3D val="0"/>
            <c:spPr>
              <a:solidFill>
                <a:schemeClr val="accent1">
                  <a:lumMod val="60000"/>
                  <a:lumOff val="40000"/>
                </a:schemeClr>
              </a:soli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3-2271-4B67-BA39-5B28C3DE2868}"/>
              </c:ext>
            </c:extLst>
          </c:dPt>
          <c:dPt>
            <c:idx val="2"/>
            <c:invertIfNegative val="0"/>
            <c:bubble3D val="0"/>
            <c:spPr>
              <a:solidFill>
                <a:schemeClr val="accent1"/>
              </a:soli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5-2271-4B67-BA39-5B28C3DE2868}"/>
              </c:ext>
            </c:extLst>
          </c:dPt>
          <c:dPt>
            <c:idx val="3"/>
            <c:invertIfNegative val="0"/>
            <c:bubble3D val="0"/>
            <c:spPr>
              <a:solidFill>
                <a:srgbClr val="3E89CE"/>
              </a:soli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7-2271-4B67-BA39-5B28C3DE2868}"/>
              </c:ext>
            </c:extLst>
          </c:dPt>
          <c:dLbls>
            <c:dLbl>
              <c:idx val="0"/>
              <c:layout>
                <c:manualLayout>
                  <c:x val="3.4528552456839307E-2"/>
                  <c:y val="-1.374570446735403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271-4B67-BA39-5B28C3DE2868}"/>
                </c:ext>
                <c:ext xmlns:c15="http://schemas.microsoft.com/office/drawing/2012/chart" uri="{CE6537A1-D6FC-4f65-9D91-7224C49458BB}"/>
              </c:extLst>
            </c:dLbl>
            <c:dLbl>
              <c:idx val="1"/>
              <c:layout>
                <c:manualLayout>
                  <c:x val="2.6560424966799421E-2"/>
                  <c:y val="-1.374570446735403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271-4B67-BA39-5B28C3DE2868}"/>
                </c:ext>
                <c:ext xmlns:c15="http://schemas.microsoft.com/office/drawing/2012/chart" uri="{CE6537A1-D6FC-4f65-9D91-7224C49458BB}"/>
              </c:extLst>
            </c:dLbl>
            <c:dLbl>
              <c:idx val="2"/>
              <c:layout>
                <c:manualLayout>
                  <c:x val="3.1872509960159362E-2"/>
                  <c:y val="-1.374570446735399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271-4B67-BA39-5B28C3DE2868}"/>
                </c:ext>
                <c:ext xmlns:c15="http://schemas.microsoft.com/office/drawing/2012/chart" uri="{CE6537A1-D6FC-4f65-9D91-7224C49458BB}"/>
              </c:extLst>
            </c:dLbl>
            <c:dLbl>
              <c:idx val="3"/>
              <c:layout>
                <c:manualLayout>
                  <c:x val="2.3904382470119521E-2"/>
                  <c:y val="-1.374570446735395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2271-4B67-BA39-5B28C3DE286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50-64</c:v>
                </c:pt>
                <c:pt idx="1">
                  <c:v>65-74</c:v>
                </c:pt>
                <c:pt idx="2">
                  <c:v>75-84</c:v>
                </c:pt>
                <c:pt idx="3">
                  <c:v>85+</c:v>
                </c:pt>
              </c:strCache>
            </c:strRef>
          </c:cat>
          <c:val>
            <c:numRef>
              <c:f>Arkusz1!$B$2:$B$5</c:f>
              <c:numCache>
                <c:formatCode>0%</c:formatCode>
                <c:ptCount val="4"/>
                <c:pt idx="0">
                  <c:v>0.13</c:v>
                </c:pt>
                <c:pt idx="1">
                  <c:v>0.23</c:v>
                </c:pt>
                <c:pt idx="2">
                  <c:v>0.49</c:v>
                </c:pt>
                <c:pt idx="3">
                  <c:v>0.67</c:v>
                </c:pt>
              </c:numCache>
            </c:numRef>
          </c:val>
          <c:extLst xmlns:c16r2="http://schemas.microsoft.com/office/drawing/2015/06/chart">
            <c:ext xmlns:c16="http://schemas.microsoft.com/office/drawing/2014/chart" uri="{C3380CC4-5D6E-409C-BE32-E72D297353CC}">
              <c16:uniqueId val="{00000008-2271-4B67-BA39-5B28C3DE2868}"/>
            </c:ext>
          </c:extLst>
        </c:ser>
        <c:dLbls>
          <c:showLegendKey val="0"/>
          <c:showVal val="1"/>
          <c:showCatName val="0"/>
          <c:showSerName val="0"/>
          <c:showPercent val="0"/>
          <c:showBubbleSize val="0"/>
        </c:dLbls>
        <c:gapWidth val="150"/>
        <c:shape val="box"/>
        <c:axId val="460806248"/>
        <c:axId val="460807032"/>
        <c:axId val="0"/>
      </c:bar3DChart>
      <c:catAx>
        <c:axId val="4608062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60807032"/>
        <c:crosses val="autoZero"/>
        <c:auto val="1"/>
        <c:lblAlgn val="ctr"/>
        <c:lblOffset val="100"/>
        <c:noMultiLvlLbl val="0"/>
      </c:catAx>
      <c:valAx>
        <c:axId val="460807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pl-PL"/>
                  <a:t>Odsetek respondentów [%]</a:t>
                </a:r>
              </a:p>
            </c:rich>
          </c:tx>
          <c:layout>
            <c:manualLayout>
              <c:xMode val="edge"/>
              <c:yMode val="edge"/>
              <c:x val="2.007508025640222E-3"/>
              <c:y val="0.19530012356702831"/>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60806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586614173228347"/>
          <c:y val="4.3650793650793648E-2"/>
          <c:w val="0.86867089530475361"/>
          <c:h val="0.80048243969503796"/>
        </c:manualLayout>
      </c:layout>
      <c:bar3DChart>
        <c:barDir val="col"/>
        <c:grouping val="clustered"/>
        <c:varyColors val="0"/>
        <c:ser>
          <c:idx val="0"/>
          <c:order val="0"/>
          <c:tx>
            <c:strRef>
              <c:f>Arkusz1!$B$1</c:f>
              <c:strCache>
                <c:ptCount val="1"/>
                <c:pt idx="0">
                  <c:v>Rok</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numRef>
              <c:f>Arkusz1!$A$2:$A$5</c:f>
              <c:numCache>
                <c:formatCode>General</c:formatCode>
                <c:ptCount val="4"/>
                <c:pt idx="0">
                  <c:v>2015</c:v>
                </c:pt>
                <c:pt idx="1">
                  <c:v>2016</c:v>
                </c:pt>
                <c:pt idx="2">
                  <c:v>2017</c:v>
                </c:pt>
                <c:pt idx="3">
                  <c:v>2018</c:v>
                </c:pt>
              </c:numCache>
            </c:numRef>
          </c:cat>
          <c:val>
            <c:numRef>
              <c:f>Arkusz1!$B$2:$B$5</c:f>
              <c:numCache>
                <c:formatCode>General</c:formatCode>
                <c:ptCount val="4"/>
                <c:pt idx="0">
                  <c:v>422</c:v>
                </c:pt>
                <c:pt idx="1">
                  <c:v>422</c:v>
                </c:pt>
                <c:pt idx="2">
                  <c:v>444</c:v>
                </c:pt>
                <c:pt idx="3">
                  <c:v>438</c:v>
                </c:pt>
              </c:numCache>
            </c:numRef>
          </c:val>
          <c:extLst xmlns:c16r2="http://schemas.microsoft.com/office/drawing/2015/06/chart">
            <c:ext xmlns:c16="http://schemas.microsoft.com/office/drawing/2014/chart" uri="{C3380CC4-5D6E-409C-BE32-E72D297353CC}">
              <c16:uniqueId val="{00000000-9AB8-4B76-8357-2639B1C787B0}"/>
            </c:ext>
          </c:extLst>
        </c:ser>
        <c:dLbls>
          <c:showLegendKey val="0"/>
          <c:showVal val="0"/>
          <c:showCatName val="0"/>
          <c:showSerName val="0"/>
          <c:showPercent val="0"/>
          <c:showBubbleSize val="0"/>
        </c:dLbls>
        <c:gapWidth val="150"/>
        <c:shape val="box"/>
        <c:axId val="460801936"/>
        <c:axId val="460808208"/>
        <c:axId val="0"/>
      </c:bar3DChart>
      <c:catAx>
        <c:axId val="46080193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60808208"/>
        <c:crosses val="autoZero"/>
        <c:auto val="1"/>
        <c:lblAlgn val="ctr"/>
        <c:lblOffset val="100"/>
        <c:noMultiLvlLbl val="0"/>
      </c:catAx>
      <c:valAx>
        <c:axId val="4608082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pl-PL"/>
                  <a:t>Liczba ZOL i ZPO</a:t>
                </a:r>
              </a:p>
            </c:rich>
          </c:tx>
          <c:layout>
            <c:manualLayout>
              <c:xMode val="edge"/>
              <c:yMode val="edge"/>
              <c:x val="2.3488261883931182E-2"/>
              <c:y val="0.30452318460192473"/>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60801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0120749134000526"/>
          <c:y val="7.4886134282719605E-2"/>
          <c:w val="0.79879250865999474"/>
          <c:h val="0.79305665999670838"/>
        </c:manualLayout>
      </c:layout>
      <c:bar3DChart>
        <c:barDir val="col"/>
        <c:grouping val="clustered"/>
        <c:varyColors val="0"/>
        <c:ser>
          <c:idx val="0"/>
          <c:order val="0"/>
          <c:tx>
            <c:strRef>
              <c:f>Arkusz1!$B$1</c:f>
              <c:strCache>
                <c:ptCount val="1"/>
                <c:pt idx="0">
                  <c:v>Typ zakładu opiekuńczego</c:v>
                </c:pt>
              </c:strCache>
            </c:strRef>
          </c:tx>
          <c:spPr>
            <a:solidFill>
              <a:schemeClr val="accent1"/>
            </a:solidFill>
            <a:ln>
              <a:noFill/>
            </a:ln>
            <a:effectLst/>
            <a:sp3d/>
          </c:spPr>
          <c:invertIfNegative val="0"/>
          <c:dPt>
            <c:idx val="1"/>
            <c:invertIfNegative val="0"/>
            <c:bubble3D val="0"/>
            <c:spPr>
              <a:solidFill>
                <a:schemeClr val="accent1">
                  <a:lumMod val="60000"/>
                  <a:lumOff val="40000"/>
                </a:schemeClr>
              </a:solidFill>
              <a:ln>
                <a:noFill/>
              </a:ln>
              <a:effectLst/>
              <a:sp3d/>
            </c:spPr>
            <c:extLst xmlns:c16r2="http://schemas.microsoft.com/office/drawing/2015/06/chart">
              <c:ext xmlns:c16="http://schemas.microsoft.com/office/drawing/2014/chart" uri="{C3380CC4-5D6E-409C-BE32-E72D297353CC}">
                <c16:uniqueId val="{00000001-EB81-41AF-B3DC-2732E2E94AF6}"/>
              </c:ext>
            </c:extLst>
          </c:dPt>
          <c:dLbls>
            <c:dLbl>
              <c:idx val="0"/>
              <c:layout>
                <c:manualLayout>
                  <c:x val="4.9766207303445303E-2"/>
                  <c:y val="-1.4629525542867117E-2"/>
                </c:manualLayout>
              </c:layout>
              <c:tx>
                <c:rich>
                  <a:bodyPr/>
                  <a:lstStyle/>
                  <a:p>
                    <a:fld id="{89345CBA-322D-441E-8C18-A6EFD693462C}" type="VALUE">
                      <a:rPr lang="en-US" b="1">
                        <a:solidFill>
                          <a:srgbClr val="0070C0"/>
                        </a:solidFill>
                      </a:rPr>
                      <a:pPr/>
                      <a:t>[WARTOŚĆ]</a:t>
                    </a:fld>
                    <a:r>
                      <a:rPr lang="en-US" b="1">
                        <a:solidFill>
                          <a:srgbClr val="0070C0"/>
                        </a:solidFill>
                      </a:rPr>
                      <a:t> miejsc</a:t>
                    </a:r>
                    <a:r>
                      <a:rPr lang="en-US"/>
                      <a:t>,</a:t>
                    </a:r>
                  </a:p>
                  <a:p>
                    <a:r>
                      <a:rPr lang="en-US"/>
                      <a:t>w tym 5 610 miejsc </a:t>
                    </a:r>
                    <a:br>
                      <a:rPr lang="en-US"/>
                    </a:br>
                    <a:r>
                      <a:rPr lang="en-US"/>
                      <a:t>w ZOL psychiatrycznych</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B81-41AF-B3DC-2732E2E94AF6}"/>
                </c:ext>
                <c:ext xmlns:c15="http://schemas.microsoft.com/office/drawing/2012/chart" uri="{CE6537A1-D6FC-4f65-9D91-7224C49458BB}">
                  <c15:layout>
                    <c:manualLayout>
                      <c:w val="0.37725682663650784"/>
                      <c:h val="0.19989242883101152"/>
                    </c:manualLayout>
                  </c15:layout>
                  <c15:dlblFieldTable/>
                  <c15:showDataLabelsRange val="0"/>
                </c:ext>
              </c:extLst>
            </c:dLbl>
            <c:dLbl>
              <c:idx val="1"/>
              <c:layout>
                <c:manualLayout>
                  <c:x val="5.5549039354468012E-2"/>
                  <c:y val="3.057871141444863E-3"/>
                </c:manualLayout>
              </c:layout>
              <c:tx>
                <c:rich>
                  <a:bodyPr/>
                  <a:lstStyle/>
                  <a:p>
                    <a:fld id="{03609DE4-C476-45F3-8E79-B50865125A4C}" type="VALUE">
                      <a:rPr lang="en-US" b="1">
                        <a:solidFill>
                          <a:srgbClr val="0070C0"/>
                        </a:solidFill>
                      </a:rPr>
                      <a:pPr/>
                      <a:t>[WARTOŚĆ]</a:t>
                    </a:fld>
                    <a:r>
                      <a:rPr lang="en-US" b="1">
                        <a:solidFill>
                          <a:srgbClr val="0070C0"/>
                        </a:solidFill>
                      </a:rPr>
                      <a:t> miejsc</a:t>
                    </a:r>
                    <a:r>
                      <a:rPr lang="en-US"/>
                      <a:t>,</a:t>
                    </a:r>
                  </a:p>
                  <a:p>
                    <a:r>
                      <a:rPr lang="en-US"/>
                      <a:t>w tym 435 miejsc </a:t>
                    </a:r>
                    <a:br>
                      <a:rPr lang="en-US"/>
                    </a:br>
                    <a:r>
                      <a:rPr lang="en-US"/>
                      <a:t>w ZOL psychiatrycznych</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B81-41AF-B3DC-2732E2E94AF6}"/>
                </c:ext>
                <c:ext xmlns:c15="http://schemas.microsoft.com/office/drawing/2012/chart" uri="{CE6537A1-D6FC-4f65-9D91-7224C49458BB}">
                  <c15:layout>
                    <c:manualLayout>
                      <c:w val="0.37802303167388629"/>
                      <c:h val="0.23033929849677881"/>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ZOL</c:v>
                </c:pt>
                <c:pt idx="1">
                  <c:v>ZPO</c:v>
                </c:pt>
              </c:strCache>
            </c:strRef>
          </c:cat>
          <c:val>
            <c:numRef>
              <c:f>Arkusz1!$B$2:$B$3</c:f>
              <c:numCache>
                <c:formatCode>#,##0</c:formatCode>
                <c:ptCount val="2"/>
                <c:pt idx="0">
                  <c:v>26511</c:v>
                </c:pt>
                <c:pt idx="1">
                  <c:v>7523</c:v>
                </c:pt>
              </c:numCache>
            </c:numRef>
          </c:val>
          <c:extLst xmlns:c16r2="http://schemas.microsoft.com/office/drawing/2015/06/chart">
            <c:ext xmlns:c16="http://schemas.microsoft.com/office/drawing/2014/chart" uri="{C3380CC4-5D6E-409C-BE32-E72D297353CC}">
              <c16:uniqueId val="{00000003-EB81-41AF-B3DC-2732E2E94AF6}"/>
            </c:ext>
          </c:extLst>
        </c:ser>
        <c:dLbls>
          <c:showLegendKey val="0"/>
          <c:showVal val="1"/>
          <c:showCatName val="0"/>
          <c:showSerName val="0"/>
          <c:showPercent val="0"/>
          <c:showBubbleSize val="0"/>
        </c:dLbls>
        <c:gapWidth val="150"/>
        <c:shape val="box"/>
        <c:axId val="460804288"/>
        <c:axId val="460801152"/>
        <c:axId val="0"/>
      </c:bar3DChart>
      <c:catAx>
        <c:axId val="4608042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pl-PL"/>
          </a:p>
        </c:txPr>
        <c:crossAx val="460801152"/>
        <c:crosses val="autoZero"/>
        <c:auto val="1"/>
        <c:lblAlgn val="ctr"/>
        <c:lblOffset val="100"/>
        <c:noMultiLvlLbl val="0"/>
      </c:catAx>
      <c:valAx>
        <c:axId val="4608011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r>
                  <a:rPr lang="pl-PL"/>
                  <a:t>Liczba miejsc</a:t>
                </a:r>
              </a:p>
            </c:rich>
          </c:tx>
          <c:layout>
            <c:manualLayout>
              <c:xMode val="edge"/>
              <c:yMode val="edge"/>
              <c:x val="1.3046824431498898E-2"/>
              <c:y val="0.35507240056531403"/>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endParaRPr lang="pl-P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pl-PL"/>
          </a:p>
        </c:txPr>
        <c:crossAx val="460804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ln>
            <a:noFill/>
          </a:ln>
        </a:defRPr>
      </a:pPr>
      <a:endParaRPr lang="pl-PL"/>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960465879265092"/>
          <c:y val="4.3650793650793648E-2"/>
          <c:w val="0.86882126713327501"/>
          <c:h val="0.77351831021122364"/>
        </c:manualLayout>
      </c:layout>
      <c:bar3DChart>
        <c:barDir val="col"/>
        <c:grouping val="clustered"/>
        <c:varyColors val="0"/>
        <c:ser>
          <c:idx val="0"/>
          <c:order val="0"/>
          <c:tx>
            <c:strRef>
              <c:f>Arkusz1!$B$1</c:f>
              <c:strCache>
                <c:ptCount val="1"/>
                <c:pt idx="0">
                  <c:v>Rok</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1.8518518518518517E-2"/>
                  <c:y val="-2.380952380952380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576-4148-8016-AE9EB920E795}"/>
                </c:ext>
                <c:ext xmlns:c15="http://schemas.microsoft.com/office/drawing/2012/chart" uri="{CE6537A1-D6FC-4f65-9D91-7224C49458BB}"/>
              </c:extLst>
            </c:dLbl>
            <c:dLbl>
              <c:idx val="1"/>
              <c:layout>
                <c:manualLayout>
                  <c:x val="2.3148148148148147E-2"/>
                  <c:y val="-1.587301587301587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576-4148-8016-AE9EB920E795}"/>
                </c:ext>
                <c:ext xmlns:c15="http://schemas.microsoft.com/office/drawing/2012/chart" uri="{CE6537A1-D6FC-4f65-9D91-7224C49458BB}"/>
              </c:extLst>
            </c:dLbl>
            <c:dLbl>
              <c:idx val="2"/>
              <c:layout>
                <c:manualLayout>
                  <c:x val="2.0833333333333332E-2"/>
                  <c:y val="-2.380952380952384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576-4148-8016-AE9EB920E795}"/>
                </c:ext>
                <c:ext xmlns:c15="http://schemas.microsoft.com/office/drawing/2012/chart" uri="{CE6537A1-D6FC-4f65-9D91-7224C49458BB}"/>
              </c:extLst>
            </c:dLbl>
            <c:dLbl>
              <c:idx val="3"/>
              <c:layout>
                <c:manualLayout>
                  <c:x val="2.5462962962962962E-2"/>
                  <c:y val="-2.380952380952380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576-4148-8016-AE9EB920E79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Arkusz1!$A$2:$A$5</c:f>
              <c:numCache>
                <c:formatCode>General</c:formatCode>
                <c:ptCount val="4"/>
                <c:pt idx="0">
                  <c:v>2015</c:v>
                </c:pt>
                <c:pt idx="1">
                  <c:v>2016</c:v>
                </c:pt>
                <c:pt idx="2">
                  <c:v>2017</c:v>
                </c:pt>
                <c:pt idx="3">
                  <c:v>2018</c:v>
                </c:pt>
              </c:numCache>
            </c:numRef>
          </c:cat>
          <c:val>
            <c:numRef>
              <c:f>Arkusz1!$B$2:$B$5</c:f>
              <c:numCache>
                <c:formatCode>#,##0</c:formatCode>
                <c:ptCount val="4"/>
                <c:pt idx="0">
                  <c:v>43764</c:v>
                </c:pt>
                <c:pt idx="1">
                  <c:v>41255</c:v>
                </c:pt>
                <c:pt idx="2">
                  <c:v>42858</c:v>
                </c:pt>
                <c:pt idx="3">
                  <c:v>43010</c:v>
                </c:pt>
              </c:numCache>
            </c:numRef>
          </c:val>
          <c:extLst xmlns:c16r2="http://schemas.microsoft.com/office/drawing/2015/06/chart">
            <c:ext xmlns:c16="http://schemas.microsoft.com/office/drawing/2014/chart" uri="{C3380CC4-5D6E-409C-BE32-E72D297353CC}">
              <c16:uniqueId val="{00000004-B576-4148-8016-AE9EB920E795}"/>
            </c:ext>
          </c:extLst>
        </c:ser>
        <c:dLbls>
          <c:showLegendKey val="0"/>
          <c:showVal val="1"/>
          <c:showCatName val="0"/>
          <c:showSerName val="0"/>
          <c:showPercent val="0"/>
          <c:showBubbleSize val="0"/>
        </c:dLbls>
        <c:gapWidth val="150"/>
        <c:shape val="box"/>
        <c:axId val="460802328"/>
        <c:axId val="460805464"/>
        <c:axId val="0"/>
      </c:bar3DChart>
      <c:catAx>
        <c:axId val="46080232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60805464"/>
        <c:crosses val="autoZero"/>
        <c:auto val="1"/>
        <c:lblAlgn val="ctr"/>
        <c:lblOffset val="100"/>
        <c:noMultiLvlLbl val="0"/>
      </c:catAx>
      <c:valAx>
        <c:axId val="460805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pl-PL"/>
                  <a:t>Liczba pacjentów</a:t>
                </a:r>
              </a:p>
            </c:rich>
          </c:tx>
          <c:layout>
            <c:manualLayout>
              <c:xMode val="edge"/>
              <c:yMode val="edge"/>
              <c:x val="5.9539953339165941E-3"/>
              <c:y val="0.32460692413448317"/>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60802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0448382397124767"/>
          <c:y val="4.3650793650793648E-2"/>
          <c:w val="0.78162729658792651"/>
          <c:h val="0.76079990001249842"/>
        </c:manualLayout>
      </c:layout>
      <c:bar3DChart>
        <c:barDir val="col"/>
        <c:grouping val="clustered"/>
        <c:varyColors val="0"/>
        <c:ser>
          <c:idx val="0"/>
          <c:order val="0"/>
          <c:tx>
            <c:strRef>
              <c:f>Arkusz1!$B$1</c:f>
              <c:strCache>
                <c:ptCount val="1"/>
                <c:pt idx="0">
                  <c:v>Rok</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2.7777777777777776E-2"/>
                  <c:y val="-1.9841269841269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0B8-451F-A802-DF46448D55CD}"/>
                </c:ext>
                <c:ext xmlns:c15="http://schemas.microsoft.com/office/drawing/2012/chart" uri="{CE6537A1-D6FC-4f65-9D91-7224C49458BB}"/>
              </c:extLst>
            </c:dLbl>
            <c:dLbl>
              <c:idx val="1"/>
              <c:layout>
                <c:manualLayout>
                  <c:x val="2.0833333333333332E-2"/>
                  <c:y val="-7.936507936508008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0B8-451F-A802-DF46448D55CD}"/>
                </c:ext>
                <c:ext xmlns:c15="http://schemas.microsoft.com/office/drawing/2012/chart" uri="{CE6537A1-D6FC-4f65-9D91-7224C49458BB}"/>
              </c:extLst>
            </c:dLbl>
            <c:dLbl>
              <c:idx val="2"/>
              <c:layout>
                <c:manualLayout>
                  <c:x val="2.0833333333333249E-2"/>
                  <c:y val="-1.190476190476194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70B8-451F-A802-DF46448D55CD}"/>
                </c:ext>
                <c:ext xmlns:c15="http://schemas.microsoft.com/office/drawing/2012/chart" uri="{CE6537A1-D6FC-4f65-9D91-7224C49458BB}"/>
              </c:extLst>
            </c:dLbl>
            <c:dLbl>
              <c:idx val="3"/>
              <c:layout>
                <c:manualLayout>
                  <c:x val="2.3148148148147977E-2"/>
                  <c:y val="-1.587301587301587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0B8-451F-A802-DF46448D55C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Arkusz1!$A$2:$A$5</c:f>
              <c:numCache>
                <c:formatCode>General</c:formatCode>
                <c:ptCount val="4"/>
                <c:pt idx="0">
                  <c:v>2015</c:v>
                </c:pt>
                <c:pt idx="1">
                  <c:v>2016</c:v>
                </c:pt>
                <c:pt idx="2">
                  <c:v>2017</c:v>
                </c:pt>
                <c:pt idx="3">
                  <c:v>2018</c:v>
                </c:pt>
              </c:numCache>
            </c:numRef>
          </c:cat>
          <c:val>
            <c:numRef>
              <c:f>Arkusz1!$B$2:$B$5</c:f>
              <c:numCache>
                <c:formatCode>#,##0</c:formatCode>
                <c:ptCount val="4"/>
                <c:pt idx="0">
                  <c:v>675828964</c:v>
                </c:pt>
                <c:pt idx="1">
                  <c:v>693846944</c:v>
                </c:pt>
                <c:pt idx="2">
                  <c:v>717060862</c:v>
                </c:pt>
                <c:pt idx="3">
                  <c:v>754581529</c:v>
                </c:pt>
              </c:numCache>
            </c:numRef>
          </c:val>
          <c:extLst xmlns:c16r2="http://schemas.microsoft.com/office/drawing/2015/06/chart">
            <c:ext xmlns:c16="http://schemas.microsoft.com/office/drawing/2014/chart" uri="{C3380CC4-5D6E-409C-BE32-E72D297353CC}">
              <c16:uniqueId val="{00000004-70B8-451F-A802-DF46448D55CD}"/>
            </c:ext>
          </c:extLst>
        </c:ser>
        <c:dLbls>
          <c:showLegendKey val="0"/>
          <c:showVal val="1"/>
          <c:showCatName val="0"/>
          <c:showSerName val="0"/>
          <c:showPercent val="0"/>
          <c:showBubbleSize val="0"/>
        </c:dLbls>
        <c:gapWidth val="150"/>
        <c:shape val="box"/>
        <c:axId val="467436704"/>
        <c:axId val="467439056"/>
        <c:axId val="0"/>
      </c:bar3DChart>
      <c:catAx>
        <c:axId val="46743670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67439056"/>
        <c:crosses val="autoZero"/>
        <c:auto val="1"/>
        <c:lblAlgn val="ctr"/>
        <c:lblOffset val="100"/>
        <c:noMultiLvlLbl val="0"/>
      </c:catAx>
      <c:valAx>
        <c:axId val="467439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pl-PL"/>
                  <a:t>wartość rozliczonych świadczeń [zł]</a:t>
                </a:r>
              </a:p>
            </c:rich>
          </c:tx>
          <c:layout>
            <c:manualLayout>
              <c:xMode val="edge"/>
              <c:yMode val="edge"/>
              <c:x val="6.1860236220472441E-3"/>
              <c:y val="0.16926102987126609"/>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67436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Arkusz1!$B$1</c:f>
              <c:strCache>
                <c:ptCount val="1"/>
                <c:pt idx="0">
                  <c:v>HS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Arkusz1!$A$2:$A$5</c:f>
              <c:numCache>
                <c:formatCode>General</c:formatCode>
                <c:ptCount val="4"/>
                <c:pt idx="0">
                  <c:v>2015</c:v>
                </c:pt>
                <c:pt idx="1">
                  <c:v>2016</c:v>
                </c:pt>
                <c:pt idx="2">
                  <c:v>2017</c:v>
                </c:pt>
                <c:pt idx="3">
                  <c:v>2018</c:v>
                </c:pt>
              </c:numCache>
            </c:numRef>
          </c:cat>
          <c:val>
            <c:numRef>
              <c:f>Arkusz1!$B$2:$B$5</c:f>
              <c:numCache>
                <c:formatCode>#,##0</c:formatCode>
                <c:ptCount val="4"/>
                <c:pt idx="0">
                  <c:v>1500</c:v>
                </c:pt>
                <c:pt idx="1">
                  <c:v>1640</c:v>
                </c:pt>
                <c:pt idx="2">
                  <c:v>1809</c:v>
                </c:pt>
                <c:pt idx="3">
                  <c:v>2027</c:v>
                </c:pt>
              </c:numCache>
            </c:numRef>
          </c:val>
          <c:extLst xmlns:c16r2="http://schemas.microsoft.com/office/drawing/2015/06/chart">
            <c:ext xmlns:c16="http://schemas.microsoft.com/office/drawing/2014/chart" uri="{C3380CC4-5D6E-409C-BE32-E72D297353CC}">
              <c16:uniqueId val="{00000000-3434-470D-9B78-23B5AA10C4BE}"/>
            </c:ext>
          </c:extLst>
        </c:ser>
        <c:ser>
          <c:idx val="1"/>
          <c:order val="1"/>
          <c:tx>
            <c:strRef>
              <c:f>Arkusz1!$C$1</c:f>
              <c:strCache>
                <c:ptCount val="1"/>
                <c:pt idx="0">
                  <c:v>OMP</c:v>
                </c:pt>
              </c:strCache>
            </c:strRef>
          </c:tx>
          <c:spPr>
            <a:solidFill>
              <a:schemeClr val="accent1">
                <a:lumMod val="60000"/>
                <a:lumOff val="40000"/>
              </a:schemeClr>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Arkusz1!$A$2:$A$5</c:f>
              <c:numCache>
                <c:formatCode>General</c:formatCode>
                <c:ptCount val="4"/>
                <c:pt idx="0">
                  <c:v>2015</c:v>
                </c:pt>
                <c:pt idx="1">
                  <c:v>2016</c:v>
                </c:pt>
                <c:pt idx="2">
                  <c:v>2017</c:v>
                </c:pt>
                <c:pt idx="3">
                  <c:v>2018</c:v>
                </c:pt>
              </c:numCache>
            </c:numRef>
          </c:cat>
          <c:val>
            <c:numRef>
              <c:f>Arkusz1!$C$2:$C$5</c:f>
              <c:numCache>
                <c:formatCode>#,##0</c:formatCode>
                <c:ptCount val="4"/>
                <c:pt idx="0">
                  <c:v>1204</c:v>
                </c:pt>
                <c:pt idx="1">
                  <c:v>1302</c:v>
                </c:pt>
                <c:pt idx="2" formatCode="General">
                  <c:v>1148</c:v>
                </c:pt>
                <c:pt idx="3" formatCode="General">
                  <c:v>774</c:v>
                </c:pt>
              </c:numCache>
            </c:numRef>
          </c:val>
          <c:extLst xmlns:c16r2="http://schemas.microsoft.com/office/drawing/2015/06/chart">
            <c:ext xmlns:c16="http://schemas.microsoft.com/office/drawing/2014/chart" uri="{C3380CC4-5D6E-409C-BE32-E72D297353CC}">
              <c16:uniqueId val="{00000001-3434-470D-9B78-23B5AA10C4BE}"/>
            </c:ext>
          </c:extLst>
        </c:ser>
        <c:dLbls>
          <c:showLegendKey val="0"/>
          <c:showVal val="1"/>
          <c:showCatName val="0"/>
          <c:showSerName val="0"/>
          <c:showPercent val="0"/>
          <c:showBubbleSize val="0"/>
        </c:dLbls>
        <c:gapWidth val="150"/>
        <c:shape val="box"/>
        <c:axId val="471313032"/>
        <c:axId val="471306760"/>
        <c:axId val="0"/>
      </c:bar3DChart>
      <c:catAx>
        <c:axId val="471313032"/>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pl-PL"/>
                  <a:t>Rok</a:t>
                </a:r>
              </a:p>
            </c:rich>
          </c:tx>
          <c:layout>
            <c:manualLayout>
              <c:xMode val="edge"/>
              <c:yMode val="edge"/>
              <c:x val="0.50123596529600467"/>
              <c:y val="0.7951999750031245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1306760"/>
        <c:crosses val="autoZero"/>
        <c:auto val="1"/>
        <c:lblAlgn val="ctr"/>
        <c:lblOffset val="100"/>
        <c:noMultiLvlLbl val="0"/>
      </c:catAx>
      <c:valAx>
        <c:axId val="471306760"/>
        <c:scaling>
          <c:orientation val="minMax"/>
          <c:max val="32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pl-PL"/>
                  <a:t>Liczba miejsc</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1313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Arkusz1!$B$1</c:f>
              <c:strCache>
                <c:ptCount val="1"/>
                <c:pt idx="0">
                  <c:v>HS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Arkusz1!$A$2:$A$5</c:f>
              <c:numCache>
                <c:formatCode>General</c:formatCode>
                <c:ptCount val="4"/>
                <c:pt idx="0">
                  <c:v>2015</c:v>
                </c:pt>
                <c:pt idx="1">
                  <c:v>2016</c:v>
                </c:pt>
                <c:pt idx="2">
                  <c:v>2017</c:v>
                </c:pt>
                <c:pt idx="3">
                  <c:v>2018</c:v>
                </c:pt>
              </c:numCache>
            </c:numRef>
          </c:cat>
          <c:val>
            <c:numRef>
              <c:f>Arkusz1!$B$2:$B$5</c:f>
              <c:numCache>
                <c:formatCode>#,##0</c:formatCode>
                <c:ptCount val="4"/>
                <c:pt idx="0">
                  <c:v>17963</c:v>
                </c:pt>
                <c:pt idx="1">
                  <c:v>18438</c:v>
                </c:pt>
                <c:pt idx="2">
                  <c:v>18962</c:v>
                </c:pt>
                <c:pt idx="3">
                  <c:v>20621</c:v>
                </c:pt>
              </c:numCache>
            </c:numRef>
          </c:val>
          <c:extLst xmlns:c16r2="http://schemas.microsoft.com/office/drawing/2015/06/chart">
            <c:ext xmlns:c16="http://schemas.microsoft.com/office/drawing/2014/chart" uri="{C3380CC4-5D6E-409C-BE32-E72D297353CC}">
              <c16:uniqueId val="{00000000-EE29-4B97-8585-4C8BF89E7C85}"/>
            </c:ext>
          </c:extLst>
        </c:ser>
        <c:ser>
          <c:idx val="1"/>
          <c:order val="1"/>
          <c:tx>
            <c:strRef>
              <c:f>Arkusz1!$C$1</c:f>
              <c:strCache>
                <c:ptCount val="1"/>
                <c:pt idx="0">
                  <c:v>OMP</c:v>
                </c:pt>
              </c:strCache>
            </c:strRef>
          </c:tx>
          <c:spPr>
            <a:solidFill>
              <a:schemeClr val="accent1">
                <a:lumMod val="60000"/>
                <a:lumOff val="40000"/>
              </a:schemeClr>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Arkusz1!$A$2:$A$5</c:f>
              <c:numCache>
                <c:formatCode>General</c:formatCode>
                <c:ptCount val="4"/>
                <c:pt idx="0">
                  <c:v>2015</c:v>
                </c:pt>
                <c:pt idx="1">
                  <c:v>2016</c:v>
                </c:pt>
                <c:pt idx="2">
                  <c:v>2017</c:v>
                </c:pt>
                <c:pt idx="3">
                  <c:v>2018</c:v>
                </c:pt>
              </c:numCache>
            </c:numRef>
          </c:cat>
          <c:val>
            <c:numRef>
              <c:f>Arkusz1!$C$2:$C$5</c:f>
              <c:numCache>
                <c:formatCode>#,##0</c:formatCode>
                <c:ptCount val="4"/>
                <c:pt idx="0">
                  <c:v>18836</c:v>
                </c:pt>
                <c:pt idx="1">
                  <c:v>18970</c:v>
                </c:pt>
                <c:pt idx="2">
                  <c:v>15679</c:v>
                </c:pt>
                <c:pt idx="3">
                  <c:v>10456</c:v>
                </c:pt>
              </c:numCache>
            </c:numRef>
          </c:val>
          <c:extLst xmlns:c16r2="http://schemas.microsoft.com/office/drawing/2015/06/chart">
            <c:ext xmlns:c16="http://schemas.microsoft.com/office/drawing/2014/chart" uri="{C3380CC4-5D6E-409C-BE32-E72D297353CC}">
              <c16:uniqueId val="{00000001-EE29-4B97-8585-4C8BF89E7C85}"/>
            </c:ext>
          </c:extLst>
        </c:ser>
        <c:dLbls>
          <c:showLegendKey val="0"/>
          <c:showVal val="1"/>
          <c:showCatName val="0"/>
          <c:showSerName val="0"/>
          <c:showPercent val="0"/>
          <c:showBubbleSize val="0"/>
        </c:dLbls>
        <c:gapWidth val="150"/>
        <c:shape val="box"/>
        <c:axId val="471307936"/>
        <c:axId val="471308720"/>
        <c:axId val="0"/>
      </c:bar3DChart>
      <c:catAx>
        <c:axId val="47130793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pl-PL"/>
                  <a:t>Rok</a:t>
                </a:r>
              </a:p>
            </c:rich>
          </c:tx>
          <c:layout>
            <c:manualLayout>
              <c:xMode val="edge"/>
              <c:yMode val="edge"/>
              <c:x val="0.50123596529600467"/>
              <c:y val="0.7951999750031245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1308720"/>
        <c:crosses val="autoZero"/>
        <c:auto val="1"/>
        <c:lblAlgn val="ctr"/>
        <c:lblOffset val="100"/>
        <c:noMultiLvlLbl val="0"/>
      </c:catAx>
      <c:valAx>
        <c:axId val="471308720"/>
        <c:scaling>
          <c:orientation val="minMax"/>
          <c:max val="40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pl-PL"/>
                  <a:t>Liczba pacjentów</a:t>
                </a:r>
              </a:p>
            </c:rich>
          </c:tx>
          <c:layout>
            <c:manualLayout>
              <c:xMode val="edge"/>
              <c:yMode val="edge"/>
              <c:x val="2.847878390201225E-2"/>
              <c:y val="0.33092738407699035"/>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1307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00C774AFD7BB248A15E152D4A58396D" ma:contentTypeVersion="5" ma:contentTypeDescription="Utwórz nowy dokument." ma:contentTypeScope="" ma:versionID="3dc605154acdbee43788a6bfdbbdf655">
  <xsd:schema xmlns:xsd="http://www.w3.org/2001/XMLSchema" xmlns:xs="http://www.w3.org/2001/XMLSchema" xmlns:p="http://schemas.microsoft.com/office/2006/metadata/properties" xmlns:ns3="87832927-e6b7-440a-b714-54e30b89b9e1" xmlns:ns4="cf4f5811-3f2b-4274-b7f8-f47ffbbb3eb5" targetNamespace="http://schemas.microsoft.com/office/2006/metadata/properties" ma:root="true" ma:fieldsID="55ca5d4ada5909523a3e5c602aa142a7" ns3:_="" ns4:_="">
    <xsd:import namespace="87832927-e6b7-440a-b714-54e30b89b9e1"/>
    <xsd:import namespace="cf4f5811-3f2b-4274-b7f8-f47ffbbb3e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32927-e6b7-440a-b714-54e30b89b9e1"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4f5811-3f2b-4274-b7f8-f47ffbbb3e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56B35-8797-47CD-A191-F2C46B5D2389}">
  <ds:schemaRefs>
    <ds:schemaRef ds:uri="http://schemas.microsoft.com/sharepoint/v3/contenttype/forms"/>
  </ds:schemaRefs>
</ds:datastoreItem>
</file>

<file path=customXml/itemProps2.xml><?xml version="1.0" encoding="utf-8"?>
<ds:datastoreItem xmlns:ds="http://schemas.openxmlformats.org/officeDocument/2006/customXml" ds:itemID="{E5BD87F4-ECF0-4421-ABA8-0E328C90DA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2C4682-0F7E-4BA9-94C4-1D32FB32C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32927-e6b7-440a-b714-54e30b89b9e1"/>
    <ds:schemaRef ds:uri="cf4f5811-3f2b-4274-b7f8-f47ffbbb3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B17F45-73D8-4355-9272-0AAC9C8B9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17386</Words>
  <Characters>104321</Characters>
  <Application>Microsoft Office Word</Application>
  <DocSecurity>0</DocSecurity>
  <Lines>869</Lines>
  <Paragraphs>242</Paragraphs>
  <ScaleCrop>false</ScaleCrop>
  <HeadingPairs>
    <vt:vector size="2" baseType="variant">
      <vt:variant>
        <vt:lpstr>Tytuł</vt:lpstr>
      </vt:variant>
      <vt:variant>
        <vt:i4>1</vt:i4>
      </vt:variant>
    </vt:vector>
  </HeadingPairs>
  <TitlesOfParts>
    <vt:vector size="1" baseType="lpstr">
      <vt:lpstr/>
    </vt:vector>
  </TitlesOfParts>
  <Company>Ministerstwo Zdrowia</Company>
  <LinksUpToDate>false</LinksUpToDate>
  <CharactersWithSpaces>121465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Skóra Justyna</dc:creator>
  <cp:keywords/>
  <dc:description/>
  <cp:lastModifiedBy>Skorupska Elżbieta</cp:lastModifiedBy>
  <cp:revision>3</cp:revision>
  <dcterms:created xsi:type="dcterms:W3CDTF">2020-08-12T08:43:00Z</dcterms:created>
  <dcterms:modified xsi:type="dcterms:W3CDTF">2020-08-12T08:43:00Z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0x010100600C774AFD7BB248A15E152D4A58396D</vt:lpwstr>
  </property>
</Properties>
</file>