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4B002" w14:textId="344B22C7" w:rsidR="00D769D6" w:rsidRPr="00246BC7" w:rsidRDefault="00173229" w:rsidP="00246BC7">
      <w:pPr>
        <w:pStyle w:val="Tytu"/>
        <w:jc w:val="center"/>
      </w:pPr>
      <w:bookmarkStart w:id="0" w:name="_GoBack"/>
      <w:bookmarkEnd w:id="0"/>
      <w:r>
        <w:t xml:space="preserve">DIAGNOZA POTRZEB ZDROWOTNYCH i DOSTEPNEGO WSPARCIA </w:t>
      </w:r>
    </w:p>
    <w:p w14:paraId="64B137E8" w14:textId="77777777" w:rsidR="000638F1" w:rsidRPr="00246BC7" w:rsidRDefault="005169AF" w:rsidP="00F72842">
      <w:pPr>
        <w:pStyle w:val="Nagwek4"/>
        <w:numPr>
          <w:ilvl w:val="0"/>
          <w:numId w:val="2"/>
        </w:numPr>
        <w:rPr>
          <w:iCs w:val="0"/>
          <w:color w:val="0070C0"/>
          <w:spacing w:val="-10"/>
          <w:kern w:val="28"/>
          <w:sz w:val="28"/>
          <w:szCs w:val="56"/>
        </w:rPr>
      </w:pPr>
      <w:bookmarkStart w:id="1" w:name="_Toc22650836"/>
      <w:r w:rsidRPr="00246BC7">
        <w:rPr>
          <w:iCs w:val="0"/>
          <w:color w:val="0070C0"/>
          <w:spacing w:val="-10"/>
          <w:kern w:val="28"/>
          <w:sz w:val="28"/>
          <w:szCs w:val="56"/>
        </w:rPr>
        <w:t>Zdrowie psychiczne</w:t>
      </w:r>
      <w:r w:rsidR="004F5D52" w:rsidRPr="00246BC7">
        <w:rPr>
          <w:iCs w:val="0"/>
          <w:color w:val="0070C0"/>
          <w:spacing w:val="-10"/>
          <w:kern w:val="28"/>
          <w:sz w:val="28"/>
          <w:szCs w:val="56"/>
        </w:rPr>
        <w:t xml:space="preserve"> dorosłych</w:t>
      </w:r>
      <w:bookmarkEnd w:id="1"/>
    </w:p>
    <w:p w14:paraId="7DBAB0CB" w14:textId="724A975D" w:rsidR="007C7342" w:rsidRPr="00C17A80" w:rsidRDefault="007C7342" w:rsidP="007C7342">
      <w:pPr>
        <w:jc w:val="both"/>
        <w:rPr>
          <w:lang w:eastAsia="pl-PL"/>
        </w:rPr>
      </w:pPr>
      <w:r w:rsidRPr="00C17A80">
        <w:rPr>
          <w:lang w:eastAsia="pl-PL"/>
        </w:rPr>
        <w:t>Statystyki pokazują, iż ponad 450 milionów światowej ludności cierpi z powodu zaburzeń psychicznych</w:t>
      </w:r>
      <w:r w:rsidR="00C71530">
        <w:rPr>
          <w:lang w:eastAsia="pl-PL"/>
        </w:rPr>
        <w:t>, a jeszcze więcej doświadcza problemów psychicznych nie kwalifikowanych jako zaburzenie</w:t>
      </w:r>
      <w:r w:rsidRPr="00C17A80">
        <w:rPr>
          <w:lang w:eastAsia="pl-PL"/>
        </w:rPr>
        <w:t xml:space="preserve">. Ponad 27% dorosłych Europejczyków doświadcza przynajmniej jednego z przejawów złego stanu zdrowia psychicznego w ciągu roku. Podobnie sytuacja wygląda na terytorium Rzeczypospolitej Polskiej, gdzie systematycznie rośnie liczba osób leczonych z powodu zaburzeń psychicznych. Epidemiologia zaburzeń psychicznych wśród mieszkańców </w:t>
      </w:r>
      <w:r w:rsidR="00D620C6">
        <w:rPr>
          <w:lang w:eastAsia="pl-PL"/>
        </w:rPr>
        <w:t xml:space="preserve">Polski </w:t>
      </w:r>
      <w:r w:rsidRPr="00C17A80">
        <w:rPr>
          <w:lang w:eastAsia="pl-PL"/>
        </w:rPr>
        <w:t xml:space="preserve">została sporządzona na podstawie danych </w:t>
      </w:r>
      <w:r w:rsidR="00956E51">
        <w:rPr>
          <w:lang w:eastAsia="pl-PL"/>
        </w:rPr>
        <w:br/>
      </w:r>
      <w:r w:rsidRPr="00C17A80">
        <w:rPr>
          <w:lang w:eastAsia="pl-PL"/>
        </w:rPr>
        <w:t xml:space="preserve">z Narodowego Funduszu Zdrowia odnoszących się do liczby udzielonych świadczeń zdrowotnych </w:t>
      </w:r>
      <w:r w:rsidR="00956E51">
        <w:rPr>
          <w:lang w:eastAsia="pl-PL"/>
        </w:rPr>
        <w:br/>
      </w:r>
      <w:r w:rsidRPr="00C17A80">
        <w:rPr>
          <w:lang w:eastAsia="pl-PL"/>
        </w:rPr>
        <w:t>w rodzaju opieka psychiatryczna i leczenia uzależnień, jak również na podstawie danych pozyskanych z Raportu z bada</w:t>
      </w:r>
      <w:r>
        <w:rPr>
          <w:lang w:eastAsia="pl-PL"/>
        </w:rPr>
        <w:t xml:space="preserve">nia pn. </w:t>
      </w:r>
      <w:r w:rsidRPr="00FD78E3">
        <w:rPr>
          <w:i/>
          <w:lang w:eastAsia="pl-PL"/>
        </w:rPr>
        <w:t>Epidemiologia zaburzeń psychiatrycznych i dostępu do psychiatrycznej opieki zdrowotnej – EZOP Polska</w:t>
      </w:r>
      <w:r w:rsidRPr="00C17A80">
        <w:rPr>
          <w:lang w:eastAsia="pl-PL"/>
        </w:rPr>
        <w:t xml:space="preserve">, </w:t>
      </w:r>
      <w:r>
        <w:rPr>
          <w:lang w:eastAsia="pl-PL"/>
        </w:rPr>
        <w:t>(</w:t>
      </w:r>
      <w:r w:rsidRPr="00C17A80">
        <w:rPr>
          <w:lang w:eastAsia="pl-PL"/>
        </w:rPr>
        <w:t>dalej „badanie EZOP”</w:t>
      </w:r>
      <w:r>
        <w:rPr>
          <w:lang w:eastAsia="pl-PL"/>
        </w:rPr>
        <w:t>)</w:t>
      </w:r>
      <w:r w:rsidRPr="00C17A80">
        <w:rPr>
          <w:lang w:eastAsia="pl-PL"/>
        </w:rPr>
        <w:t xml:space="preserve">. Raport przygotowany </w:t>
      </w:r>
      <w:r w:rsidR="00C71530">
        <w:rPr>
          <w:lang w:eastAsia="pl-PL"/>
        </w:rPr>
        <w:t xml:space="preserve">został w 2012 roku </w:t>
      </w:r>
      <w:r w:rsidRPr="00C17A80">
        <w:rPr>
          <w:lang w:eastAsia="pl-PL"/>
        </w:rPr>
        <w:t>przez pracowników Instytutu Psychiatrii i Neurologii</w:t>
      </w:r>
      <w:r w:rsidR="00956E51">
        <w:rPr>
          <w:lang w:eastAsia="pl-PL"/>
        </w:rPr>
        <w:t xml:space="preserve"> i</w:t>
      </w:r>
      <w:r w:rsidR="00857715">
        <w:rPr>
          <w:lang w:eastAsia="pl-PL"/>
        </w:rPr>
        <w:t xml:space="preserve"> </w:t>
      </w:r>
      <w:r w:rsidRPr="00C17A80">
        <w:rPr>
          <w:lang w:eastAsia="pl-PL"/>
        </w:rPr>
        <w:t>umożliwił zbadanie występowania najczęściej diagnozowanych zaburzeń psychicznych</w:t>
      </w:r>
      <w:r w:rsidR="00DE7B13">
        <w:rPr>
          <w:rStyle w:val="Odwoanieprzypisudolnego"/>
          <w:lang w:eastAsia="pl-PL"/>
        </w:rPr>
        <w:footnoteReference w:id="1"/>
      </w:r>
      <w:r w:rsidRPr="00C17A80">
        <w:rPr>
          <w:lang w:eastAsia="pl-PL"/>
        </w:rPr>
        <w:t xml:space="preserve"> wśród mieszkańców Rzeczypospolitej Polskiej w wieku </w:t>
      </w:r>
      <w:r w:rsidR="00956E51">
        <w:rPr>
          <w:lang w:eastAsia="pl-PL"/>
        </w:rPr>
        <w:br/>
      </w:r>
      <w:r w:rsidRPr="00C17A80">
        <w:rPr>
          <w:lang w:eastAsia="pl-PL"/>
        </w:rPr>
        <w:t>od 18 do 64 lat</w:t>
      </w:r>
      <w:r w:rsidR="00C71530">
        <w:rPr>
          <w:lang w:eastAsia="pl-PL"/>
        </w:rPr>
        <w:t xml:space="preserve"> (losowa próba </w:t>
      </w:r>
      <w:r w:rsidR="00C71530" w:rsidRPr="00C17A80">
        <w:rPr>
          <w:lang w:eastAsia="pl-PL"/>
        </w:rPr>
        <w:t>10 tys. respondentów)</w:t>
      </w:r>
      <w:r w:rsidRPr="00C17A80">
        <w:rPr>
          <w:lang w:eastAsia="pl-PL"/>
        </w:rPr>
        <w:t>.</w:t>
      </w:r>
      <w:r w:rsidR="00DE7B13">
        <w:rPr>
          <w:lang w:eastAsia="pl-PL"/>
        </w:rPr>
        <w:t xml:space="preserve"> </w:t>
      </w:r>
    </w:p>
    <w:p w14:paraId="7E1D6310" w14:textId="77777777" w:rsidR="007C7342" w:rsidRPr="00C17A80" w:rsidRDefault="007C7342" w:rsidP="007C7342">
      <w:pPr>
        <w:jc w:val="both"/>
        <w:rPr>
          <w:lang w:eastAsia="pl-PL"/>
        </w:rPr>
      </w:pPr>
      <w:r w:rsidRPr="00C17A80">
        <w:rPr>
          <w:lang w:eastAsia="pl-PL"/>
        </w:rPr>
        <w:t xml:space="preserve">Przechodząc do sytuacji zdrowotnej, należy zauważyć, iż na podstawie wyników badania EZOP </w:t>
      </w:r>
      <w:r w:rsidR="00956E51">
        <w:rPr>
          <w:lang w:eastAsia="pl-PL"/>
        </w:rPr>
        <w:br/>
      </w:r>
      <w:r w:rsidRPr="00C17A80">
        <w:rPr>
          <w:lang w:eastAsia="pl-PL"/>
        </w:rPr>
        <w:t>w badanej próbie u 23,4% osób rozpoznano w</w:t>
      </w:r>
      <w:r w:rsidRPr="00FD78E3">
        <w:t> </w:t>
      </w:r>
      <w:r w:rsidRPr="00C17A80">
        <w:rPr>
          <w:lang w:eastAsia="pl-PL"/>
        </w:rPr>
        <w:t xml:space="preserve">ciągu życia przynajmniej jedno zaburzenie psychiczne </w:t>
      </w:r>
      <w:r w:rsidR="00956E51">
        <w:rPr>
          <w:lang w:eastAsia="pl-PL"/>
        </w:rPr>
        <w:br/>
      </w:r>
      <w:r w:rsidRPr="00C17A80">
        <w:rPr>
          <w:lang w:eastAsia="pl-PL"/>
        </w:rPr>
        <w:t>z 18 zaburzeń zdefiniowanych w</w:t>
      </w:r>
      <w:r>
        <w:rPr>
          <w:lang w:eastAsia="pl-PL"/>
        </w:rPr>
        <w:t>edłu</w:t>
      </w:r>
      <w:r w:rsidRPr="00C17A80">
        <w:rPr>
          <w:lang w:eastAsia="pl-PL"/>
        </w:rPr>
        <w:t xml:space="preserve">g Międzynarodowej Klasyfikacji Chorób </w:t>
      </w:r>
      <w:r>
        <w:rPr>
          <w:lang w:eastAsia="pl-PL"/>
        </w:rPr>
        <w:t>(</w:t>
      </w:r>
      <w:r w:rsidRPr="00C17A80">
        <w:rPr>
          <w:lang w:eastAsia="pl-PL"/>
        </w:rPr>
        <w:t>ICD–10</w:t>
      </w:r>
      <w:r>
        <w:rPr>
          <w:lang w:eastAsia="pl-PL"/>
        </w:rPr>
        <w:t>)</w:t>
      </w:r>
      <w:r w:rsidRPr="00C17A80">
        <w:rPr>
          <w:lang w:eastAsia="pl-PL"/>
        </w:rPr>
        <w:t xml:space="preserve"> i Klasyfikacji Zaburzeń Psychicznych Amerykańskiego Towarzystwa Psychiatrycznego </w:t>
      </w:r>
      <w:r>
        <w:rPr>
          <w:lang w:eastAsia="pl-PL"/>
        </w:rPr>
        <w:t>(</w:t>
      </w:r>
      <w:r w:rsidRPr="00C17A80">
        <w:rPr>
          <w:lang w:eastAsia="pl-PL"/>
        </w:rPr>
        <w:t>DSM–IV</w:t>
      </w:r>
      <w:r>
        <w:rPr>
          <w:lang w:eastAsia="pl-PL"/>
        </w:rPr>
        <w:t>)</w:t>
      </w:r>
      <w:r w:rsidRPr="00C17A80">
        <w:rPr>
          <w:lang w:eastAsia="pl-PL"/>
        </w:rPr>
        <w:t>. Wśród nich co czwarta przebadana osoba doświadczała więcej niż jednego zaburzenia, a co dwudziesta piąta – trzech i więcej. Grupę tych ostatnich pacjentów, mających doświadczenia z kilkoma zaburzeniami, można szacować na blisko ćwierć miliona osób. U</w:t>
      </w:r>
      <w:r>
        <w:rPr>
          <w:lang w:eastAsia="pl-PL"/>
        </w:rPr>
        <w:t> </w:t>
      </w:r>
      <w:r w:rsidRPr="00C17A80">
        <w:rPr>
          <w:lang w:eastAsia="pl-PL"/>
        </w:rPr>
        <w:t>około 10% badanej populacji stwierdzono zaburzenia nerwicowe, wśród których do najczęstszych należały fobie specyficzne (4,3%) i fobie społeczne (1,8%). Natomiast zaburzenia nastroju wśród zgłaszanych dolegliwości stanowią łącznie 3,5%, w tym aż 3% stanowi depresja. Należy zaznaczyć, że depresja przez wzrost rozpowszechnienia staje się coraz bardziej istotnym problemem zdrowotnym oraz społecznym. Impulsywne zaburzenia zachowania rozpoznawano u 3,5% respondentów.</w:t>
      </w:r>
    </w:p>
    <w:p w14:paraId="486E5ED0" w14:textId="52B4F71E" w:rsidR="007C7342" w:rsidRPr="00C17A80" w:rsidRDefault="007C7342" w:rsidP="007C7342">
      <w:pPr>
        <w:jc w:val="both"/>
        <w:rPr>
          <w:lang w:eastAsia="pl-PL"/>
        </w:rPr>
      </w:pPr>
      <w:r w:rsidRPr="00C17A80">
        <w:rPr>
          <w:lang w:eastAsia="pl-PL"/>
        </w:rPr>
        <w:t xml:space="preserve">Wyniki badań prowadzonych w Europie (UE 27, Szwajcaria, Islandia i Norwegia) wskazują, że każdego roku 164,8 miliona mieszkańców Unii Europejskiej (38,2%) cierpi z powodu zaburzeń zdrowia psychicznego. Jak wynika z raportu, najczęstszymi zaburzeniami zdrowia psychicznego są: zaburzenia lękowe (14%), bezsenność (7%), depresja (6,9%), zaburzenia somatyczne (6,3%), zaburzenia spowodowane używaniem alkoholu oraz substancji psychoaktywnych (&gt;4%), ADHD (5%) u dzieci </w:t>
      </w:r>
      <w:r w:rsidR="00956E51">
        <w:rPr>
          <w:lang w:eastAsia="pl-PL"/>
        </w:rPr>
        <w:br/>
      </w:r>
      <w:r w:rsidRPr="00C17A80">
        <w:rPr>
          <w:lang w:eastAsia="pl-PL"/>
        </w:rPr>
        <w:t>i</w:t>
      </w:r>
      <w:r>
        <w:rPr>
          <w:lang w:eastAsia="pl-PL"/>
        </w:rPr>
        <w:t xml:space="preserve"> </w:t>
      </w:r>
      <w:r w:rsidRPr="00C17A80">
        <w:rPr>
          <w:lang w:eastAsia="pl-PL"/>
        </w:rPr>
        <w:t>młodzieży, demencja (1-30% w zależności od wieku).</w:t>
      </w:r>
      <w:r w:rsidR="00F00CAA">
        <w:rPr>
          <w:rStyle w:val="Odwoanieprzypisudolnego"/>
          <w:lang w:eastAsia="pl-PL"/>
        </w:rPr>
        <w:footnoteReference w:id="2"/>
      </w:r>
    </w:p>
    <w:p w14:paraId="4D383118" w14:textId="769DAEB1" w:rsidR="007C7342" w:rsidRPr="00C17A80" w:rsidRDefault="007C7342" w:rsidP="007C7342">
      <w:pPr>
        <w:jc w:val="both"/>
        <w:rPr>
          <w:lang w:eastAsia="pl-PL"/>
        </w:rPr>
      </w:pPr>
      <w:r w:rsidRPr="007E156B">
        <w:rPr>
          <w:lang w:eastAsia="pl-PL"/>
        </w:rPr>
        <w:t xml:space="preserve">O istotnym znaczeniu zdrowia psychicznego w obszarze zdrowia publicznego świadczą również opublikowane przez WHO wyniki badania </w:t>
      </w:r>
      <w:r w:rsidRPr="007E156B">
        <w:rPr>
          <w:i/>
          <w:lang w:eastAsia="pl-PL"/>
        </w:rPr>
        <w:t>Globalnego obciążenia chorobami 2016</w:t>
      </w:r>
      <w:r w:rsidRPr="007E156B">
        <w:rPr>
          <w:lang w:eastAsia="pl-PL"/>
        </w:rPr>
        <w:t>. Według szacunków</w:t>
      </w:r>
      <w:r w:rsidR="000C1491" w:rsidRPr="007E156B">
        <w:rPr>
          <w:lang w:eastAsia="pl-PL"/>
        </w:rPr>
        <w:t xml:space="preserve"> do</w:t>
      </w:r>
      <w:r w:rsidRPr="007E156B">
        <w:rPr>
          <w:lang w:eastAsia="pl-PL"/>
        </w:rPr>
        <w:t xml:space="preserve"> najważniejszych przyczyn utraconych lat życia w zdrowiu z powodu ograniczonej sprawności (ang. </w:t>
      </w:r>
      <w:r w:rsidRPr="007E156B">
        <w:rPr>
          <w:i/>
          <w:lang w:eastAsia="pl-PL"/>
        </w:rPr>
        <w:t>years lived with disability</w:t>
      </w:r>
      <w:r w:rsidRPr="007E156B">
        <w:rPr>
          <w:lang w:eastAsia="pl-PL"/>
        </w:rPr>
        <w:t xml:space="preserve"> – YLDs)</w:t>
      </w:r>
      <w:r w:rsidR="000C1491" w:rsidRPr="007E156B">
        <w:rPr>
          <w:lang w:eastAsia="pl-PL"/>
        </w:rPr>
        <w:t xml:space="preserve"> należą</w:t>
      </w:r>
      <w:r w:rsidRPr="007E156B">
        <w:rPr>
          <w:lang w:eastAsia="pl-PL"/>
        </w:rPr>
        <w:t xml:space="preserve"> zaburzenia psychiczne i zaburzenia zachowania (ang. </w:t>
      </w:r>
      <w:r w:rsidRPr="007E156B">
        <w:rPr>
          <w:i/>
          <w:lang w:eastAsia="pl-PL"/>
        </w:rPr>
        <w:t>mental and substance use disorders</w:t>
      </w:r>
      <w:r w:rsidRPr="007E156B">
        <w:rPr>
          <w:lang w:eastAsia="pl-PL"/>
        </w:rPr>
        <w:t>)</w:t>
      </w:r>
      <w:r w:rsidR="000C1491" w:rsidRPr="007E156B">
        <w:rPr>
          <w:lang w:eastAsia="pl-PL"/>
        </w:rPr>
        <w:t>, które</w:t>
      </w:r>
      <w:r w:rsidRPr="007E156B">
        <w:rPr>
          <w:lang w:eastAsia="pl-PL"/>
        </w:rPr>
        <w:t xml:space="preserve"> stanowią drugą wśród mężczyzn i trzecią wśród kobiet</w:t>
      </w:r>
      <w:r w:rsidRPr="00C17A80">
        <w:rPr>
          <w:lang w:eastAsia="pl-PL"/>
        </w:rPr>
        <w:t xml:space="preserve"> </w:t>
      </w:r>
      <w:r w:rsidRPr="007E156B">
        <w:rPr>
          <w:lang w:eastAsia="pl-PL"/>
        </w:rPr>
        <w:t xml:space="preserve">najważniejszą grupę przyczyn odpowiedzialną odpowiednio za 17,0% i 14,4% utraconych lat życia w zdrowiu z powodu ograniczonej sprawności przez mieszkańców Polski. Choroby te są równocześnie </w:t>
      </w:r>
      <w:r w:rsidRPr="007E156B">
        <w:rPr>
          <w:lang w:eastAsia="pl-PL"/>
        </w:rPr>
        <w:lastRenderedPageBreak/>
        <w:t xml:space="preserve">odpowiedzialne za 7,4% utraconych lat życia w zdrowiu (ang. </w:t>
      </w:r>
      <w:r w:rsidRPr="007E156B">
        <w:rPr>
          <w:rStyle w:val="e24kjd"/>
          <w:i/>
        </w:rPr>
        <w:t>disability adjusted life-years</w:t>
      </w:r>
      <w:r w:rsidRPr="007E156B">
        <w:rPr>
          <w:i/>
          <w:lang w:eastAsia="pl-PL"/>
        </w:rPr>
        <w:t xml:space="preserve"> </w:t>
      </w:r>
      <w:r w:rsidRPr="007E156B">
        <w:rPr>
          <w:lang w:eastAsia="pl-PL"/>
        </w:rPr>
        <w:t>– DALYs) przez polskich mężczyzn i 6,7% przez kobiety</w:t>
      </w:r>
      <w:r w:rsidRPr="00F662B2">
        <w:rPr>
          <w:lang w:eastAsia="pl-PL"/>
        </w:rPr>
        <w:t>.</w:t>
      </w:r>
      <w:r w:rsidRPr="00F662B2">
        <w:rPr>
          <w:vertAlign w:val="superscript"/>
          <w:lang w:eastAsia="pl-PL"/>
        </w:rPr>
        <w:footnoteReference w:id="3"/>
      </w:r>
    </w:p>
    <w:p w14:paraId="7FC05642" w14:textId="78340C1F" w:rsidR="00D620C6" w:rsidRDefault="007C7342" w:rsidP="00EB550E">
      <w:pPr>
        <w:jc w:val="both"/>
        <w:rPr>
          <w:lang w:eastAsia="pl-PL"/>
        </w:rPr>
      </w:pPr>
      <w:r w:rsidRPr="00C17A80">
        <w:rPr>
          <w:lang w:eastAsia="pl-PL"/>
        </w:rPr>
        <w:t>Jeden z najważniejszych symptomów z obszaru zdrowia psychicznego</w:t>
      </w:r>
      <w:r>
        <w:rPr>
          <w:lang w:eastAsia="pl-PL"/>
        </w:rPr>
        <w:t>,</w:t>
      </w:r>
      <w:r w:rsidRPr="00C17A80">
        <w:rPr>
          <w:lang w:eastAsia="pl-PL"/>
        </w:rPr>
        <w:t xml:space="preserve"> a mianowicie współczynnik zgonów z powodu samobójstw, jest wśród mężczyzn w Polsce (w 2016 r. 2</w:t>
      </w:r>
      <w:r w:rsidR="00956E51">
        <w:rPr>
          <w:lang w:eastAsia="pl-PL"/>
        </w:rPr>
        <w:t>2</w:t>
      </w:r>
      <w:r w:rsidRPr="00C17A80">
        <w:rPr>
          <w:lang w:eastAsia="pl-PL"/>
        </w:rPr>
        <w:t>,</w:t>
      </w:r>
      <w:r w:rsidR="00956E51">
        <w:rPr>
          <w:lang w:eastAsia="pl-PL"/>
        </w:rPr>
        <w:t>8</w:t>
      </w:r>
      <w:r w:rsidRPr="00C17A80">
        <w:rPr>
          <w:lang w:eastAsia="pl-PL"/>
        </w:rPr>
        <w:t xml:space="preserve">/100 tys.) znacząco wyższy od średniego dla krajów UE (w 2015 r. </w:t>
      </w:r>
      <w:r w:rsidR="00F01675">
        <w:rPr>
          <w:lang w:eastAsia="pl-PL"/>
        </w:rPr>
        <w:t>16,9</w:t>
      </w:r>
      <w:r w:rsidRPr="00C17A80">
        <w:rPr>
          <w:lang w:eastAsia="pl-PL"/>
        </w:rPr>
        <w:t>/100 tys.) (współczynniki standaryzowane względem wieku). Natomiast współczynnik zgonów kobiet z tej przyczyny w Polsce (</w:t>
      </w:r>
      <w:r w:rsidR="00F01675">
        <w:rPr>
          <w:lang w:eastAsia="pl-PL"/>
        </w:rPr>
        <w:t>3,02</w:t>
      </w:r>
      <w:r w:rsidRPr="00C17A80">
        <w:rPr>
          <w:lang w:eastAsia="pl-PL"/>
        </w:rPr>
        <w:t>/100 tys.) jest wielokrotnie niższy w</w:t>
      </w:r>
      <w:r>
        <w:rPr>
          <w:lang w:eastAsia="pl-PL"/>
        </w:rPr>
        <w:t> </w:t>
      </w:r>
      <w:r w:rsidRPr="00C17A80">
        <w:rPr>
          <w:lang w:eastAsia="pl-PL"/>
        </w:rPr>
        <w:t>porównaniu ze współczynnikiem zgonów mężczyzn i jest niższy od przeciętnego dla UE 28 (4,</w:t>
      </w:r>
      <w:r w:rsidR="00F01675">
        <w:rPr>
          <w:lang w:eastAsia="pl-PL"/>
        </w:rPr>
        <w:t>51</w:t>
      </w:r>
      <w:r w:rsidRPr="00C17A80">
        <w:rPr>
          <w:lang w:eastAsia="pl-PL"/>
        </w:rPr>
        <w:t>/100 tys.). W żadnym z krajów Unii Europejskiej nie obserwuje się tak ogromnej trwa</w:t>
      </w:r>
      <w:r w:rsidRPr="00834BF2">
        <w:rPr>
          <w:lang w:eastAsia="pl-PL"/>
        </w:rPr>
        <w:t xml:space="preserve">łej </w:t>
      </w:r>
      <w:r w:rsidR="00D620C6">
        <w:t>dys</w:t>
      </w:r>
      <w:r w:rsidR="00D620C6" w:rsidRPr="00834BF2">
        <w:rPr>
          <w:lang w:eastAsia="pl-PL"/>
        </w:rPr>
        <w:t>proporcji między płciami</w:t>
      </w:r>
      <w:r w:rsidR="00D620C6" w:rsidRPr="00C17A80">
        <w:rPr>
          <w:vertAlign w:val="superscript"/>
          <w:lang w:eastAsia="pl-PL"/>
        </w:rPr>
        <w:footnoteReference w:id="4"/>
      </w:r>
      <w:r w:rsidR="00D620C6">
        <w:rPr>
          <w:lang w:eastAsia="pl-PL"/>
        </w:rPr>
        <w:t xml:space="preserve">. </w:t>
      </w:r>
    </w:p>
    <w:p w14:paraId="10BA1B70" w14:textId="247C4C72" w:rsidR="00EB550E" w:rsidRDefault="00EB550E" w:rsidP="00EB550E">
      <w:pPr>
        <w:jc w:val="both"/>
        <w:rPr>
          <w:lang w:eastAsia="pl-PL"/>
        </w:rPr>
      </w:pPr>
      <w:r w:rsidRPr="007E156B">
        <w:rPr>
          <w:lang w:eastAsia="pl-PL"/>
        </w:rPr>
        <w:t xml:space="preserve">WHO przewiduje, że w ciągu najbliższych 20 lat depresja stanie się najczęstszym problemem zdrowotnym. </w:t>
      </w:r>
      <w:r w:rsidR="00D60689" w:rsidRPr="007E156B">
        <w:rPr>
          <w:lang w:eastAsia="pl-PL"/>
        </w:rPr>
        <w:t>Depresja jest jednym z zaburzeń psychicznych uniemożliwiających prawidłowe codzienne funkcjonowanie.</w:t>
      </w:r>
      <w:r w:rsidR="00D60689">
        <w:rPr>
          <w:lang w:eastAsia="pl-PL"/>
        </w:rPr>
        <w:t xml:space="preserve"> Cechuje się głównie obniżeniem nastroju, energii i aktywności oraz zmniejszeniem zainteresowań. Zaburzenia depresyjne często zaczynają się już w bardzo młodym wieku i przeważnie mają charakter nawracający. </w:t>
      </w:r>
      <w:r w:rsidR="00D60689" w:rsidRPr="007E156B">
        <w:rPr>
          <w:lang w:eastAsia="pl-PL"/>
        </w:rPr>
        <w:t>W literaturze przedmiotu podkreśla się, że depresja jest chorobą ogólnoustrojową, której występowanie, przy braku właściwego leczenia, powoduje zwiększenie ryzyka występowania chorób somatycznych i na odwrót – choroby somatyczne, zwłaszcza przewlekłe, zwiększają ryzyko wystąpienia depresji.</w:t>
      </w:r>
      <w:r w:rsidR="00D60689">
        <w:rPr>
          <w:lang w:eastAsia="pl-PL"/>
        </w:rPr>
        <w:t xml:space="preserve"> </w:t>
      </w:r>
      <w:r>
        <w:rPr>
          <w:lang w:eastAsia="pl-PL"/>
        </w:rPr>
        <w:t xml:space="preserve">Z zaburzeniem </w:t>
      </w:r>
      <w:r w:rsidR="00D60689">
        <w:rPr>
          <w:lang w:eastAsia="pl-PL"/>
        </w:rPr>
        <w:t xml:space="preserve">tym </w:t>
      </w:r>
      <w:r>
        <w:rPr>
          <w:lang w:eastAsia="pl-PL"/>
        </w:rPr>
        <w:t xml:space="preserve">wiąże się wiele negatywnych konsekwencji społecznych, m.in. osoby cierpiące na ciężką depresję nierzadko muszą rezygnować </w:t>
      </w:r>
      <w:r w:rsidR="00F01675">
        <w:rPr>
          <w:lang w:eastAsia="pl-PL"/>
        </w:rPr>
        <w:br/>
      </w:r>
      <w:r>
        <w:rPr>
          <w:lang w:eastAsia="pl-PL"/>
        </w:rPr>
        <w:t>z pracy i bywa, że pozostają długotrwale bezrobotne. Powoduje to wzrost wydatków na zasiłki chorobowe i zasiłki.</w:t>
      </w:r>
      <w:r w:rsidR="00D60689">
        <w:rPr>
          <w:lang w:eastAsia="pl-PL"/>
        </w:rPr>
        <w:t xml:space="preserve"> </w:t>
      </w:r>
      <w:r>
        <w:rPr>
          <w:lang w:eastAsia="pl-PL"/>
        </w:rPr>
        <w:t>Zgodnie z dokumentem WHO pt. Mental Health Action Plan 2013</w:t>
      </w:r>
      <w:r w:rsidR="00F01675">
        <w:rPr>
          <w:lang w:eastAsia="pl-PL"/>
        </w:rPr>
        <w:t>-</w:t>
      </w:r>
      <w:r>
        <w:rPr>
          <w:lang w:eastAsia="pl-PL"/>
        </w:rPr>
        <w:t>2020 depresja stanowi obecnie 4,3% globalnego obciążenia wszystkimi chorobami i jedną z największych pojedynczych przyczyn niesprawności w skali świata (11% wszystkich lat życia skorygowanych niesprawnością na świecie – DALY 3). Szczególnie często występuje wśród dzieci i młodzieży, ale także wśród osób starszych.</w:t>
      </w:r>
      <w:r w:rsidR="008A1376">
        <w:rPr>
          <w:rStyle w:val="Odwoanieprzypisudolnego"/>
          <w:lang w:eastAsia="pl-PL"/>
        </w:rPr>
        <w:footnoteReference w:id="5"/>
      </w:r>
      <w:r>
        <w:rPr>
          <w:lang w:eastAsia="pl-PL"/>
        </w:rPr>
        <w:t xml:space="preserve"> </w:t>
      </w:r>
    </w:p>
    <w:p w14:paraId="4EBB5C19" w14:textId="6813E843" w:rsidR="007C7342" w:rsidRDefault="00EB550E" w:rsidP="00EB550E">
      <w:pPr>
        <w:jc w:val="both"/>
        <w:rPr>
          <w:lang w:eastAsia="pl-PL"/>
        </w:rPr>
      </w:pPr>
      <w:r>
        <w:rPr>
          <w:lang w:eastAsia="pl-PL"/>
        </w:rPr>
        <w:t xml:space="preserve">Statystycznie w Polsce liczba osób leczonych z zaburzeniami afektywnymi pozostawała w latach </w:t>
      </w:r>
      <w:r w:rsidR="00FB298C">
        <w:rPr>
          <w:lang w:eastAsia="pl-PL"/>
        </w:rPr>
        <w:br/>
      </w:r>
      <w:r>
        <w:rPr>
          <w:lang w:eastAsia="pl-PL"/>
        </w:rPr>
        <w:t xml:space="preserve">2014–2016 na porównywalnym poziomie, wynoszącym 325 029 w 2014 r., 321 541 w 2015 r. i 318 402 </w:t>
      </w:r>
      <w:r w:rsidR="00FB298C">
        <w:rPr>
          <w:lang w:eastAsia="pl-PL"/>
        </w:rPr>
        <w:br/>
      </w:r>
      <w:r>
        <w:rPr>
          <w:lang w:eastAsia="pl-PL"/>
        </w:rPr>
        <w:t>w 2016 r. Widoczną w skali kraju tendencją był wzrost</w:t>
      </w:r>
      <w:r w:rsidR="00EA1979">
        <w:rPr>
          <w:lang w:eastAsia="pl-PL"/>
        </w:rPr>
        <w:t xml:space="preserve"> współczynnika chorobowości</w:t>
      </w:r>
      <w:r>
        <w:rPr>
          <w:lang w:eastAsia="pl-PL"/>
        </w:rPr>
        <w:t xml:space="preserve"> w przedziale wiekowym 0–18 lat</w:t>
      </w:r>
      <w:r w:rsidR="004A1CB0">
        <w:rPr>
          <w:lang w:eastAsia="pl-PL"/>
        </w:rPr>
        <w:t xml:space="preserve"> </w:t>
      </w:r>
      <w:r w:rsidR="00EA1979">
        <w:rPr>
          <w:lang w:eastAsia="pl-PL"/>
        </w:rPr>
        <w:t>oraz</w:t>
      </w:r>
      <w:r>
        <w:rPr>
          <w:lang w:eastAsia="pl-PL"/>
        </w:rPr>
        <w:t xml:space="preserve"> 65 lat</w:t>
      </w:r>
      <w:r w:rsidR="00A90668">
        <w:rPr>
          <w:lang w:eastAsia="pl-PL"/>
        </w:rPr>
        <w:t xml:space="preserve"> +</w:t>
      </w:r>
      <w:r w:rsidR="00EA1979">
        <w:rPr>
          <w:lang w:eastAsia="pl-PL"/>
        </w:rPr>
        <w:t>, jak r</w:t>
      </w:r>
      <w:r w:rsidR="003B0A1F">
        <w:rPr>
          <w:lang w:eastAsia="pl-PL"/>
        </w:rPr>
        <w:t>ó</w:t>
      </w:r>
      <w:r w:rsidR="00EA1979">
        <w:rPr>
          <w:lang w:eastAsia="pl-PL"/>
        </w:rPr>
        <w:t>wnież</w:t>
      </w:r>
      <w:r w:rsidR="00397E3E">
        <w:rPr>
          <w:lang w:eastAsia="pl-PL"/>
        </w:rPr>
        <w:t xml:space="preserve"> </w:t>
      </w:r>
      <w:r>
        <w:rPr>
          <w:lang w:eastAsia="pl-PL"/>
        </w:rPr>
        <w:t>wzrost liczby leczonych w związku z zaburzeniami afektywnymi dwubiegunowymi (F31) i zaburzeniami depresyjnymi nawracającymi (F33). W skali kraju w 2016 r. wskaźnik liczby leczonych i liczby leczonych po raz pierwszy na zaburzenia afektywne (na 100 tys. ludności Polski) wyniósł odpowiednio 828,6 i 156,5 osób.</w:t>
      </w:r>
      <w:r w:rsidR="008A1376">
        <w:rPr>
          <w:rStyle w:val="Odwoanieprzypisudolnego"/>
          <w:lang w:eastAsia="pl-PL"/>
        </w:rPr>
        <w:footnoteReference w:id="6"/>
      </w:r>
      <w:r>
        <w:rPr>
          <w:lang w:eastAsia="pl-PL"/>
        </w:rPr>
        <w:t xml:space="preserve"> </w:t>
      </w:r>
    </w:p>
    <w:p w14:paraId="709C33C3" w14:textId="47685B4F" w:rsidR="000C1491" w:rsidRDefault="009D5CF8" w:rsidP="00AC1E70">
      <w:pPr>
        <w:jc w:val="both"/>
      </w:pPr>
      <w:r>
        <w:rPr>
          <w:lang w:eastAsia="pl-PL"/>
        </w:rPr>
        <w:t xml:space="preserve">Jedną z kluczowych kwestii związanych ze skutkami zaburzeń zdrowia psychicznego są koszty ekonomiczne i społeczne. </w:t>
      </w:r>
      <w:r w:rsidR="001010FA">
        <w:rPr>
          <w:lang w:eastAsia="pl-PL"/>
        </w:rPr>
        <w:t>Jednym z przykładów może być schizofrenia, któr</w:t>
      </w:r>
      <w:r w:rsidR="00A20135">
        <w:rPr>
          <w:lang w:eastAsia="pl-PL"/>
        </w:rPr>
        <w:t xml:space="preserve">ej objawy dotykają </w:t>
      </w:r>
      <w:r w:rsidR="001010FA">
        <w:t xml:space="preserve">wszystkich poziomów funkcjonowania człowieka. Do głównych </w:t>
      </w:r>
      <w:r w:rsidR="00DE7B13">
        <w:t>czynników ryzyka</w:t>
      </w:r>
      <w:r w:rsidR="001010FA">
        <w:t xml:space="preserve"> należą: postępująca utrata kontaktu ze światem i przewaga zainteresowania przeżyciami wewnętrznymi; zobojętnienie uczuciowe prowadzące do pustki uczuciowej i utraty związków emocjonalnych z otoczeniem, rozpad osobowości objawiający się brakiem kontaktu intelektualnego z</w:t>
      </w:r>
      <w:r w:rsidR="00A90668">
        <w:t> </w:t>
      </w:r>
      <w:r w:rsidR="001010FA">
        <w:t xml:space="preserve">rzeczywistością, brakiem zgodności </w:t>
      </w:r>
      <w:r w:rsidR="001010FA">
        <w:lastRenderedPageBreak/>
        <w:t xml:space="preserve">treści uczuć i myśli, jednoczesnym występowaniem dwóch sprzecznych sądów, uczuć, lub dążeń, objawami wytwórczymi. </w:t>
      </w:r>
    </w:p>
    <w:p w14:paraId="04C8FEB5" w14:textId="5B874279" w:rsidR="00D63608" w:rsidRDefault="001010FA" w:rsidP="00AC1E70">
      <w:pPr>
        <w:jc w:val="both"/>
      </w:pPr>
      <w:r>
        <w:t>Ocenia się, że</w:t>
      </w:r>
      <w:r w:rsidR="00DE7B13">
        <w:t xml:space="preserve"> rozpowszechnienie</w:t>
      </w:r>
      <w:r w:rsidR="00A90668">
        <w:t xml:space="preserve"> </w:t>
      </w:r>
      <w:r w:rsidR="000C1491">
        <w:t xml:space="preserve">zaburzeń schizofrenicznych </w:t>
      </w:r>
      <w:r>
        <w:t xml:space="preserve">na całym świecie wynosi ok. 1%. </w:t>
      </w:r>
      <w:r w:rsidR="00F662B2">
        <w:br/>
      </w:r>
      <w:r>
        <w:t>Tak samo często chorują mężczyźni jak i kobiety.</w:t>
      </w:r>
      <w:r w:rsidR="00AC1E70">
        <w:t xml:space="preserve"> W skali kraju w 2016 roku wskaźnik liczby leczonych </w:t>
      </w:r>
      <w:r w:rsidR="004A1CB0">
        <w:br/>
      </w:r>
      <w:r w:rsidR="00AC1E70">
        <w:t xml:space="preserve">i liczby leczonych po raz pierwszy na zaburzenia schizofreniczne (na 100 tys. ludności Polski) w opiece ambulatoryjnej wyniósł odpowiednio 367,4 i 33,2 osób, w opiece całodobowej odpowiednio 87,7 </w:t>
      </w:r>
      <w:r w:rsidR="00F662B2">
        <w:br/>
      </w:r>
      <w:r w:rsidR="00AC1E70">
        <w:t>i 12,4.</w:t>
      </w:r>
      <w:r w:rsidR="00DE7B13" w:rsidRPr="00DE7B13">
        <w:t xml:space="preserve"> </w:t>
      </w:r>
      <w:r w:rsidR="00AC1E70">
        <w:t>W</w:t>
      </w:r>
      <w:r w:rsidR="00DE7B13">
        <w:t xml:space="preserve"> UE </w:t>
      </w:r>
      <w:r w:rsidR="00AC1E70">
        <w:t xml:space="preserve">natomiast </w:t>
      </w:r>
      <w:r w:rsidR="00DE7B13">
        <w:t>zapadalność roczna to 12,4 na 100 tys. ludności. Ryzyko wystąpienia schizofrenii w ciągu całego życia (zapadalność życiowa) wg różnych badań wynosi poniżej 1 %.</w:t>
      </w:r>
      <w:r w:rsidR="008A1376">
        <w:rPr>
          <w:rStyle w:val="Odwoanieprzypisudolnego"/>
        </w:rPr>
        <w:footnoteReference w:id="7"/>
      </w:r>
    </w:p>
    <w:p w14:paraId="2DE00E24" w14:textId="6F0E138A" w:rsidR="00D60689" w:rsidRDefault="00D60689" w:rsidP="001010FA">
      <w:pPr>
        <w:jc w:val="both"/>
      </w:pPr>
      <w:r>
        <w:t xml:space="preserve">Schizofrenia w poważnym stopniu ogranicza możliwości wykonywania pracy zarobkowej. </w:t>
      </w:r>
      <w:r w:rsidR="00397E3E" w:rsidRPr="00397E3E">
        <w:t xml:space="preserve">W strukturze wydatków ogółem na świadczenia z tytułu niezdolności do pracy w 2018 r. ZUS grupą chorobową generującą najwyższe wydatki były zaburzenia psychiczne i zaburzenia zachowania (kody ICD-10 </w:t>
      </w:r>
      <w:r w:rsidR="00F662B2">
        <w:br/>
      </w:r>
      <w:r w:rsidR="00397E3E" w:rsidRPr="00397E3E">
        <w:t xml:space="preserve">od F00 do F99) i wyniosły 15,8% ogółu wydatków, co stanowiło ok. 5 822 mln zł (Zakład Ubezpieczeń Społecznych, 2019). Dla porównania: choroby układu kostno-stawowego, mięśniowego i tkanki łącznej generowały odpowiednio – 14,3% ogółu wydatków, choroby związane z okresem ciąży, porodu </w:t>
      </w:r>
      <w:r w:rsidR="00F662B2">
        <w:br/>
      </w:r>
      <w:r w:rsidR="00397E3E" w:rsidRPr="00397E3E">
        <w:t>i połogu – 13,2%, urazy, zatrucia i inne określone skutki działania czynników zewnętrznych – 12,2%, choroby układu krążenia – 10,0%, choroby układu nerwowego – 8,1% oraz choroby układu oddechowego – 8,5%. W 2018 r. schizofrenia jako jednostka chorobowa była trzecią spośród 20 jednostek chorobowych generujących najwyższe wydatki na świadczenia związane z niezdolnością do pracy (po opiece położniczej z powodu stanów związanych głównie z ciążą i zaburzeniami korzeni rdzeniowych i splotów nerwowych). Udział schizofrenii w wydatkach ogółem Zakładu Ubezpieczeń Społecznych wyniósł w 2018 r. - 3,1 %, co wynosi w wartościach bezwzględnych 1 141 mln zł. Stanowi to 16,5% całości wydatków ZUS w grupie chorobowej zaburzenia psychiczne i zaburzenia zachowania.</w:t>
      </w:r>
      <w:r w:rsidR="00A90668">
        <w:t xml:space="preserve"> </w:t>
      </w:r>
      <w:r>
        <w:t xml:space="preserve">Należy zauważyć, iż koszty pośrednie schizofrenii wynikają także m.in </w:t>
      </w:r>
      <w:r w:rsidR="00F01675">
        <w:t xml:space="preserve">z </w:t>
      </w:r>
      <w:r>
        <w:t>przedwczesnej śmierci, oraz</w:t>
      </w:r>
      <w:r w:rsidR="007F0595">
        <w:t xml:space="preserve"> obciążenia i wymuszonej absencji rodzin</w:t>
      </w:r>
      <w:r w:rsidR="00A90668">
        <w:t xml:space="preserve"> i</w:t>
      </w:r>
      <w:r w:rsidR="007F0595">
        <w:t xml:space="preserve"> opiekunów</w:t>
      </w:r>
      <w:r w:rsidR="00A90668">
        <w:t>.</w:t>
      </w:r>
      <w:r w:rsidR="00173229">
        <w:rPr>
          <w:rStyle w:val="Odwoanieprzypisudolnego"/>
        </w:rPr>
        <w:footnoteReference w:id="8"/>
      </w:r>
    </w:p>
    <w:p w14:paraId="078B5140" w14:textId="77777777" w:rsidR="004F5D52" w:rsidRPr="00246BC7" w:rsidRDefault="00246BC7" w:rsidP="00F72842">
      <w:pPr>
        <w:pStyle w:val="Nagwek4"/>
        <w:numPr>
          <w:ilvl w:val="0"/>
          <w:numId w:val="2"/>
        </w:numPr>
        <w:rPr>
          <w:iCs w:val="0"/>
          <w:color w:val="0070C0"/>
          <w:spacing w:val="-10"/>
          <w:kern w:val="28"/>
          <w:sz w:val="28"/>
          <w:szCs w:val="56"/>
        </w:rPr>
      </w:pPr>
      <w:bookmarkStart w:id="2" w:name="_Toc22650837"/>
      <w:r>
        <w:rPr>
          <w:iCs w:val="0"/>
          <w:color w:val="0070C0"/>
          <w:spacing w:val="-10"/>
          <w:kern w:val="28"/>
          <w:sz w:val="28"/>
          <w:szCs w:val="56"/>
        </w:rPr>
        <w:t xml:space="preserve"> </w:t>
      </w:r>
      <w:r w:rsidR="005169AF" w:rsidRPr="00246BC7">
        <w:rPr>
          <w:iCs w:val="0"/>
          <w:color w:val="0070C0"/>
          <w:spacing w:val="-10"/>
          <w:kern w:val="28"/>
          <w:sz w:val="28"/>
          <w:szCs w:val="56"/>
        </w:rPr>
        <w:t>Zdrowie</w:t>
      </w:r>
      <w:r w:rsidR="004F5D52" w:rsidRPr="00246BC7">
        <w:rPr>
          <w:iCs w:val="0"/>
          <w:color w:val="0070C0"/>
          <w:spacing w:val="-10"/>
          <w:kern w:val="28"/>
          <w:sz w:val="28"/>
          <w:szCs w:val="56"/>
        </w:rPr>
        <w:t xml:space="preserve"> psychiczne dzieci i młodzieży</w:t>
      </w:r>
      <w:bookmarkEnd w:id="2"/>
    </w:p>
    <w:p w14:paraId="06B8B362" w14:textId="34186F10" w:rsidR="0077646F" w:rsidRDefault="005513CF" w:rsidP="005513CF">
      <w:pPr>
        <w:jc w:val="both"/>
        <w:rPr>
          <w:lang w:eastAsia="pl-PL"/>
        </w:rPr>
      </w:pPr>
      <w:r>
        <w:rPr>
          <w:lang w:eastAsia="pl-PL"/>
        </w:rPr>
        <w:t>Szacuje się, że r</w:t>
      </w:r>
      <w:r w:rsidRPr="00C17A80">
        <w:rPr>
          <w:lang w:eastAsia="pl-PL"/>
        </w:rPr>
        <w:t xml:space="preserve">ozpowszechnienie zaburzeń psychicznych </w:t>
      </w:r>
      <w:r w:rsidR="007F0595" w:rsidRPr="00C17A80">
        <w:rPr>
          <w:lang w:eastAsia="pl-PL"/>
        </w:rPr>
        <w:t>dotyczy</w:t>
      </w:r>
      <w:r w:rsidRPr="00C17A80">
        <w:rPr>
          <w:lang w:eastAsia="pl-PL"/>
        </w:rPr>
        <w:t xml:space="preserve"> </w:t>
      </w:r>
      <w:r w:rsidR="007F0595" w:rsidRPr="00C17A80">
        <w:rPr>
          <w:lang w:eastAsia="pl-PL"/>
        </w:rPr>
        <w:t xml:space="preserve">około 10%, </w:t>
      </w:r>
      <w:r w:rsidRPr="00C17A80">
        <w:rPr>
          <w:lang w:eastAsia="pl-PL"/>
        </w:rPr>
        <w:t xml:space="preserve">populacji dzieci </w:t>
      </w:r>
      <w:r w:rsidR="00F662B2">
        <w:rPr>
          <w:lang w:eastAsia="pl-PL"/>
        </w:rPr>
        <w:br/>
      </w:r>
      <w:r w:rsidRPr="00C17A80">
        <w:rPr>
          <w:lang w:eastAsia="pl-PL"/>
        </w:rPr>
        <w:t xml:space="preserve">i młodzieży co oznacza, że w Polsce ponad 600 tys. osób poniżej 18 </w:t>
      </w:r>
      <w:r w:rsidR="00F01675">
        <w:rPr>
          <w:lang w:eastAsia="pl-PL"/>
        </w:rPr>
        <w:t>r.</w:t>
      </w:r>
      <w:r>
        <w:rPr>
          <w:lang w:eastAsia="pl-PL"/>
        </w:rPr>
        <w:t xml:space="preserve"> </w:t>
      </w:r>
      <w:r w:rsidR="00F01675" w:rsidRPr="00C17A80">
        <w:rPr>
          <w:lang w:eastAsia="pl-PL"/>
        </w:rPr>
        <w:t>ż</w:t>
      </w:r>
      <w:r w:rsidR="00F01675">
        <w:rPr>
          <w:lang w:eastAsia="pl-PL"/>
        </w:rPr>
        <w:t>.</w:t>
      </w:r>
      <w:r w:rsidR="00F01675" w:rsidRPr="00C17A80">
        <w:rPr>
          <w:lang w:eastAsia="pl-PL"/>
        </w:rPr>
        <w:t xml:space="preserve"> </w:t>
      </w:r>
      <w:r w:rsidRPr="00C17A80">
        <w:rPr>
          <w:lang w:eastAsia="pl-PL"/>
        </w:rPr>
        <w:t>wymaga zapewnienia profesjonalnej opieki</w:t>
      </w:r>
      <w:r>
        <w:rPr>
          <w:rStyle w:val="Odwoanieprzypisudolnego"/>
          <w:lang w:eastAsia="pl-PL"/>
        </w:rPr>
        <w:footnoteReference w:id="9"/>
      </w:r>
      <w:r w:rsidRPr="00C17A80">
        <w:rPr>
          <w:lang w:eastAsia="pl-PL"/>
        </w:rPr>
        <w:t>.</w:t>
      </w:r>
    </w:p>
    <w:p w14:paraId="76C673BD" w14:textId="77777777" w:rsidR="00515032" w:rsidRDefault="00515032" w:rsidP="005513CF">
      <w:pPr>
        <w:jc w:val="both"/>
        <w:rPr>
          <w:lang w:eastAsia="pl-PL"/>
        </w:rPr>
      </w:pPr>
      <w:r>
        <w:rPr>
          <w:lang w:eastAsia="pl-PL"/>
        </w:rPr>
        <w:t>Ze względu na częstość występowania poszczególnych zaburzeń psychicznych osoby poniżej 18 r.</w:t>
      </w:r>
      <w:r w:rsidR="0097514A">
        <w:rPr>
          <w:lang w:eastAsia="pl-PL"/>
        </w:rPr>
        <w:t xml:space="preserve"> </w:t>
      </w:r>
      <w:r>
        <w:rPr>
          <w:lang w:eastAsia="pl-PL"/>
        </w:rPr>
        <w:t>ż. można podzielić na dwie grupy: dzieci (do 11 r.</w:t>
      </w:r>
      <w:r w:rsidR="00F01675">
        <w:rPr>
          <w:lang w:eastAsia="pl-PL"/>
        </w:rPr>
        <w:t xml:space="preserve"> </w:t>
      </w:r>
      <w:r>
        <w:rPr>
          <w:lang w:eastAsia="pl-PL"/>
        </w:rPr>
        <w:t>ż.) oraz młodzież (od 12 r.</w:t>
      </w:r>
      <w:r w:rsidR="00F01675">
        <w:rPr>
          <w:lang w:eastAsia="pl-PL"/>
        </w:rPr>
        <w:t xml:space="preserve"> </w:t>
      </w:r>
      <w:r>
        <w:rPr>
          <w:lang w:eastAsia="pl-PL"/>
        </w:rPr>
        <w:t xml:space="preserve">ż). Na podstawie wstępnych wyników badań prowadzonych przez Instytut Psychiatrii i Neurologii w ramach badania EZOP II, można stwierdzić, iż w grupie 7- 11 lat, najczęściej obserwowanymi zaburzeniami są fobie specyficzne (6,3% dzieci), tiki (2,9%), ADHD (2,5%). Z kolei w starszej populacji (12-17 lat) najczęściej obserwuje się  tendencje samobójcze (5,8%), </w:t>
      </w:r>
      <w:r w:rsidRPr="00515032">
        <w:rPr>
          <w:lang w:eastAsia="pl-PL"/>
        </w:rPr>
        <w:t>zaburzenia związane z piciem alkoholu i używaniem innych substancji psychoaktywnych</w:t>
      </w:r>
      <w:r>
        <w:rPr>
          <w:lang w:eastAsia="pl-PL"/>
        </w:rPr>
        <w:t xml:space="preserve"> (5,3%), tiki (4,2%), fobie specyficzne (4,1%), depresję (3,7%), ADHD (2,1%) oraz anoreksję (2%)</w:t>
      </w:r>
      <w:r w:rsidR="00BA36AC">
        <w:rPr>
          <w:rStyle w:val="Odwoanieprzypisudolnego"/>
          <w:lang w:eastAsia="pl-PL"/>
        </w:rPr>
        <w:footnoteReference w:id="10"/>
      </w:r>
      <w:r>
        <w:rPr>
          <w:lang w:eastAsia="pl-PL"/>
        </w:rPr>
        <w:t>.</w:t>
      </w:r>
    </w:p>
    <w:p w14:paraId="36532241" w14:textId="77777777" w:rsidR="00AC01BD" w:rsidRPr="00C17A80" w:rsidRDefault="00843A6D" w:rsidP="00AC01BD">
      <w:pPr>
        <w:jc w:val="both"/>
        <w:rPr>
          <w:lang w:eastAsia="pl-PL"/>
        </w:rPr>
      </w:pPr>
      <w:r>
        <w:rPr>
          <w:lang w:eastAsia="pl-PL"/>
        </w:rPr>
        <w:t>Zaburzenia psychiczne pojawiające się w dzieciństwie i adolescencji są</w:t>
      </w:r>
      <w:r w:rsidRPr="00C17A80">
        <w:rPr>
          <w:lang w:eastAsia="pl-PL"/>
        </w:rPr>
        <w:t xml:space="preserve"> wynikiem wielu czynników </w:t>
      </w:r>
      <w:r>
        <w:rPr>
          <w:lang w:eastAsia="pl-PL"/>
        </w:rPr>
        <w:t>biologicznych i środowiskowych</w:t>
      </w:r>
      <w:r w:rsidRPr="00C17A80">
        <w:rPr>
          <w:lang w:eastAsia="pl-PL"/>
        </w:rPr>
        <w:t>,</w:t>
      </w:r>
      <w:r>
        <w:rPr>
          <w:lang w:eastAsia="pl-PL"/>
        </w:rPr>
        <w:t xml:space="preserve"> mają związek z</w:t>
      </w:r>
      <w:r w:rsidRPr="00C17A80">
        <w:rPr>
          <w:lang w:eastAsia="pl-PL"/>
        </w:rPr>
        <w:t xml:space="preserve"> </w:t>
      </w:r>
      <w:r>
        <w:rPr>
          <w:lang w:eastAsia="pl-PL"/>
        </w:rPr>
        <w:t>warunkami społecznymi i ekonomicznymi</w:t>
      </w:r>
      <w:r w:rsidRPr="00C17A80">
        <w:rPr>
          <w:lang w:eastAsia="pl-PL"/>
        </w:rPr>
        <w:t xml:space="preserve">, </w:t>
      </w:r>
      <w:r>
        <w:rPr>
          <w:lang w:eastAsia="pl-PL"/>
        </w:rPr>
        <w:t>relacjami w rodzinie, szkole oraz grupach rówieśniczych</w:t>
      </w:r>
      <w:r w:rsidRPr="00C17A80">
        <w:rPr>
          <w:lang w:eastAsia="pl-PL"/>
        </w:rPr>
        <w:t>, stres</w:t>
      </w:r>
      <w:r>
        <w:rPr>
          <w:lang w:eastAsia="pl-PL"/>
        </w:rPr>
        <w:t xml:space="preserve">em i narażeniem na kontakt z substancjami </w:t>
      </w:r>
      <w:r>
        <w:rPr>
          <w:lang w:eastAsia="pl-PL"/>
        </w:rPr>
        <w:lastRenderedPageBreak/>
        <w:t>psychoaktywnymi</w:t>
      </w:r>
      <w:r w:rsidRPr="00C17A80">
        <w:rPr>
          <w:lang w:eastAsia="pl-PL"/>
        </w:rPr>
        <w:t>. Na</w:t>
      </w:r>
      <w:r>
        <w:rPr>
          <w:lang w:eastAsia="pl-PL"/>
        </w:rPr>
        <w:t> </w:t>
      </w:r>
      <w:r w:rsidRPr="00C17A80">
        <w:rPr>
          <w:lang w:eastAsia="pl-PL"/>
        </w:rPr>
        <w:t>przestrzeni ostatnich lat obserwuje się narastanie częstości zaburzeń zależnych lub częściowo zależnych od uwarunkowań cywilizacyjnych i kulturowych (np. zaburzenia depresyjne, próby samobójcze, samookaleczenia, zaburzenia odżywiania, uzależnienia, zaburzenia związane ze stresem).</w:t>
      </w:r>
      <w:r w:rsidRPr="00843A6D">
        <w:rPr>
          <w:lang w:eastAsia="pl-PL"/>
        </w:rPr>
        <w:t xml:space="preserve"> </w:t>
      </w:r>
      <w:r w:rsidR="00AC01BD">
        <w:rPr>
          <w:lang w:eastAsia="pl-PL"/>
        </w:rPr>
        <w:t xml:space="preserve">Zmianie ulega </w:t>
      </w:r>
      <w:r w:rsidR="00AC01BD" w:rsidRPr="00C17A80">
        <w:rPr>
          <w:lang w:eastAsia="pl-PL"/>
        </w:rPr>
        <w:t xml:space="preserve">także obraz kliniczny zaburzeń - coraz częściej </w:t>
      </w:r>
      <w:r w:rsidR="00AC01BD">
        <w:rPr>
          <w:lang w:eastAsia="pl-PL"/>
        </w:rPr>
        <w:t xml:space="preserve">dominującymi objawami stają się </w:t>
      </w:r>
      <w:r w:rsidR="00AC01BD" w:rsidRPr="00C17A80">
        <w:rPr>
          <w:lang w:eastAsia="pl-PL"/>
        </w:rPr>
        <w:t>zachowania agresywne i autoagresywne.</w:t>
      </w:r>
    </w:p>
    <w:p w14:paraId="2E55F68D" w14:textId="730F7AA6" w:rsidR="00AC01BD" w:rsidRDefault="001A5D55">
      <w:pPr>
        <w:jc w:val="both"/>
        <w:rPr>
          <w:lang w:eastAsia="pl-PL"/>
        </w:rPr>
      </w:pPr>
      <w:r w:rsidRPr="00C17A80">
        <w:rPr>
          <w:lang w:eastAsia="pl-PL"/>
        </w:rPr>
        <w:t>Szczególnie poważnym problemem są próby samobójcze</w:t>
      </w:r>
      <w:r w:rsidR="007F0595">
        <w:rPr>
          <w:lang w:eastAsia="pl-PL"/>
        </w:rPr>
        <w:t xml:space="preserve"> i</w:t>
      </w:r>
      <w:r w:rsidRPr="00C17A80">
        <w:rPr>
          <w:lang w:eastAsia="pl-PL"/>
        </w:rPr>
        <w:t xml:space="preserve"> </w:t>
      </w:r>
      <w:r w:rsidR="007F0595">
        <w:rPr>
          <w:lang w:eastAsia="pl-PL"/>
        </w:rPr>
        <w:t>s</w:t>
      </w:r>
      <w:r w:rsidR="00AC01BD" w:rsidRPr="00AC01BD">
        <w:rPr>
          <w:lang w:eastAsia="pl-PL"/>
        </w:rPr>
        <w:t>amobójstwa</w:t>
      </w:r>
      <w:r w:rsidR="007F0595">
        <w:rPr>
          <w:lang w:eastAsia="pl-PL"/>
        </w:rPr>
        <w:t>. Samobójstwa</w:t>
      </w:r>
      <w:r w:rsidR="00AC01BD" w:rsidRPr="00AC01BD">
        <w:rPr>
          <w:lang w:eastAsia="pl-PL"/>
        </w:rPr>
        <w:t xml:space="preserve"> stanowią drugą po wypadkach komunikacyjnych przyczynę zgonów wśró</w:t>
      </w:r>
      <w:r w:rsidR="00AC01BD">
        <w:rPr>
          <w:lang w:eastAsia="pl-PL"/>
        </w:rPr>
        <w:t>d dzieci i młodzieży w Polsce</w:t>
      </w:r>
      <w:r w:rsidR="00AC01BD">
        <w:rPr>
          <w:rStyle w:val="Odwoanieprzypisudolnego"/>
          <w:lang w:eastAsia="pl-PL"/>
        </w:rPr>
        <w:footnoteReference w:id="11"/>
      </w:r>
      <w:r w:rsidR="00AC01BD">
        <w:rPr>
          <w:lang w:eastAsia="pl-PL"/>
        </w:rPr>
        <w:t xml:space="preserve">. </w:t>
      </w:r>
      <w:r w:rsidR="00AC01BD" w:rsidRPr="00AC01BD">
        <w:rPr>
          <w:lang w:eastAsia="pl-PL"/>
        </w:rPr>
        <w:t>Śmier</w:t>
      </w:r>
      <w:r w:rsidR="00AC01BD">
        <w:rPr>
          <w:lang w:eastAsia="pl-PL"/>
        </w:rPr>
        <w:t xml:space="preserve">ć </w:t>
      </w:r>
      <w:r w:rsidR="00F662B2">
        <w:rPr>
          <w:lang w:eastAsia="pl-PL"/>
        </w:rPr>
        <w:br/>
      </w:r>
      <w:r w:rsidR="00AC01BD">
        <w:rPr>
          <w:lang w:eastAsia="pl-PL"/>
        </w:rPr>
        <w:t xml:space="preserve">w wyniku samobójstwa stanowi przyczynę </w:t>
      </w:r>
      <w:r w:rsidR="00AC01BD" w:rsidRPr="00AC01BD">
        <w:rPr>
          <w:lang w:eastAsia="pl-PL"/>
        </w:rPr>
        <w:t>23% wszystkich zgonów w grupie wiekowej 1-19 lat</w:t>
      </w:r>
      <w:r w:rsidR="00AC01BD" w:rsidRPr="00AC01BD">
        <w:rPr>
          <w:lang w:eastAsia="pl-PL"/>
        </w:rPr>
        <w:br/>
        <w:t>(przyczyna śmierci 26% chłopców i 16% dziewcząt).</w:t>
      </w:r>
      <w:r w:rsidR="00D60689">
        <w:rPr>
          <w:lang w:eastAsia="pl-PL"/>
        </w:rPr>
        <w:t xml:space="preserve"> </w:t>
      </w:r>
      <w:r w:rsidR="00AC01BD">
        <w:rPr>
          <w:lang w:eastAsia="pl-PL"/>
        </w:rPr>
        <w:t>Poniżej na wykresie przedstawiana została liczba zamachów samobójczyc</w:t>
      </w:r>
      <w:r w:rsidR="00D60689">
        <w:rPr>
          <w:lang w:eastAsia="pl-PL"/>
        </w:rPr>
        <w:t>h zakończonych zgonem oraz prób samobójczych</w:t>
      </w:r>
      <w:r w:rsidR="00AC01BD">
        <w:rPr>
          <w:lang w:eastAsia="pl-PL"/>
        </w:rPr>
        <w:t>. Wyraźny jest wzrost liczby prób samobójczych w omawianej grupie wiekowej. Należy jednocześnie zaznaczyć, iż dane uwzględniają jedynie te próby, o których została poinformowana Policja.</w:t>
      </w:r>
    </w:p>
    <w:p w14:paraId="32E03805" w14:textId="77777777" w:rsidR="00AC01BD" w:rsidRDefault="00AC01BD" w:rsidP="008A0F0C">
      <w:pPr>
        <w:keepNext/>
        <w:jc w:val="both"/>
      </w:pPr>
      <w:r w:rsidRPr="00AC01BD">
        <w:rPr>
          <w:noProof/>
          <w:lang w:eastAsia="pl-PL"/>
        </w:rPr>
        <w:drawing>
          <wp:inline distT="0" distB="0" distL="0" distR="0" wp14:anchorId="52525F0C" wp14:editId="3D151F02">
            <wp:extent cx="5760720" cy="2759075"/>
            <wp:effectExtent l="0" t="0" r="11430" b="317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D1E584" w14:textId="05668332" w:rsidR="00515032" w:rsidRPr="00674421" w:rsidRDefault="00AC01BD" w:rsidP="008A0F0C">
      <w:pPr>
        <w:pStyle w:val="Legenda"/>
        <w:jc w:val="both"/>
        <w:rPr>
          <w:lang w:val="pl-PL" w:eastAsia="pl-PL"/>
        </w:rPr>
      </w:pPr>
      <w:r w:rsidRPr="00674421">
        <w:rPr>
          <w:lang w:val="pl-PL"/>
        </w:rPr>
        <w:t xml:space="preserve">Wykres </w:t>
      </w:r>
      <w:r>
        <w:fldChar w:fldCharType="begin"/>
      </w:r>
      <w:r w:rsidRPr="00674421">
        <w:rPr>
          <w:lang w:val="pl-PL"/>
        </w:rPr>
        <w:instrText xml:space="preserve"> SEQ Wykres \* ARABIC </w:instrText>
      </w:r>
      <w:r>
        <w:fldChar w:fldCharType="separate"/>
      </w:r>
      <w:r w:rsidR="008F1FCE" w:rsidRPr="00674421">
        <w:rPr>
          <w:noProof/>
          <w:lang w:val="pl-PL"/>
        </w:rPr>
        <w:t>1</w:t>
      </w:r>
      <w:r>
        <w:fldChar w:fldCharType="end"/>
      </w:r>
      <w:r w:rsidRPr="00674421">
        <w:rPr>
          <w:lang w:val="pl-PL"/>
        </w:rPr>
        <w:t>. Zamachy</w:t>
      </w:r>
      <w:r w:rsidR="0017110B" w:rsidRPr="00674421">
        <w:rPr>
          <w:lang w:val="pl-PL"/>
        </w:rPr>
        <w:t xml:space="preserve"> samobójcze </w:t>
      </w:r>
      <w:r w:rsidR="00D60689" w:rsidRPr="00674421">
        <w:rPr>
          <w:lang w:val="pl-PL"/>
        </w:rPr>
        <w:t xml:space="preserve">zakończone zgonem </w:t>
      </w:r>
      <w:r w:rsidR="00FB298C" w:rsidRPr="00674421">
        <w:rPr>
          <w:lang w:val="pl-PL"/>
        </w:rPr>
        <w:t>i</w:t>
      </w:r>
      <w:r w:rsidR="00D60689" w:rsidRPr="00674421">
        <w:rPr>
          <w:lang w:val="pl-PL"/>
        </w:rPr>
        <w:t xml:space="preserve"> nie zakończone zgonem (tzw. Próby samobójcze) </w:t>
      </w:r>
      <w:r w:rsidR="0017110B" w:rsidRPr="00674421">
        <w:rPr>
          <w:lang w:val="pl-PL"/>
        </w:rPr>
        <w:t xml:space="preserve">w grupie wiekowej poniżej </w:t>
      </w:r>
      <w:r w:rsidRPr="00674421">
        <w:rPr>
          <w:lang w:val="pl-PL"/>
        </w:rPr>
        <w:t>18 r.</w:t>
      </w:r>
      <w:r w:rsidR="0097514A" w:rsidRPr="00674421">
        <w:rPr>
          <w:lang w:val="pl-PL"/>
        </w:rPr>
        <w:t xml:space="preserve"> </w:t>
      </w:r>
      <w:r w:rsidRPr="00674421">
        <w:rPr>
          <w:lang w:val="pl-PL"/>
        </w:rPr>
        <w:t>ż. Zestawienie własne na podstawie danych Komendy Głównej Policji.</w:t>
      </w:r>
    </w:p>
    <w:p w14:paraId="355EE0A8" w14:textId="77777777" w:rsidR="001A5D55" w:rsidRDefault="00BA36AC">
      <w:pPr>
        <w:jc w:val="both"/>
        <w:rPr>
          <w:lang w:eastAsia="pl-PL"/>
        </w:rPr>
      </w:pPr>
      <w:r>
        <w:rPr>
          <w:lang w:eastAsia="pl-PL"/>
        </w:rPr>
        <w:t xml:space="preserve">Wzrost częstości występowania problemów psychicznych pociąga za sobą </w:t>
      </w:r>
      <w:r w:rsidR="001A5D55" w:rsidRPr="00C17A80">
        <w:rPr>
          <w:lang w:eastAsia="pl-PL"/>
        </w:rPr>
        <w:t xml:space="preserve">narastającą potrzebę organizowania i rozwoju profesjonalnej pomocy na różnych poziomach opieki (nie tylko ambulatoryjna lub szpitalna opieka psychiatryczna, ale także na poziomie systemu rodzinnego, systemu edukacji, poradni psychologiczno-pedagogicznych, ośrodków socjoterapeutycznych i wychowawczych, ośrodków pomocy społecznej, świetlic środowiskowych, ośrodków interwencji kryzysowej, rodzinnych ośrodków diagnostyczno-konsultacyjnych, centrów integracji społecznej, ośrodków wsparcia dla ofiar przemocy w rodzinie, </w:t>
      </w:r>
      <w:r w:rsidR="001A5D55">
        <w:rPr>
          <w:lang w:eastAsia="pl-PL"/>
        </w:rPr>
        <w:t>itp.</w:t>
      </w:r>
      <w:r w:rsidR="001A5D55" w:rsidRPr="00C17A80">
        <w:rPr>
          <w:lang w:eastAsia="pl-PL"/>
        </w:rPr>
        <w:t>).</w:t>
      </w:r>
    </w:p>
    <w:p w14:paraId="13DD4F7F" w14:textId="77777777" w:rsidR="007C7342" w:rsidRPr="008F5FA0" w:rsidRDefault="00D6234A" w:rsidP="00857715">
      <w:pPr>
        <w:keepNext/>
        <w:jc w:val="both"/>
        <w:rPr>
          <w:i/>
          <w:color w:val="C00000"/>
          <w:sz w:val="20"/>
        </w:rPr>
      </w:pPr>
      <w:r>
        <w:rPr>
          <w:lang w:eastAsia="pl-PL"/>
        </w:rPr>
        <w:t>Analizy porównujące liczbę świadczeniodawców udzielających określonych typó</w:t>
      </w:r>
      <w:r w:rsidR="00DB6CA2">
        <w:rPr>
          <w:lang w:eastAsia="pl-PL"/>
        </w:rPr>
        <w:t>w wsparcia dzieciom i </w:t>
      </w:r>
      <w:r>
        <w:rPr>
          <w:lang w:eastAsia="pl-PL"/>
        </w:rPr>
        <w:t xml:space="preserve">młodzieży doświadczającej zaburzeń psychicznych w okresie ostatnich kilku lat wskazują, iż liczba podmiotów realizujących świadczenia nie ulega znaczącym zmianom. W ocenie specjalistów taka liczba </w:t>
      </w:r>
      <w:r w:rsidR="00C4020E">
        <w:rPr>
          <w:lang w:eastAsia="pl-PL"/>
        </w:rPr>
        <w:t>świadczeniodawców</w:t>
      </w:r>
      <w:r>
        <w:rPr>
          <w:lang w:eastAsia="pl-PL"/>
        </w:rPr>
        <w:t xml:space="preserve"> nie zaspokaja potrzeb populacyjnych</w:t>
      </w:r>
      <w:r w:rsidR="00DB6CA2">
        <w:rPr>
          <w:lang w:eastAsia="pl-PL"/>
        </w:rPr>
        <w:t xml:space="preserve">. W tabeli poniżej przedstawiona została </w:t>
      </w:r>
      <w:r w:rsidR="00DB6CA2">
        <w:rPr>
          <w:lang w:eastAsia="pl-PL"/>
        </w:rPr>
        <w:lastRenderedPageBreak/>
        <w:t>liczba podmiotów posiadających umowę na udzielanie świadczeń z Narodowym Funduszem Zdrowia w określonych zakresach:</w:t>
      </w:r>
    </w:p>
    <w:tbl>
      <w:tblPr>
        <w:tblW w:w="920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992"/>
        <w:gridCol w:w="993"/>
        <w:gridCol w:w="850"/>
      </w:tblGrid>
      <w:tr w:rsidR="007C7342" w:rsidRPr="008F5FA0" w14:paraId="6AA9B6B1" w14:textId="77777777" w:rsidTr="00A10277">
        <w:trPr>
          <w:trHeight w:val="429"/>
          <w:jc w:val="center"/>
        </w:trPr>
        <w:tc>
          <w:tcPr>
            <w:tcW w:w="6374" w:type="dxa"/>
            <w:vMerge w:val="restart"/>
            <w:shd w:val="clear" w:color="auto" w:fill="9CC2E5" w:themeFill="accent1" w:themeFillTint="99"/>
            <w:vAlign w:val="center"/>
          </w:tcPr>
          <w:p w14:paraId="2C3F7309" w14:textId="77777777" w:rsidR="007C7342" w:rsidRPr="008F5FA0" w:rsidRDefault="007C7342" w:rsidP="00A10277">
            <w:pPr>
              <w:spacing w:before="60" w:after="60"/>
              <w:jc w:val="center"/>
              <w:rPr>
                <w:b/>
                <w:sz w:val="20"/>
                <w:lang w:eastAsia="pl-PL"/>
              </w:rPr>
            </w:pPr>
            <w:r w:rsidRPr="008F5FA0">
              <w:rPr>
                <w:b/>
                <w:sz w:val="20"/>
                <w:lang w:eastAsia="pl-PL"/>
              </w:rPr>
              <w:t>Nazwa zakresu</w:t>
            </w:r>
          </w:p>
        </w:tc>
        <w:tc>
          <w:tcPr>
            <w:tcW w:w="2835" w:type="dxa"/>
            <w:gridSpan w:val="3"/>
            <w:shd w:val="clear" w:color="auto" w:fill="9CC2E5" w:themeFill="accent1" w:themeFillTint="99"/>
            <w:vAlign w:val="center"/>
          </w:tcPr>
          <w:p w14:paraId="192CE714" w14:textId="77777777" w:rsidR="007C7342" w:rsidRDefault="007C7342" w:rsidP="00A10277">
            <w:pPr>
              <w:spacing w:before="60" w:after="60"/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Liczba świadczeniodawców</w:t>
            </w:r>
          </w:p>
        </w:tc>
      </w:tr>
      <w:tr w:rsidR="007C7342" w:rsidRPr="008F5FA0" w14:paraId="4E638DBF" w14:textId="77777777" w:rsidTr="00A10277">
        <w:trPr>
          <w:trHeight w:val="131"/>
          <w:jc w:val="center"/>
        </w:trPr>
        <w:tc>
          <w:tcPr>
            <w:tcW w:w="6374" w:type="dxa"/>
            <w:vMerge/>
            <w:shd w:val="clear" w:color="auto" w:fill="9CC2E5" w:themeFill="accent1" w:themeFillTint="99"/>
            <w:vAlign w:val="center"/>
          </w:tcPr>
          <w:p w14:paraId="0BD288A2" w14:textId="77777777" w:rsidR="007C7342" w:rsidRPr="008F5FA0" w:rsidRDefault="007C7342" w:rsidP="00A10277">
            <w:pPr>
              <w:spacing w:before="60" w:after="60"/>
              <w:jc w:val="center"/>
              <w:rPr>
                <w:b/>
                <w:sz w:val="20"/>
                <w:lang w:eastAsia="pl-PL"/>
              </w:rPr>
            </w:pP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14:paraId="26D06AA5" w14:textId="77777777" w:rsidR="007C7342" w:rsidRPr="008F5FA0" w:rsidRDefault="007C7342" w:rsidP="00A10277">
            <w:pPr>
              <w:spacing w:before="60" w:after="60"/>
              <w:jc w:val="center"/>
              <w:rPr>
                <w:b/>
                <w:sz w:val="20"/>
                <w:lang w:eastAsia="pl-PL"/>
              </w:rPr>
            </w:pPr>
            <w:r w:rsidRPr="008F5FA0">
              <w:rPr>
                <w:b/>
                <w:sz w:val="20"/>
                <w:lang w:eastAsia="pl-PL"/>
              </w:rPr>
              <w:t>2013</w:t>
            </w:r>
            <w:r>
              <w:rPr>
                <w:b/>
                <w:sz w:val="20"/>
                <w:lang w:eastAsia="pl-PL"/>
              </w:rPr>
              <w:t xml:space="preserve"> r.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14:paraId="249813D6" w14:textId="77777777" w:rsidR="007C7342" w:rsidRPr="008F5FA0" w:rsidRDefault="007C7342" w:rsidP="00A10277">
            <w:pPr>
              <w:spacing w:before="60" w:after="60"/>
              <w:jc w:val="center"/>
              <w:rPr>
                <w:b/>
                <w:sz w:val="20"/>
                <w:lang w:eastAsia="pl-PL"/>
              </w:rPr>
            </w:pPr>
            <w:r w:rsidRPr="008F5FA0">
              <w:rPr>
                <w:b/>
                <w:sz w:val="20"/>
                <w:lang w:eastAsia="pl-PL"/>
              </w:rPr>
              <w:t>2017</w:t>
            </w:r>
            <w:r>
              <w:rPr>
                <w:b/>
                <w:sz w:val="20"/>
                <w:lang w:eastAsia="pl-PL"/>
              </w:rPr>
              <w:t xml:space="preserve"> r.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793DAEB0" w14:textId="77777777" w:rsidR="007C7342" w:rsidRPr="008F5FA0" w:rsidRDefault="007C7342" w:rsidP="00A10277">
            <w:pPr>
              <w:spacing w:before="60" w:after="60"/>
              <w:jc w:val="center"/>
              <w:rPr>
                <w:b/>
                <w:sz w:val="20"/>
                <w:lang w:eastAsia="pl-PL"/>
              </w:rPr>
            </w:pPr>
            <w:r w:rsidRPr="008F5FA0">
              <w:rPr>
                <w:b/>
                <w:sz w:val="20"/>
                <w:lang w:eastAsia="pl-PL"/>
              </w:rPr>
              <w:t>2018</w:t>
            </w:r>
            <w:r>
              <w:rPr>
                <w:b/>
                <w:sz w:val="20"/>
                <w:lang w:eastAsia="pl-PL"/>
              </w:rPr>
              <w:t xml:space="preserve"> r.</w:t>
            </w:r>
          </w:p>
        </w:tc>
      </w:tr>
      <w:tr w:rsidR="007C7342" w:rsidRPr="008F5FA0" w14:paraId="1C2BF62F" w14:textId="77777777" w:rsidTr="00A10277">
        <w:trPr>
          <w:trHeight w:val="131"/>
          <w:jc w:val="center"/>
        </w:trPr>
        <w:tc>
          <w:tcPr>
            <w:tcW w:w="6374" w:type="dxa"/>
            <w:shd w:val="clear" w:color="auto" w:fill="DEEAF6" w:themeFill="accent1" w:themeFillTint="33"/>
            <w:vAlign w:val="center"/>
          </w:tcPr>
          <w:p w14:paraId="5C41C34F" w14:textId="77777777" w:rsidR="007C7342" w:rsidRPr="008F5FA0" w:rsidRDefault="007C7342" w:rsidP="00A10277">
            <w:pPr>
              <w:spacing w:before="60" w:after="60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Świadczenia psychiatryczne dla dzieci i młodzieży</w:t>
            </w:r>
            <w:r w:rsidR="00DB6CA2">
              <w:rPr>
                <w:sz w:val="20"/>
                <w:lang w:eastAsia="pl-PL"/>
              </w:rPr>
              <w:t xml:space="preserve"> (oddziały całodobowe)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1EE8F41" w14:textId="77777777" w:rsidR="007C7342" w:rsidRPr="008F5FA0" w:rsidRDefault="007C7342" w:rsidP="00A10277">
            <w:pPr>
              <w:spacing w:before="60" w:after="60"/>
              <w:jc w:val="right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30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17FA9D7D" w14:textId="77777777" w:rsidR="007C7342" w:rsidRPr="008F5FA0" w:rsidRDefault="007C7342" w:rsidP="00A10277">
            <w:pPr>
              <w:spacing w:before="60" w:after="60"/>
              <w:jc w:val="right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31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47874F8" w14:textId="77777777" w:rsidR="007C7342" w:rsidRPr="008F5FA0" w:rsidRDefault="007C7342" w:rsidP="00A10277">
            <w:pPr>
              <w:spacing w:before="60" w:after="60"/>
              <w:jc w:val="right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34</w:t>
            </w:r>
          </w:p>
        </w:tc>
      </w:tr>
      <w:tr w:rsidR="007C7342" w:rsidRPr="008F5FA0" w14:paraId="69C4E776" w14:textId="77777777" w:rsidTr="00A10277">
        <w:trPr>
          <w:trHeight w:val="326"/>
          <w:jc w:val="center"/>
        </w:trPr>
        <w:tc>
          <w:tcPr>
            <w:tcW w:w="6374" w:type="dxa"/>
            <w:shd w:val="clear" w:color="auto" w:fill="DEEAF6" w:themeFill="accent1" w:themeFillTint="33"/>
            <w:vAlign w:val="center"/>
          </w:tcPr>
          <w:p w14:paraId="5D90235E" w14:textId="77777777" w:rsidR="007C7342" w:rsidRPr="008F5FA0" w:rsidRDefault="007C7342" w:rsidP="00A10277">
            <w:pPr>
              <w:spacing w:before="60" w:after="60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Świadczenia dzienne psy</w:t>
            </w:r>
            <w:r>
              <w:rPr>
                <w:sz w:val="20"/>
                <w:lang w:eastAsia="pl-PL"/>
              </w:rPr>
              <w:t xml:space="preserve">chiatryczne rehabilitacyjne dla </w:t>
            </w:r>
            <w:r w:rsidRPr="008F5FA0">
              <w:rPr>
                <w:sz w:val="20"/>
                <w:lang w:eastAsia="pl-PL"/>
              </w:rPr>
              <w:t>dzieci i młodzieży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7DA9B31F" w14:textId="77777777" w:rsidR="007C7342" w:rsidRPr="008F5FA0" w:rsidRDefault="007C7342" w:rsidP="00A10277">
            <w:pPr>
              <w:spacing w:before="60" w:after="60"/>
              <w:jc w:val="right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35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249B4A1" w14:textId="77777777" w:rsidR="007C7342" w:rsidRPr="008F5FA0" w:rsidRDefault="007C7342" w:rsidP="00A10277">
            <w:pPr>
              <w:spacing w:before="60" w:after="60"/>
              <w:jc w:val="right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35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10A374CF" w14:textId="77777777" w:rsidR="007C7342" w:rsidRPr="008F5FA0" w:rsidRDefault="007C7342" w:rsidP="00A10277">
            <w:pPr>
              <w:spacing w:before="60" w:after="60"/>
              <w:jc w:val="right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38</w:t>
            </w:r>
          </w:p>
        </w:tc>
      </w:tr>
      <w:tr w:rsidR="007C7342" w:rsidRPr="00943B67" w14:paraId="7EC6EFB0" w14:textId="77777777" w:rsidTr="008A0F0C">
        <w:trPr>
          <w:trHeight w:val="131"/>
          <w:jc w:val="center"/>
        </w:trPr>
        <w:tc>
          <w:tcPr>
            <w:tcW w:w="6374" w:type="dxa"/>
            <w:shd w:val="clear" w:color="auto" w:fill="DEEAF6" w:themeFill="accent1" w:themeFillTint="33"/>
            <w:vAlign w:val="center"/>
          </w:tcPr>
          <w:p w14:paraId="41F097E6" w14:textId="77777777" w:rsidR="007C7342" w:rsidRPr="008F5FA0" w:rsidRDefault="007C7342" w:rsidP="00A10277">
            <w:pPr>
              <w:spacing w:before="60" w:after="60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Świadczenia psychiatry</w:t>
            </w:r>
            <w:r>
              <w:rPr>
                <w:sz w:val="20"/>
                <w:lang w:eastAsia="pl-PL"/>
              </w:rPr>
              <w:t xml:space="preserve">czne ambulatoryjne dla dzieci i </w:t>
            </w:r>
            <w:r w:rsidRPr="008F5FA0">
              <w:rPr>
                <w:sz w:val="20"/>
                <w:lang w:eastAsia="pl-PL"/>
              </w:rPr>
              <w:t>młodzieży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60019F6" w14:textId="77777777" w:rsidR="007C7342" w:rsidRPr="008F5FA0" w:rsidRDefault="007C7342" w:rsidP="00A36DA1">
            <w:pPr>
              <w:spacing w:before="60" w:after="60"/>
              <w:jc w:val="right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155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0CF0D02E" w14:textId="77777777" w:rsidR="007C7342" w:rsidRPr="008F5FA0" w:rsidRDefault="007C7342">
            <w:pPr>
              <w:spacing w:before="60" w:after="60"/>
              <w:jc w:val="right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157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D6F3813" w14:textId="77777777" w:rsidR="007C7342" w:rsidRPr="008F5FA0" w:rsidRDefault="007C7342">
            <w:pPr>
              <w:spacing w:before="60" w:after="60"/>
              <w:jc w:val="right"/>
              <w:rPr>
                <w:sz w:val="20"/>
                <w:lang w:eastAsia="pl-PL"/>
              </w:rPr>
            </w:pPr>
            <w:r w:rsidRPr="008F5FA0">
              <w:rPr>
                <w:sz w:val="20"/>
                <w:lang w:eastAsia="pl-PL"/>
              </w:rPr>
              <w:t>167</w:t>
            </w:r>
          </w:p>
        </w:tc>
      </w:tr>
    </w:tbl>
    <w:p w14:paraId="30E63B62" w14:textId="4FE5C59B" w:rsidR="00DB6CA2" w:rsidRPr="00674421" w:rsidRDefault="00DB6CA2" w:rsidP="00857715">
      <w:pPr>
        <w:pStyle w:val="Legenda"/>
        <w:jc w:val="both"/>
        <w:rPr>
          <w:noProof/>
          <w:lang w:val="pl-PL"/>
        </w:rPr>
      </w:pPr>
      <w:r w:rsidRPr="00674421">
        <w:rPr>
          <w:lang w:val="pl-PL"/>
        </w:rPr>
        <w:t xml:space="preserve">Tabela </w:t>
      </w:r>
      <w:r w:rsidR="003507AA">
        <w:rPr>
          <w:lang w:val="pl-PL"/>
        </w:rPr>
        <w:fldChar w:fldCharType="begin"/>
      </w:r>
      <w:r w:rsidR="003507AA">
        <w:rPr>
          <w:lang w:val="pl-PL"/>
        </w:rPr>
        <w:instrText xml:space="preserve"> SEQ Tabela \* ARABIC </w:instrText>
      </w:r>
      <w:r w:rsidR="003507AA">
        <w:rPr>
          <w:lang w:val="pl-PL"/>
        </w:rPr>
        <w:fldChar w:fldCharType="separate"/>
      </w:r>
      <w:r w:rsidR="00D73483">
        <w:rPr>
          <w:noProof/>
          <w:lang w:val="pl-PL"/>
        </w:rPr>
        <w:t>1</w:t>
      </w:r>
      <w:r w:rsidR="003507AA">
        <w:rPr>
          <w:lang w:val="pl-PL"/>
        </w:rPr>
        <w:fldChar w:fldCharType="end"/>
      </w:r>
      <w:r w:rsidRPr="00674421">
        <w:rPr>
          <w:lang w:val="pl-PL"/>
        </w:rPr>
        <w:t>. Liczba świadczeniodawców posiadających umowy na świadczenia w rodzaju opieki psychiatrycznej dzieci i młodzieży w latach 2013, 2017 i 2018</w:t>
      </w:r>
      <w:r w:rsidRPr="00674421">
        <w:rPr>
          <w:noProof/>
          <w:lang w:val="pl-PL"/>
        </w:rPr>
        <w:t xml:space="preserve"> (Zestawienie </w:t>
      </w:r>
      <w:r w:rsidR="00204776" w:rsidRPr="00674421">
        <w:rPr>
          <w:noProof/>
          <w:lang w:val="pl-PL"/>
        </w:rPr>
        <w:t>Ministerstwo Zdrowia</w:t>
      </w:r>
      <w:r w:rsidRPr="00674421">
        <w:rPr>
          <w:noProof/>
          <w:lang w:val="pl-PL"/>
        </w:rPr>
        <w:t xml:space="preserve"> na podstawie danych NFZ).</w:t>
      </w:r>
    </w:p>
    <w:p w14:paraId="0B80EF9A" w14:textId="48C3DA2C" w:rsidR="00943B67" w:rsidRDefault="00943B67" w:rsidP="008A0F0C">
      <w:pPr>
        <w:jc w:val="both"/>
        <w:rPr>
          <w:lang w:eastAsia="pl-PL"/>
        </w:rPr>
      </w:pPr>
      <w:r w:rsidRPr="008A0F0C">
        <w:rPr>
          <w:lang w:eastAsia="pl-PL"/>
        </w:rPr>
        <w:t>Poważnym problemem system</w:t>
      </w:r>
      <w:r w:rsidR="0097514A">
        <w:rPr>
          <w:lang w:eastAsia="pl-PL"/>
        </w:rPr>
        <w:t xml:space="preserve">u </w:t>
      </w:r>
      <w:r w:rsidRPr="008A0F0C">
        <w:rPr>
          <w:lang w:eastAsia="pl-PL"/>
        </w:rPr>
        <w:t xml:space="preserve">opieki psychiatrycznej dla dzieci </w:t>
      </w:r>
      <w:r w:rsidR="00511EC5" w:rsidRPr="008A0F0C">
        <w:rPr>
          <w:lang w:eastAsia="pl-PL"/>
        </w:rPr>
        <w:t>i</w:t>
      </w:r>
      <w:r w:rsidRPr="008A0F0C">
        <w:rPr>
          <w:lang w:eastAsia="pl-PL"/>
        </w:rPr>
        <w:t xml:space="preserve"> młodzieży w Polsce jest regionalne zróżnicowanie dostępu do poszczególnych typów świadczeń.  </w:t>
      </w:r>
      <w:r w:rsidR="00511EC5">
        <w:rPr>
          <w:lang w:eastAsia="pl-PL"/>
        </w:rPr>
        <w:t xml:space="preserve">Szczególnie trudna sytuacja jest obecnie w województwie podlaskim, w którym brakuje oddziału całodobowego dla </w:t>
      </w:r>
      <w:r w:rsidR="00FE6F32">
        <w:rPr>
          <w:lang w:eastAsia="pl-PL"/>
        </w:rPr>
        <w:t>dzieci i młodzież</w:t>
      </w:r>
      <w:r w:rsidR="00EC5DB8">
        <w:rPr>
          <w:lang w:eastAsia="pl-PL"/>
        </w:rPr>
        <w:t>y</w:t>
      </w:r>
      <w:r w:rsidR="00FE6F32">
        <w:rPr>
          <w:lang w:eastAsia="pl-PL"/>
        </w:rPr>
        <w:t xml:space="preserve">. </w:t>
      </w:r>
    </w:p>
    <w:p w14:paraId="6C74A7FB" w14:textId="3CDAB76E" w:rsidR="002458EF" w:rsidRDefault="002458EF" w:rsidP="008A0F0C">
      <w:pPr>
        <w:jc w:val="both"/>
        <w:rPr>
          <w:lang w:eastAsia="pl-PL"/>
        </w:rPr>
      </w:pPr>
      <w:r>
        <w:rPr>
          <w:lang w:eastAsia="pl-PL"/>
        </w:rPr>
        <w:t xml:space="preserve">Trudna sytuacja w systemie ochrony zdrowia psychicznego dzieci i młodzieży w sposób szczególny związana jest z niewystarczającą liczbą specjalistów lekarzy – psychiatrów dziecięcych. </w:t>
      </w:r>
      <w:r w:rsidR="00A36DA1">
        <w:rPr>
          <w:lang w:eastAsia="pl-PL"/>
        </w:rPr>
        <w:t>Zawód psychiatry dziecięcego wykonuje 4</w:t>
      </w:r>
      <w:r w:rsidR="00FB298C">
        <w:rPr>
          <w:lang w:eastAsia="pl-PL"/>
        </w:rPr>
        <w:t>41</w:t>
      </w:r>
      <w:r w:rsidR="00A36DA1">
        <w:rPr>
          <w:lang w:eastAsia="pl-PL"/>
        </w:rPr>
        <w:t xml:space="preserve"> osób w Polsce (dane Naczelna Izba Lekarska, stan na dzień </w:t>
      </w:r>
      <w:r w:rsidR="0097514A">
        <w:rPr>
          <w:lang w:eastAsia="pl-PL"/>
        </w:rPr>
        <w:br/>
      </w:r>
      <w:r w:rsidR="00FB298C">
        <w:rPr>
          <w:lang w:eastAsia="pl-PL"/>
        </w:rPr>
        <w:t>13 listopada</w:t>
      </w:r>
      <w:r w:rsidR="00A36DA1">
        <w:rPr>
          <w:lang w:eastAsia="pl-PL"/>
        </w:rPr>
        <w:t xml:space="preserve"> 2019</w:t>
      </w:r>
      <w:r w:rsidR="0097514A">
        <w:rPr>
          <w:lang w:eastAsia="pl-PL"/>
        </w:rPr>
        <w:t xml:space="preserve"> </w:t>
      </w:r>
      <w:r w:rsidR="00A36DA1">
        <w:rPr>
          <w:lang w:eastAsia="pl-PL"/>
        </w:rPr>
        <w:t xml:space="preserve">r.). </w:t>
      </w:r>
      <w:r>
        <w:rPr>
          <w:lang w:eastAsia="pl-PL"/>
        </w:rPr>
        <w:t xml:space="preserve">Poniżej </w:t>
      </w:r>
      <w:r w:rsidR="00A52BA4">
        <w:rPr>
          <w:lang w:eastAsia="pl-PL"/>
        </w:rPr>
        <w:t xml:space="preserve">przedstawiony </w:t>
      </w:r>
      <w:r>
        <w:rPr>
          <w:lang w:eastAsia="pl-PL"/>
        </w:rPr>
        <w:t>został</w:t>
      </w:r>
      <w:r w:rsidR="00204776">
        <w:rPr>
          <w:lang w:eastAsia="pl-PL"/>
        </w:rPr>
        <w:t xml:space="preserve"> wskaźnik liczby lekarzy psychiatrów </w:t>
      </w:r>
      <w:r w:rsidR="00FB298C">
        <w:rPr>
          <w:lang w:eastAsia="pl-PL"/>
        </w:rPr>
        <w:br/>
      </w:r>
      <w:r w:rsidR="00204776">
        <w:rPr>
          <w:lang w:eastAsia="pl-PL"/>
        </w:rPr>
        <w:t xml:space="preserve">na </w:t>
      </w:r>
      <w:r w:rsidR="00204776" w:rsidRPr="00204776">
        <w:rPr>
          <w:lang w:eastAsia="pl-PL"/>
        </w:rPr>
        <w:t xml:space="preserve">10 000 </w:t>
      </w:r>
      <w:r w:rsidR="00204776">
        <w:rPr>
          <w:lang w:eastAsia="pl-PL"/>
        </w:rPr>
        <w:t>osób poniżej 18 r.</w:t>
      </w:r>
      <w:r w:rsidR="00FB298C">
        <w:rPr>
          <w:lang w:eastAsia="pl-PL"/>
        </w:rPr>
        <w:t xml:space="preserve"> </w:t>
      </w:r>
      <w:r w:rsidR="00204776">
        <w:rPr>
          <w:lang w:eastAsia="pl-PL"/>
        </w:rPr>
        <w:t xml:space="preserve">ż. </w:t>
      </w:r>
      <w:r w:rsidR="00B34A79">
        <w:rPr>
          <w:lang w:eastAsia="pl-PL"/>
        </w:rPr>
        <w:t xml:space="preserve">w poszczególnych województwach. </w:t>
      </w:r>
      <w:r w:rsidR="00204776">
        <w:rPr>
          <w:lang w:eastAsia="pl-PL"/>
        </w:rPr>
        <w:t xml:space="preserve">Należy zauważyć, iż zgodnie </w:t>
      </w:r>
      <w:r w:rsidR="00FB298C">
        <w:rPr>
          <w:lang w:eastAsia="pl-PL"/>
        </w:rPr>
        <w:br/>
      </w:r>
      <w:r w:rsidR="00204776">
        <w:rPr>
          <w:lang w:eastAsia="pl-PL"/>
        </w:rPr>
        <w:t>ze s</w:t>
      </w:r>
      <w:r w:rsidR="00204776" w:rsidRPr="00204776">
        <w:rPr>
          <w:lang w:eastAsia="pl-PL"/>
        </w:rPr>
        <w:t>tandard</w:t>
      </w:r>
      <w:r w:rsidR="00204776">
        <w:rPr>
          <w:lang w:eastAsia="pl-PL"/>
        </w:rPr>
        <w:t>em</w:t>
      </w:r>
      <w:r w:rsidR="00204776" w:rsidRPr="00204776">
        <w:rPr>
          <w:lang w:eastAsia="pl-PL"/>
        </w:rPr>
        <w:t xml:space="preserve"> WHO dla kra</w:t>
      </w:r>
      <w:r w:rsidR="00204776">
        <w:rPr>
          <w:lang w:eastAsia="pl-PL"/>
        </w:rPr>
        <w:t xml:space="preserve">ju o średnim poziomie dochodów </w:t>
      </w:r>
      <w:r w:rsidR="00204776" w:rsidRPr="00204776">
        <w:rPr>
          <w:lang w:eastAsia="pl-PL"/>
        </w:rPr>
        <w:t xml:space="preserve">1 psychiatra </w:t>
      </w:r>
      <w:r w:rsidR="00204776">
        <w:rPr>
          <w:lang w:eastAsia="pl-PL"/>
        </w:rPr>
        <w:t xml:space="preserve">powinien przypadać </w:t>
      </w:r>
      <w:r w:rsidR="00FB298C">
        <w:rPr>
          <w:lang w:eastAsia="pl-PL"/>
        </w:rPr>
        <w:br/>
      </w:r>
      <w:r w:rsidR="00204776" w:rsidRPr="00204776">
        <w:rPr>
          <w:lang w:eastAsia="pl-PL"/>
        </w:rPr>
        <w:t>na 10 000 dzieci</w:t>
      </w:r>
      <w:r w:rsidR="00AF10AD">
        <w:rPr>
          <w:rStyle w:val="Odwoanieprzypisudolnego"/>
          <w:lang w:eastAsia="pl-PL"/>
        </w:rPr>
        <w:footnoteReference w:id="12"/>
      </w:r>
      <w:r w:rsidR="00204776" w:rsidRPr="00204776">
        <w:rPr>
          <w:lang w:eastAsia="pl-PL"/>
        </w:rPr>
        <w:t>.</w:t>
      </w:r>
      <w:r w:rsidR="00B34A79">
        <w:rPr>
          <w:lang w:eastAsia="pl-PL"/>
        </w:rPr>
        <w:t xml:space="preserve"> W żadnym województwie Polski ten standard nie jest spełniony, a wskaźnik ogólnokrajowy jest o połowę niższy od standardu WHO.</w:t>
      </w:r>
    </w:p>
    <w:p w14:paraId="4D48BF1C" w14:textId="77777777" w:rsidR="00314C3E" w:rsidRDefault="00314C3E" w:rsidP="00314C3E">
      <w:pPr>
        <w:keepNext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F6FF4" wp14:editId="143503C6">
                <wp:simplePos x="0" y="0"/>
                <wp:positionH relativeFrom="column">
                  <wp:posOffset>386080</wp:posOffset>
                </wp:positionH>
                <wp:positionV relativeFrom="paragraph">
                  <wp:posOffset>357506</wp:posOffset>
                </wp:positionV>
                <wp:extent cx="4933950" cy="38100"/>
                <wp:effectExtent l="0" t="0" r="19050" b="19050"/>
                <wp:wrapNone/>
                <wp:docPr id="6" name="Łącznik prosty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4033AC-2F93-4574-AEC4-EF4EDF865F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381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21617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pt,28.15pt" to="418.9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" strokecolor="#ed7d31 [3205]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9A4A5EF" wp14:editId="1707662C">
            <wp:extent cx="5760720" cy="2706370"/>
            <wp:effectExtent l="0" t="0" r="11430" b="1778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042334-20A6-4CFA-B5CC-48D4BA1618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D85BB9" w14:textId="4F906C3B" w:rsidR="00314C3E" w:rsidRDefault="00314C3E" w:rsidP="00F662B2">
      <w:pPr>
        <w:pStyle w:val="Legenda"/>
        <w:jc w:val="both"/>
        <w:rPr>
          <w:lang w:eastAsia="pl-PL"/>
        </w:rPr>
      </w:pPr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r w:rsidRPr="00B34A79">
        <w:rPr>
          <w:lang w:val="pl-PL"/>
        </w:rPr>
        <w:t>Wskaźnik liczby lekarzy psy</w:t>
      </w:r>
      <w:r>
        <w:rPr>
          <w:lang w:val="pl-PL"/>
        </w:rPr>
        <w:t xml:space="preserve">chiatrii dzieci i młodzieży na  </w:t>
      </w:r>
      <w:r w:rsidRPr="00B34A79">
        <w:rPr>
          <w:lang w:val="pl-PL"/>
        </w:rPr>
        <w:t>10 000 dzieci i młodzieży (</w:t>
      </w:r>
      <w:r>
        <w:rPr>
          <w:lang w:val="pl-PL"/>
        </w:rPr>
        <w:t xml:space="preserve">stan na </w:t>
      </w:r>
      <w:r w:rsidRPr="00B34A79">
        <w:rPr>
          <w:lang w:val="pl-PL"/>
        </w:rPr>
        <w:t>31 grudnia 2018 r.)</w:t>
      </w:r>
      <w:r>
        <w:rPr>
          <w:lang w:val="pl-PL"/>
        </w:rPr>
        <w:t xml:space="preserve">. </w:t>
      </w:r>
      <w:r w:rsidRPr="00674421">
        <w:rPr>
          <w:lang w:val="pl-PL"/>
        </w:rPr>
        <w:t xml:space="preserve">Zestawienie własne na podstawie Wystąpienia pokontrolnego NIK Dostępność lecznictwa psychiatrycznego dla dzieci </w:t>
      </w:r>
      <w:r w:rsidRPr="00674421">
        <w:rPr>
          <w:lang w:val="pl-PL"/>
        </w:rPr>
        <w:br/>
        <w:t>i młodzieży 2019</w:t>
      </w:r>
      <w:r w:rsidR="00F662B2">
        <w:rPr>
          <w:lang w:val="pl-PL"/>
        </w:rPr>
        <w:t>.</w:t>
      </w:r>
    </w:p>
    <w:p w14:paraId="3E22F4BC" w14:textId="321C5D3A" w:rsidR="00D759E8" w:rsidRDefault="00D759E8" w:rsidP="008A0F0C">
      <w:pPr>
        <w:jc w:val="both"/>
        <w:rPr>
          <w:lang w:eastAsia="pl-PL"/>
        </w:rPr>
      </w:pPr>
    </w:p>
    <w:p w14:paraId="17558CDE" w14:textId="77777777" w:rsidR="008A0E80" w:rsidRPr="005509DA" w:rsidRDefault="00FA17E1" w:rsidP="00F72842">
      <w:pPr>
        <w:pStyle w:val="Nagwek4"/>
        <w:numPr>
          <w:ilvl w:val="0"/>
          <w:numId w:val="2"/>
        </w:numPr>
        <w:rPr>
          <w:iCs w:val="0"/>
          <w:color w:val="0070C0"/>
          <w:spacing w:val="-10"/>
          <w:kern w:val="28"/>
          <w:sz w:val="28"/>
          <w:szCs w:val="56"/>
        </w:rPr>
      </w:pPr>
      <w:bookmarkStart w:id="3" w:name="_Toc22650838"/>
      <w:bookmarkStart w:id="4" w:name="_Toc25070487"/>
      <w:r w:rsidRPr="005509DA">
        <w:rPr>
          <w:iCs w:val="0"/>
          <w:color w:val="0070C0"/>
          <w:spacing w:val="-10"/>
          <w:kern w:val="28"/>
          <w:sz w:val="28"/>
          <w:szCs w:val="56"/>
        </w:rPr>
        <w:lastRenderedPageBreak/>
        <w:t>Dostępne</w:t>
      </w:r>
      <w:r w:rsidR="009428DA" w:rsidRPr="005509DA">
        <w:rPr>
          <w:iCs w:val="0"/>
          <w:color w:val="0070C0"/>
          <w:spacing w:val="-10"/>
          <w:kern w:val="28"/>
          <w:sz w:val="28"/>
          <w:szCs w:val="56"/>
        </w:rPr>
        <w:t xml:space="preserve"> </w:t>
      </w:r>
      <w:r w:rsidR="00DD795E" w:rsidRPr="005509DA">
        <w:rPr>
          <w:iCs w:val="0"/>
          <w:color w:val="0070C0"/>
          <w:spacing w:val="-10"/>
          <w:kern w:val="28"/>
          <w:sz w:val="28"/>
          <w:szCs w:val="56"/>
        </w:rPr>
        <w:t>w</w:t>
      </w:r>
      <w:r w:rsidR="009428DA" w:rsidRPr="005509DA">
        <w:rPr>
          <w:iCs w:val="0"/>
          <w:color w:val="0070C0"/>
          <w:spacing w:val="-10"/>
          <w:kern w:val="28"/>
          <w:sz w:val="28"/>
          <w:szCs w:val="56"/>
        </w:rPr>
        <w:t>sparcie</w:t>
      </w:r>
      <w:bookmarkEnd w:id="3"/>
      <w:bookmarkEnd w:id="4"/>
    </w:p>
    <w:p w14:paraId="4809DDCA" w14:textId="77777777" w:rsidR="00E15A00" w:rsidRPr="005509DA" w:rsidRDefault="00A03FED" w:rsidP="00F72842">
      <w:pPr>
        <w:pStyle w:val="Nagwek4"/>
        <w:numPr>
          <w:ilvl w:val="1"/>
          <w:numId w:val="3"/>
        </w:numPr>
        <w:rPr>
          <w:iCs w:val="0"/>
          <w:color w:val="0070C0"/>
          <w:spacing w:val="-10"/>
          <w:kern w:val="28"/>
          <w:sz w:val="28"/>
          <w:szCs w:val="56"/>
        </w:rPr>
      </w:pPr>
      <w:r w:rsidRPr="005509DA">
        <w:rPr>
          <w:iCs w:val="0"/>
          <w:color w:val="0070C0"/>
          <w:spacing w:val="-10"/>
          <w:kern w:val="28"/>
          <w:sz w:val="28"/>
          <w:szCs w:val="56"/>
        </w:rPr>
        <w:t xml:space="preserve">Oddziały psychiatryczne całodobowe </w:t>
      </w:r>
      <w:r w:rsidR="001A5D55" w:rsidRPr="005509DA">
        <w:rPr>
          <w:iCs w:val="0"/>
          <w:color w:val="0070C0"/>
          <w:spacing w:val="-10"/>
          <w:kern w:val="28"/>
          <w:sz w:val="28"/>
          <w:szCs w:val="56"/>
        </w:rPr>
        <w:t>dla dorosłych</w:t>
      </w:r>
    </w:p>
    <w:p w14:paraId="3D8E709D" w14:textId="26573895" w:rsidR="002766C5" w:rsidRDefault="002766C5" w:rsidP="00843B15">
      <w:pPr>
        <w:pStyle w:val="Nagwek7"/>
        <w:rPr>
          <w:color w:val="0070C0"/>
        </w:rPr>
      </w:pPr>
      <w:r w:rsidRPr="005509DA">
        <w:rPr>
          <w:color w:val="0070C0"/>
        </w:rPr>
        <w:t>Zakres wsparcia</w:t>
      </w:r>
    </w:p>
    <w:p w14:paraId="7B2285F7" w14:textId="2919FE73" w:rsidR="007E3C36" w:rsidRPr="00397E3E" w:rsidRDefault="007E3C36" w:rsidP="00397E3E">
      <w:pPr>
        <w:jc w:val="both"/>
      </w:pPr>
      <w:r>
        <w:t>Na wstępie należy zaznaczyć</w:t>
      </w:r>
      <w:r w:rsidRPr="007E3C36">
        <w:t xml:space="preserve">, że świadczenia z zakresu opieki psychiatrycznej i leczenia uzależnień są udzielane bezpłatnie wszystkim osobom niezależnie od ubezpieczenia zdrowotnego. Leki refundowane </w:t>
      </w:r>
      <w:r w:rsidR="005A3828">
        <w:t>przysługują wszystkim obywatelom niezależnie od statusu ubezpieczenia.</w:t>
      </w:r>
    </w:p>
    <w:p w14:paraId="1C8315E6" w14:textId="77777777" w:rsidR="00E74D62" w:rsidRDefault="00E74D6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5C3036">
        <w:rPr>
          <w:rFonts w:ascii="Calibri" w:eastAsia="Calibri" w:hAnsi="Calibri" w:cs="Calibri"/>
          <w:lang w:eastAsia="pl-PL"/>
        </w:rPr>
        <w:t xml:space="preserve">Świadczenia gwarantowane opieki psychiatrycznej realizowane w </w:t>
      </w:r>
      <w:r>
        <w:rPr>
          <w:rFonts w:ascii="Calibri" w:eastAsia="Calibri" w:hAnsi="Calibri" w:cs="Calibri"/>
          <w:lang w:eastAsia="pl-PL"/>
        </w:rPr>
        <w:t>formie stacjonarnej</w:t>
      </w:r>
      <w:r w:rsidRPr="005C3036"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 xml:space="preserve">(całodobowe) </w:t>
      </w:r>
      <w:r w:rsidRPr="005C3036">
        <w:rPr>
          <w:rFonts w:ascii="Calibri" w:eastAsia="Calibri" w:hAnsi="Calibri" w:cs="Calibri"/>
          <w:lang w:eastAsia="pl-PL"/>
        </w:rPr>
        <w:t xml:space="preserve">udzielane są </w:t>
      </w:r>
      <w:r w:rsidRPr="00B77EEF">
        <w:rPr>
          <w:rFonts w:ascii="Calibri" w:eastAsia="Calibri" w:hAnsi="Calibri" w:cs="Calibri"/>
          <w:lang w:eastAsia="pl-PL"/>
        </w:rPr>
        <w:t>w oddziałach psychiatrycznych, oddziałach leczenia uzależnień oraz w izbach przyjęć</w:t>
      </w:r>
      <w:r>
        <w:rPr>
          <w:rFonts w:ascii="Calibri" w:eastAsia="Calibri" w:hAnsi="Calibri" w:cs="Calibri"/>
          <w:lang w:eastAsia="pl-PL"/>
        </w:rPr>
        <w:t xml:space="preserve"> osobom powyżej 18 r. ż. </w:t>
      </w:r>
      <w:r w:rsidRPr="005C3036">
        <w:rPr>
          <w:rFonts w:ascii="Calibri" w:eastAsia="Calibri" w:hAnsi="Calibri" w:cs="Calibri"/>
          <w:lang w:eastAsia="pl-PL"/>
        </w:rPr>
        <w:t xml:space="preserve">w zakresie diagnostyki </w:t>
      </w:r>
      <w:r>
        <w:rPr>
          <w:rFonts w:ascii="Calibri" w:eastAsia="Calibri" w:hAnsi="Calibri" w:cs="Calibri"/>
          <w:lang w:eastAsia="pl-PL"/>
        </w:rPr>
        <w:t>oraz</w:t>
      </w:r>
      <w:r w:rsidRPr="005C3036">
        <w:rPr>
          <w:rFonts w:ascii="Calibri" w:eastAsia="Calibri" w:hAnsi="Calibri" w:cs="Calibri"/>
          <w:lang w:eastAsia="pl-PL"/>
        </w:rPr>
        <w:t xml:space="preserve"> leczenia</w:t>
      </w:r>
      <w:r>
        <w:rPr>
          <w:rFonts w:ascii="Calibri" w:eastAsia="Calibri" w:hAnsi="Calibri" w:cs="Calibri"/>
          <w:lang w:eastAsia="pl-PL"/>
        </w:rPr>
        <w:t xml:space="preserve"> wszystkich rodzajów</w:t>
      </w:r>
      <w:r w:rsidRPr="005C3036">
        <w:rPr>
          <w:rFonts w:ascii="Calibri" w:eastAsia="Calibri" w:hAnsi="Calibri" w:cs="Calibri"/>
          <w:lang w:eastAsia="pl-PL"/>
        </w:rPr>
        <w:t xml:space="preserve"> zaburzeń psychicznych i zaburzeń zachowania (F00-F99). Świadczenia całodobowe udzielane są przede wszystkim </w:t>
      </w:r>
      <w:r>
        <w:rPr>
          <w:rFonts w:ascii="Calibri" w:eastAsia="Calibri" w:hAnsi="Calibri" w:cs="Calibri"/>
          <w:lang w:eastAsia="pl-PL"/>
        </w:rPr>
        <w:t>na oddziałach psychiatrycznych ogólnych stanowiącą najważniejszą część bazy lecznictwa stacjonarnego</w:t>
      </w:r>
      <w:r w:rsidRPr="005C3036">
        <w:rPr>
          <w:rFonts w:ascii="Calibri" w:eastAsia="Calibri" w:hAnsi="Calibri" w:cs="Calibri"/>
          <w:lang w:eastAsia="pl-PL"/>
        </w:rPr>
        <w:t xml:space="preserve">. </w:t>
      </w:r>
    </w:p>
    <w:p w14:paraId="4FBFE36C" w14:textId="70FEFAB5" w:rsidR="00E74D62" w:rsidRDefault="00E74D6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Na </w:t>
      </w:r>
      <w:r w:rsidRPr="005529EA">
        <w:rPr>
          <w:rFonts w:ascii="Calibri" w:eastAsia="Calibri" w:hAnsi="Calibri" w:cs="Calibri"/>
          <w:lang w:eastAsia="pl-PL"/>
        </w:rPr>
        <w:t xml:space="preserve">oddziale szpitalnym przeprowadzana jest wielostronna diagnoza </w:t>
      </w:r>
      <w:r>
        <w:rPr>
          <w:rFonts w:ascii="Calibri" w:eastAsia="Calibri" w:hAnsi="Calibri" w:cs="Calibri"/>
          <w:lang w:eastAsia="pl-PL"/>
        </w:rPr>
        <w:t xml:space="preserve">i leczenie zaburzeń psychicznych. </w:t>
      </w:r>
    </w:p>
    <w:p w14:paraId="139CF442" w14:textId="36CB7B29" w:rsidR="007F0595" w:rsidRDefault="007F0595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Do świadczeń udzielanych na oddziale zalicza się:</w:t>
      </w:r>
    </w:p>
    <w:p w14:paraId="75A14892" w14:textId="77777777" w:rsidR="007F0595" w:rsidRPr="007F0595" w:rsidRDefault="007F0595" w:rsidP="007F0595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7F0595">
        <w:rPr>
          <w:rFonts w:ascii="Calibri" w:eastAsia="Calibri" w:hAnsi="Calibri" w:cs="Calibri"/>
          <w:lang w:eastAsia="pl-PL"/>
        </w:rPr>
        <w:t>1) świadczenia terapeutyczne;</w:t>
      </w:r>
    </w:p>
    <w:p w14:paraId="476A0040" w14:textId="77777777" w:rsidR="007F0595" w:rsidRPr="007F0595" w:rsidRDefault="007F0595" w:rsidP="007F0595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7F0595">
        <w:rPr>
          <w:rFonts w:ascii="Calibri" w:eastAsia="Calibri" w:hAnsi="Calibri" w:cs="Calibri"/>
          <w:lang w:eastAsia="pl-PL"/>
        </w:rPr>
        <w:t>2) programy terapeutyczne;</w:t>
      </w:r>
    </w:p>
    <w:p w14:paraId="489870CA" w14:textId="77777777" w:rsidR="007F0595" w:rsidRPr="007F0595" w:rsidRDefault="007F0595" w:rsidP="007F0595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7F0595">
        <w:rPr>
          <w:rFonts w:ascii="Calibri" w:eastAsia="Calibri" w:hAnsi="Calibri" w:cs="Calibri"/>
          <w:lang w:eastAsia="pl-PL"/>
        </w:rPr>
        <w:t>3) niezbędne badania diagnostyczne;</w:t>
      </w:r>
    </w:p>
    <w:p w14:paraId="1B2BD18C" w14:textId="77777777" w:rsidR="007F0595" w:rsidRPr="007F0595" w:rsidRDefault="007F0595" w:rsidP="007F0595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7F0595">
        <w:rPr>
          <w:rFonts w:ascii="Calibri" w:eastAsia="Calibri" w:hAnsi="Calibri" w:cs="Calibri"/>
          <w:lang w:eastAsia="pl-PL"/>
        </w:rPr>
        <w:t>4) konsultacje specjalistyczne;</w:t>
      </w:r>
    </w:p>
    <w:p w14:paraId="7B12AB5E" w14:textId="77777777" w:rsidR="007F0595" w:rsidRPr="007F0595" w:rsidRDefault="007F0595" w:rsidP="007F0595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7F0595">
        <w:rPr>
          <w:rFonts w:ascii="Calibri" w:eastAsia="Calibri" w:hAnsi="Calibri" w:cs="Calibri"/>
          <w:lang w:eastAsia="pl-PL"/>
        </w:rPr>
        <w:t>5) leki;</w:t>
      </w:r>
    </w:p>
    <w:p w14:paraId="1645283E" w14:textId="77777777" w:rsidR="007F0595" w:rsidRPr="007F0595" w:rsidRDefault="007F0595" w:rsidP="007F0595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7F0595">
        <w:rPr>
          <w:rFonts w:ascii="Calibri" w:eastAsia="Calibri" w:hAnsi="Calibri" w:cs="Calibri"/>
          <w:lang w:eastAsia="pl-PL"/>
        </w:rPr>
        <w:t>6) wyroby medyczne, w tym wyroby medyczne będące przedmiotami ortopedycznymi;</w:t>
      </w:r>
    </w:p>
    <w:p w14:paraId="762585FF" w14:textId="77777777" w:rsidR="007F0595" w:rsidRPr="007F0595" w:rsidRDefault="007F0595" w:rsidP="007F0595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7F0595">
        <w:rPr>
          <w:rFonts w:ascii="Calibri" w:eastAsia="Calibri" w:hAnsi="Calibri" w:cs="Calibri"/>
          <w:lang w:eastAsia="pl-PL"/>
        </w:rPr>
        <w:t>7) wyżywienie, z zastrzeżeniem art. 18 ustawy;</w:t>
      </w:r>
    </w:p>
    <w:p w14:paraId="3740B4ED" w14:textId="18927FAD" w:rsidR="007F0595" w:rsidRDefault="007F0595" w:rsidP="007F0595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7F0595">
        <w:rPr>
          <w:rFonts w:ascii="Calibri" w:eastAsia="Calibri" w:hAnsi="Calibri" w:cs="Calibri"/>
          <w:lang w:eastAsia="pl-PL"/>
        </w:rPr>
        <w:t>8) działania edukacyjno-konsultacyjne dla rodzin</w:t>
      </w:r>
    </w:p>
    <w:p w14:paraId="0F848D90" w14:textId="77777777" w:rsidR="00E74D62" w:rsidRDefault="00E74D6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1B5DCB">
        <w:rPr>
          <w:rFonts w:ascii="Calibri" w:eastAsia="Calibri" w:hAnsi="Calibri" w:cs="Calibri"/>
          <w:lang w:eastAsia="pl-PL"/>
        </w:rPr>
        <w:t>Osoba z zaburzeniami psychicznymi przebywająca w szpitalu psychiatrycznym ma prawo do porozumiewania się bez ogranic</w:t>
      </w:r>
      <w:r>
        <w:rPr>
          <w:rFonts w:ascii="Calibri" w:eastAsia="Calibri" w:hAnsi="Calibri" w:cs="Calibri"/>
          <w:lang w:eastAsia="pl-PL"/>
        </w:rPr>
        <w:t>zeń z rodziną i innymi osobami.</w:t>
      </w:r>
    </w:p>
    <w:p w14:paraId="6B37934B" w14:textId="3565C8BE" w:rsidR="00E74D62" w:rsidRPr="008A0F0C" w:rsidRDefault="00E74D62" w:rsidP="008A0F0C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6B1C11">
        <w:rPr>
          <w:rFonts w:ascii="Calibri" w:eastAsia="Calibri" w:hAnsi="Calibri" w:cs="Calibri"/>
          <w:lang w:eastAsia="pl-PL"/>
        </w:rPr>
        <w:t>Warunkiem przyjęcia jest ważne sk</w:t>
      </w:r>
      <w:r>
        <w:rPr>
          <w:rFonts w:ascii="Calibri" w:eastAsia="Calibri" w:hAnsi="Calibri" w:cs="Calibri"/>
          <w:lang w:eastAsia="pl-PL"/>
        </w:rPr>
        <w:t>ierowani</w:t>
      </w:r>
      <w:r w:rsidR="004327F4">
        <w:rPr>
          <w:rFonts w:ascii="Calibri" w:eastAsia="Calibri" w:hAnsi="Calibri" w:cs="Calibri"/>
          <w:lang w:eastAsia="pl-PL"/>
        </w:rPr>
        <w:t>e</w:t>
      </w:r>
      <w:r>
        <w:rPr>
          <w:rFonts w:ascii="Calibri" w:eastAsia="Calibri" w:hAnsi="Calibri" w:cs="Calibri"/>
          <w:lang w:eastAsia="pl-PL"/>
        </w:rPr>
        <w:t xml:space="preserve"> od lekarza psychiatry.</w:t>
      </w:r>
      <w:r w:rsidR="007F0595">
        <w:rPr>
          <w:rFonts w:ascii="Calibri" w:eastAsia="Calibri" w:hAnsi="Calibri" w:cs="Calibri"/>
          <w:lang w:eastAsia="pl-PL"/>
        </w:rPr>
        <w:t xml:space="preserve"> W</w:t>
      </w:r>
      <w:r w:rsidR="007F0595" w:rsidRPr="007F0595">
        <w:rPr>
          <w:rFonts w:ascii="Calibri" w:eastAsia="Calibri" w:hAnsi="Calibri" w:cs="Calibri"/>
          <w:lang w:eastAsia="pl-PL"/>
        </w:rPr>
        <w:t xml:space="preserve"> nagłych przypadkach, </w:t>
      </w:r>
      <w:r w:rsidR="00F662B2">
        <w:rPr>
          <w:rFonts w:ascii="Calibri" w:eastAsia="Calibri" w:hAnsi="Calibri" w:cs="Calibri"/>
          <w:lang w:eastAsia="pl-PL"/>
        </w:rPr>
        <w:br/>
      </w:r>
      <w:r w:rsidR="007F0595" w:rsidRPr="007F0595">
        <w:rPr>
          <w:rFonts w:ascii="Calibri" w:eastAsia="Calibri" w:hAnsi="Calibri" w:cs="Calibri"/>
          <w:lang w:eastAsia="pl-PL"/>
        </w:rPr>
        <w:t xml:space="preserve">w szczególności w przypadku braku możliwości uzyskania pomocy lekarskiej przed zgłoszeniem się̨ </w:t>
      </w:r>
      <w:r w:rsidR="00F662B2">
        <w:rPr>
          <w:rFonts w:ascii="Calibri" w:eastAsia="Calibri" w:hAnsi="Calibri" w:cs="Calibri"/>
          <w:lang w:eastAsia="pl-PL"/>
        </w:rPr>
        <w:br/>
      </w:r>
      <w:r w:rsidR="007F0595" w:rsidRPr="007F0595">
        <w:rPr>
          <w:rFonts w:ascii="Calibri" w:eastAsia="Calibri" w:hAnsi="Calibri" w:cs="Calibri"/>
          <w:lang w:eastAsia="pl-PL"/>
        </w:rPr>
        <w:t>do szpitala, osoba z zaburzeniami psychicznymi może być́ przyjęta do szpitala psychiatrycznego</w:t>
      </w:r>
      <w:r w:rsidR="004327F4">
        <w:rPr>
          <w:rFonts w:ascii="Calibri" w:eastAsia="Calibri" w:hAnsi="Calibri" w:cs="Calibri"/>
          <w:lang w:eastAsia="pl-PL"/>
        </w:rPr>
        <w:t xml:space="preserve"> bez skierowania</w:t>
      </w:r>
    </w:p>
    <w:p w14:paraId="4E1A971C" w14:textId="77777777" w:rsidR="002766C5" w:rsidRPr="005509DA" w:rsidRDefault="002766C5" w:rsidP="00843B15">
      <w:pPr>
        <w:pStyle w:val="Nagwek7"/>
        <w:rPr>
          <w:color w:val="0070C0"/>
        </w:rPr>
      </w:pPr>
      <w:r w:rsidRPr="005509DA">
        <w:rPr>
          <w:color w:val="0070C0"/>
        </w:rPr>
        <w:t>Grupa docelowa</w:t>
      </w:r>
    </w:p>
    <w:p w14:paraId="6D23F88B" w14:textId="77777777" w:rsidR="00E74D62" w:rsidRDefault="00E74D6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1432AB">
        <w:rPr>
          <w:rFonts w:ascii="Calibri" w:eastAsia="Calibri" w:hAnsi="Calibri" w:cs="Calibri"/>
          <w:lang w:eastAsia="pl-PL"/>
        </w:rPr>
        <w:t xml:space="preserve">Świadczenia gwarantowane opieki psychiatrycznej realizowane w warunkach stacjonarnych udzielane są </w:t>
      </w:r>
      <w:r>
        <w:rPr>
          <w:rFonts w:ascii="Calibri" w:eastAsia="Calibri" w:hAnsi="Calibri" w:cs="Calibri"/>
          <w:lang w:eastAsia="pl-PL"/>
        </w:rPr>
        <w:t>osobom powyżej 18 r. ż.</w:t>
      </w:r>
    </w:p>
    <w:p w14:paraId="1802D181" w14:textId="77777777" w:rsidR="00E74D62" w:rsidRPr="00F662B2" w:rsidRDefault="00E74D62" w:rsidP="00E74D62">
      <w:pPr>
        <w:spacing w:after="120" w:line="240" w:lineRule="auto"/>
        <w:jc w:val="both"/>
        <w:rPr>
          <w:rFonts w:ascii="Calibri" w:eastAsia="Calibri" w:hAnsi="Calibri" w:cs="Calibri"/>
          <w:i/>
          <w:iCs/>
          <w:lang w:eastAsia="pl-PL"/>
        </w:rPr>
      </w:pPr>
      <w:r w:rsidRPr="005529EA">
        <w:rPr>
          <w:rFonts w:ascii="Calibri" w:eastAsia="Calibri" w:hAnsi="Calibri" w:cs="Calibri"/>
          <w:lang w:eastAsia="pl-PL"/>
        </w:rPr>
        <w:t xml:space="preserve">Zasady przyjmowania pacjentów do szpitala psychiatrycznego reguluje ustawa o ochronie zdrowia psychicznego oraz rozporządzenie Ministra Zdrowia </w:t>
      </w:r>
      <w:r w:rsidRPr="00F662B2">
        <w:rPr>
          <w:rFonts w:ascii="Calibri" w:eastAsia="Calibri" w:hAnsi="Calibri" w:cs="Calibri"/>
          <w:i/>
          <w:iCs/>
          <w:lang w:eastAsia="pl-PL"/>
        </w:rPr>
        <w:t xml:space="preserve">w sprawie szczegółowego sposobu postępowania w sprawach przyjęcia oraz wypisania ze szpitala psychiatrycznego. </w:t>
      </w:r>
    </w:p>
    <w:p w14:paraId="3F2BEFA5" w14:textId="36990ADC" w:rsidR="00E74D62" w:rsidRDefault="00E74D6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P</w:t>
      </w:r>
      <w:r w:rsidRPr="004362A4">
        <w:rPr>
          <w:rFonts w:ascii="Calibri" w:eastAsia="Calibri" w:hAnsi="Calibri" w:cs="Calibri"/>
          <w:lang w:eastAsia="pl-PL"/>
        </w:rPr>
        <w:t>rzyjęcie do szpit</w:t>
      </w:r>
      <w:r>
        <w:rPr>
          <w:rFonts w:ascii="Calibri" w:eastAsia="Calibri" w:hAnsi="Calibri" w:cs="Calibri"/>
          <w:lang w:eastAsia="pl-PL"/>
        </w:rPr>
        <w:t>ala psychiatrycznego</w:t>
      </w:r>
      <w:r w:rsidRPr="004362A4">
        <w:rPr>
          <w:rFonts w:ascii="Calibri" w:eastAsia="Calibri" w:hAnsi="Calibri" w:cs="Calibri"/>
          <w:lang w:eastAsia="pl-PL"/>
        </w:rPr>
        <w:t xml:space="preserve"> osoby z zaburzeniami psychicznymi</w:t>
      </w:r>
      <w:r>
        <w:rPr>
          <w:rFonts w:ascii="Calibri" w:eastAsia="Calibri" w:hAnsi="Calibri" w:cs="Calibri"/>
          <w:lang w:eastAsia="pl-PL"/>
        </w:rPr>
        <w:t xml:space="preserve">, następuje </w:t>
      </w:r>
      <w:r w:rsidRPr="004362A4">
        <w:rPr>
          <w:rFonts w:ascii="Calibri" w:eastAsia="Calibri" w:hAnsi="Calibri" w:cs="Calibri"/>
          <w:lang w:eastAsia="pl-PL"/>
        </w:rPr>
        <w:t>za jej pisemną zgodą</w:t>
      </w:r>
      <w:r w:rsidRPr="00C55AC8">
        <w:t xml:space="preserve"> </w:t>
      </w:r>
      <w:r>
        <w:t xml:space="preserve">oraz </w:t>
      </w:r>
      <w:r w:rsidRPr="00C55AC8">
        <w:rPr>
          <w:rFonts w:ascii="Calibri" w:eastAsia="Calibri" w:hAnsi="Calibri" w:cs="Calibri"/>
          <w:lang w:eastAsia="pl-PL"/>
        </w:rPr>
        <w:t>na podstawie ważnego skierowania, jeżeli lekarz wyznaczony do tej czynności, po osobistym zbadaniu tej osoby, s</w:t>
      </w:r>
      <w:r>
        <w:rPr>
          <w:rFonts w:ascii="Calibri" w:eastAsia="Calibri" w:hAnsi="Calibri" w:cs="Calibri"/>
          <w:lang w:eastAsia="pl-PL"/>
        </w:rPr>
        <w:t>twierdzi wskazania do przyjęcia</w:t>
      </w:r>
      <w:r w:rsidRPr="004362A4">
        <w:rPr>
          <w:rFonts w:ascii="Calibri" w:eastAsia="Calibri" w:hAnsi="Calibri" w:cs="Calibri"/>
          <w:lang w:eastAsia="pl-PL"/>
        </w:rPr>
        <w:t>,</w:t>
      </w:r>
      <w:r>
        <w:rPr>
          <w:rFonts w:ascii="Calibri" w:eastAsia="Calibri" w:hAnsi="Calibri" w:cs="Calibri"/>
          <w:lang w:eastAsia="pl-PL"/>
        </w:rPr>
        <w:t xml:space="preserve"> lub bez skierowania </w:t>
      </w:r>
      <w:r w:rsidRPr="001432AB">
        <w:rPr>
          <w:rFonts w:ascii="Calibri" w:eastAsia="Calibri" w:hAnsi="Calibri" w:cs="Calibri"/>
          <w:lang w:eastAsia="pl-PL"/>
        </w:rPr>
        <w:t xml:space="preserve">w </w:t>
      </w:r>
      <w:r>
        <w:rPr>
          <w:rFonts w:ascii="Calibri" w:eastAsia="Calibri" w:hAnsi="Calibri" w:cs="Calibri"/>
          <w:lang w:eastAsia="pl-PL"/>
        </w:rPr>
        <w:t xml:space="preserve">nagłych przypadkach </w:t>
      </w:r>
      <w:r w:rsidR="00FB298C">
        <w:rPr>
          <w:rFonts w:ascii="Calibri" w:eastAsia="Calibri" w:hAnsi="Calibri" w:cs="Calibri"/>
          <w:lang w:eastAsia="pl-PL"/>
        </w:rPr>
        <w:br/>
      </w:r>
      <w:r>
        <w:rPr>
          <w:rFonts w:ascii="Calibri" w:eastAsia="Calibri" w:hAnsi="Calibri" w:cs="Calibri"/>
          <w:lang w:eastAsia="pl-PL"/>
        </w:rPr>
        <w:t>(za zgodą pacjenta), po osobistym zbadaniu przez lekarza</w:t>
      </w:r>
      <w:r w:rsidRPr="004362A4">
        <w:rPr>
          <w:rFonts w:ascii="Calibri" w:eastAsia="Calibri" w:hAnsi="Calibri" w:cs="Calibri"/>
          <w:lang w:eastAsia="pl-PL"/>
        </w:rPr>
        <w:t>.</w:t>
      </w:r>
    </w:p>
    <w:p w14:paraId="28427D21" w14:textId="22C06E77" w:rsidR="007E3C36" w:rsidRDefault="007E3C36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7E3C36">
        <w:rPr>
          <w:rFonts w:ascii="Calibri" w:eastAsia="Calibri" w:hAnsi="Calibri" w:cs="Calibri"/>
          <w:lang w:eastAsia="pl-PL"/>
        </w:rPr>
        <w:lastRenderedPageBreak/>
        <w:t xml:space="preserve">Warunki przyjęcia </w:t>
      </w:r>
      <w:r w:rsidR="00AC1E70">
        <w:rPr>
          <w:rFonts w:ascii="Calibri" w:eastAsia="Calibri" w:hAnsi="Calibri" w:cs="Calibri"/>
          <w:lang w:eastAsia="pl-PL"/>
        </w:rPr>
        <w:t xml:space="preserve">do szpitala psychiatrycznego w trybie nagłym </w:t>
      </w:r>
      <w:r w:rsidRPr="007E3C36">
        <w:rPr>
          <w:rFonts w:ascii="Calibri" w:eastAsia="Calibri" w:hAnsi="Calibri" w:cs="Calibri"/>
          <w:lang w:eastAsia="pl-PL"/>
        </w:rPr>
        <w:t>bez zgody określają art. 23,</w:t>
      </w:r>
      <w:r w:rsidR="00714C42"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>24</w:t>
      </w:r>
      <w:r w:rsidRPr="007E3C36">
        <w:rPr>
          <w:rFonts w:ascii="Calibri" w:eastAsia="Calibri" w:hAnsi="Calibri" w:cs="Calibri"/>
          <w:lang w:eastAsia="pl-PL"/>
        </w:rPr>
        <w:t xml:space="preserve"> i 2</w:t>
      </w:r>
      <w:r>
        <w:rPr>
          <w:rFonts w:ascii="Calibri" w:eastAsia="Calibri" w:hAnsi="Calibri" w:cs="Calibri"/>
          <w:lang w:eastAsia="pl-PL"/>
        </w:rPr>
        <w:t>8</w:t>
      </w:r>
      <w:r w:rsidRPr="007E3C36">
        <w:rPr>
          <w:rFonts w:ascii="Calibri" w:eastAsia="Calibri" w:hAnsi="Calibri" w:cs="Calibri"/>
          <w:lang w:eastAsia="pl-PL"/>
        </w:rPr>
        <w:t xml:space="preserve"> ustawy</w:t>
      </w:r>
      <w:r>
        <w:rPr>
          <w:rFonts w:ascii="Calibri" w:eastAsia="Calibri" w:hAnsi="Calibri" w:cs="Calibri"/>
          <w:lang w:eastAsia="pl-PL"/>
        </w:rPr>
        <w:t xml:space="preserve"> z dnia 19 sierpnia 1994 r. </w:t>
      </w:r>
      <w:r w:rsidRPr="007E3C36">
        <w:rPr>
          <w:rFonts w:ascii="Calibri" w:eastAsia="Calibri" w:hAnsi="Calibri" w:cs="Calibri"/>
          <w:lang w:eastAsia="pl-PL"/>
        </w:rPr>
        <w:t xml:space="preserve"> </w:t>
      </w:r>
      <w:r w:rsidRPr="00F662B2">
        <w:rPr>
          <w:rFonts w:ascii="Calibri" w:eastAsia="Calibri" w:hAnsi="Calibri" w:cs="Calibri"/>
          <w:i/>
          <w:iCs/>
          <w:lang w:eastAsia="pl-PL"/>
        </w:rPr>
        <w:t>o ochronie zdrowia psychicznego</w:t>
      </w:r>
      <w:r>
        <w:rPr>
          <w:rFonts w:ascii="Calibri" w:eastAsia="Calibri" w:hAnsi="Calibri" w:cs="Calibri"/>
          <w:lang w:eastAsia="pl-PL"/>
        </w:rPr>
        <w:t xml:space="preserve"> (Dz.</w:t>
      </w:r>
      <w:r w:rsidR="00AC1E70">
        <w:rPr>
          <w:rFonts w:ascii="Calibri" w:eastAsia="Calibri" w:hAnsi="Calibri" w:cs="Calibri"/>
          <w:lang w:eastAsia="pl-PL"/>
        </w:rPr>
        <w:t xml:space="preserve"> </w:t>
      </w:r>
      <w:r w:rsidR="004A1CB0">
        <w:rPr>
          <w:rFonts w:ascii="Calibri" w:eastAsia="Calibri" w:hAnsi="Calibri" w:cs="Calibri"/>
          <w:lang w:eastAsia="pl-PL"/>
        </w:rPr>
        <w:t xml:space="preserve">U. </w:t>
      </w:r>
      <w:r w:rsidR="00714C42">
        <w:rPr>
          <w:rFonts w:ascii="Calibri" w:eastAsia="Calibri" w:hAnsi="Calibri" w:cs="Calibri"/>
          <w:lang w:eastAsia="pl-PL"/>
        </w:rPr>
        <w:t xml:space="preserve">z </w:t>
      </w:r>
      <w:r w:rsidR="00AC1E70">
        <w:rPr>
          <w:rFonts w:ascii="Calibri" w:eastAsia="Calibri" w:hAnsi="Calibri" w:cs="Calibri"/>
          <w:lang w:eastAsia="pl-PL"/>
        </w:rPr>
        <w:t>2020 r. poz. 685</w:t>
      </w:r>
      <w:r>
        <w:rPr>
          <w:rFonts w:ascii="Calibri" w:eastAsia="Calibri" w:hAnsi="Calibri" w:cs="Calibri"/>
          <w:lang w:eastAsia="pl-PL"/>
        </w:rPr>
        <w:t xml:space="preserve">). </w:t>
      </w:r>
      <w:r w:rsidR="00AC1E70">
        <w:rPr>
          <w:rFonts w:ascii="Calibri" w:eastAsia="Calibri" w:hAnsi="Calibri" w:cs="Calibri"/>
          <w:lang w:eastAsia="pl-PL"/>
        </w:rPr>
        <w:t>Natomiast w art. 29 ww. ustawy określone są warunki przyjęcia</w:t>
      </w:r>
      <w:r w:rsidR="001C2E64">
        <w:rPr>
          <w:rFonts w:ascii="Calibri" w:eastAsia="Calibri" w:hAnsi="Calibri" w:cs="Calibri"/>
          <w:lang w:eastAsia="pl-PL"/>
        </w:rPr>
        <w:t xml:space="preserve"> bez zgody</w:t>
      </w:r>
      <w:r w:rsidR="00AC1E70">
        <w:rPr>
          <w:rFonts w:ascii="Calibri" w:eastAsia="Calibri" w:hAnsi="Calibri" w:cs="Calibri"/>
          <w:lang w:eastAsia="pl-PL"/>
        </w:rPr>
        <w:t xml:space="preserve"> w trybie w</w:t>
      </w:r>
      <w:r w:rsidR="001C2E64">
        <w:rPr>
          <w:rFonts w:ascii="Calibri" w:eastAsia="Calibri" w:hAnsi="Calibri" w:cs="Calibri"/>
          <w:lang w:eastAsia="pl-PL"/>
        </w:rPr>
        <w:t>nioskowym</w:t>
      </w:r>
      <w:r w:rsidR="00AC1E70">
        <w:rPr>
          <w:rFonts w:ascii="Calibri" w:eastAsia="Calibri" w:hAnsi="Calibri" w:cs="Calibri"/>
          <w:lang w:eastAsia="pl-PL"/>
        </w:rPr>
        <w:t>.</w:t>
      </w:r>
    </w:p>
    <w:p w14:paraId="4E7EA201" w14:textId="7A28E711" w:rsidR="00C4020E" w:rsidRDefault="007E3C36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7E3C36">
        <w:rPr>
          <w:rFonts w:ascii="Calibri" w:eastAsia="Calibri" w:hAnsi="Calibri" w:cs="Calibri"/>
          <w:lang w:eastAsia="pl-PL"/>
        </w:rPr>
        <w:t>Przyjęcia w ramach trybu nagłego podlegają ocenie ich zasadności przez sąd. W przypadku trybu wnioskowego przyjęcie odbywa się po uprawomocnieniu orzeczenia sądu w tej sprawie.</w:t>
      </w:r>
      <w:bookmarkStart w:id="5" w:name="mip38700812"/>
      <w:bookmarkStart w:id="6" w:name="mip38700813"/>
      <w:bookmarkStart w:id="7" w:name="mip38700815"/>
      <w:bookmarkEnd w:id="5"/>
      <w:bookmarkEnd w:id="6"/>
      <w:bookmarkEnd w:id="7"/>
    </w:p>
    <w:p w14:paraId="0E35609A" w14:textId="0A109171" w:rsidR="00F00CAA" w:rsidRDefault="00F00CAA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Poniższe tabele zawierają dane dotyczące liczby szpitali psychiatrycznych w Polsce oraz liczby oddziałów psychiatrycznych przy szpitalach ogólnych wraz z liczbą łóżek.</w:t>
      </w:r>
      <w:r w:rsidR="00ED0BFC">
        <w:rPr>
          <w:rFonts w:ascii="Calibri" w:eastAsia="Calibri" w:hAnsi="Calibri" w:cs="Calibri"/>
          <w:lang w:eastAsia="pl-PL"/>
        </w:rPr>
        <w:t xml:space="preserve"> Działania planowane w dalszej części dokumentu odnoszą się również do zmiany struktury liczby łóżek, zarówno w szpitalach psychiatrycznych i oddziałach psychiatrycznych przy szpitalach wielospecjalistycznych.</w:t>
      </w:r>
      <w:r>
        <w:rPr>
          <w:rFonts w:ascii="Calibri" w:eastAsia="Calibri" w:hAnsi="Calibri" w:cs="Calibri"/>
          <w:lang w:eastAsia="pl-PL"/>
        </w:rPr>
        <w:t xml:space="preserve"> </w:t>
      </w: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899"/>
        <w:gridCol w:w="965"/>
        <w:gridCol w:w="1072"/>
        <w:gridCol w:w="1268"/>
        <w:gridCol w:w="1311"/>
        <w:gridCol w:w="917"/>
      </w:tblGrid>
      <w:tr w:rsidR="00BC026D" w:rsidRPr="009F50B3" w14:paraId="71AAA046" w14:textId="77777777" w:rsidTr="00F662B2">
        <w:trPr>
          <w:trHeight w:val="1031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D77" w14:textId="77777777" w:rsidR="00BC026D" w:rsidRPr="009F50B3" w:rsidRDefault="00BC026D" w:rsidP="0017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6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841" w14:textId="77777777" w:rsidR="00BC026D" w:rsidRPr="009F50B3" w:rsidRDefault="00BC026D" w:rsidP="00174F11">
            <w:pPr>
              <w:spacing w:after="0" w:line="240" w:lineRule="auto"/>
              <w:ind w:firstLineChars="1500" w:firstLine="27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Szpitale psychiatryczne</w:t>
            </w:r>
          </w:p>
        </w:tc>
      </w:tr>
      <w:tr w:rsidR="00BC026D" w:rsidRPr="009F50B3" w14:paraId="63498C4E" w14:textId="77777777" w:rsidTr="00F662B2">
        <w:trPr>
          <w:trHeight w:val="422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956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FD4" w14:textId="77777777" w:rsidR="00BC026D" w:rsidRPr="009F50B3" w:rsidRDefault="00BC026D" w:rsidP="00F0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placówek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AF7" w14:textId="77777777" w:rsidR="00BC026D" w:rsidRPr="009F50B3" w:rsidRDefault="00BC026D" w:rsidP="00A3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oddziałów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35A" w14:textId="38A85CB7" w:rsidR="00BC026D" w:rsidRPr="009F50B3" w:rsidRDefault="00B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Łóżka w dniu 31.XII rzeczywiste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391" w14:textId="77777777" w:rsidR="00BC026D" w:rsidRPr="009F50B3" w:rsidRDefault="00B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Średnia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3A3" w14:textId="77777777" w:rsidR="00BC026D" w:rsidRPr="009F50B3" w:rsidRDefault="00B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EFC" w14:textId="77777777" w:rsidR="00BC026D" w:rsidRPr="009F50B3" w:rsidRDefault="00B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C026D" w:rsidRPr="009F50B3" w14:paraId="7BDF73D2" w14:textId="77777777" w:rsidTr="00F662B2">
        <w:trPr>
          <w:trHeight w:val="986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867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864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461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69DF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6C78" w14:textId="77777777" w:rsidR="00BC026D" w:rsidRPr="009F50B3" w:rsidRDefault="00BC026D" w:rsidP="00F0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łóżek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D57" w14:textId="77777777" w:rsidR="00BC026D" w:rsidRPr="009F50B3" w:rsidRDefault="00BC026D" w:rsidP="00A3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(bez ruchu między-oddziałowego)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548" w14:textId="77777777" w:rsidR="00BC026D" w:rsidRPr="009F50B3" w:rsidRDefault="00B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Osobodni</w:t>
            </w:r>
          </w:p>
        </w:tc>
      </w:tr>
      <w:tr w:rsidR="00BC026D" w:rsidRPr="009F50B3" w14:paraId="0B37F878" w14:textId="77777777" w:rsidTr="00F662B2">
        <w:trPr>
          <w:trHeight w:val="492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4B7B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81D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7B2F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736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1CE" w14:textId="77777777" w:rsidR="00BC026D" w:rsidRPr="009F50B3" w:rsidRDefault="00BC026D" w:rsidP="00F0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rzeczywistych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D0E" w14:textId="77777777" w:rsidR="00BC026D" w:rsidRPr="009F50B3" w:rsidRDefault="00BC026D" w:rsidP="00A3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73F" w14:textId="77777777" w:rsidR="00BC026D" w:rsidRPr="009F50B3" w:rsidRDefault="00B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Leczenia</w:t>
            </w:r>
          </w:p>
        </w:tc>
      </w:tr>
      <w:tr w:rsidR="00BC026D" w:rsidRPr="009F50B3" w14:paraId="7328CC54" w14:textId="77777777" w:rsidTr="00F662B2">
        <w:trPr>
          <w:trHeight w:val="307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B92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74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345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E93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7E8" w14:textId="77777777" w:rsidR="00BC026D" w:rsidRPr="009F50B3" w:rsidRDefault="00BC026D" w:rsidP="00F0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9BCF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035" w14:textId="77777777" w:rsidR="00BC026D" w:rsidRPr="009F50B3" w:rsidRDefault="00BC026D" w:rsidP="00F0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**</w:t>
            </w:r>
          </w:p>
        </w:tc>
      </w:tr>
      <w:tr w:rsidR="00BC026D" w:rsidRPr="009F50B3" w14:paraId="718FD2C6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2D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E54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B12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370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10798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79F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10830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09F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112646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700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3668590</w:t>
            </w:r>
          </w:p>
        </w:tc>
      </w:tr>
      <w:tr w:rsidR="00BC026D" w:rsidRPr="009F50B3" w14:paraId="52C8EE09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E5B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dolnośląskie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45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18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DD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B0A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DF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6930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FB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215218</w:t>
            </w:r>
          </w:p>
        </w:tc>
      </w:tr>
      <w:tr w:rsidR="00BC026D" w:rsidRPr="009F50B3" w14:paraId="734B8BD1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AA2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kujawsko-pomorskie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70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A5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D79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5A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D9AB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D92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94029</w:t>
            </w:r>
          </w:p>
        </w:tc>
      </w:tr>
      <w:tr w:rsidR="00BC026D" w:rsidRPr="009F50B3" w14:paraId="567EB37F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D2B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lubelskie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DF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CC7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AD80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C6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499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7B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239691</w:t>
            </w:r>
          </w:p>
        </w:tc>
      </w:tr>
      <w:tr w:rsidR="00BC026D" w:rsidRPr="009F50B3" w14:paraId="277E5576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BEE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lubuskie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FC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180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BC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12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BC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FB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136436</w:t>
            </w:r>
          </w:p>
        </w:tc>
      </w:tr>
      <w:tr w:rsidR="00BC026D" w:rsidRPr="009F50B3" w14:paraId="57F88B04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548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łódzkie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B0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DEE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0AC0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90B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70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F3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262018</w:t>
            </w:r>
          </w:p>
        </w:tc>
      </w:tr>
      <w:tr w:rsidR="00BC026D" w:rsidRPr="009F50B3" w14:paraId="05DC0CB0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EE7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małopolskie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F8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06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49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D2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43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4B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232148</w:t>
            </w:r>
          </w:p>
        </w:tc>
      </w:tr>
      <w:tr w:rsidR="00BC026D" w:rsidRPr="009F50B3" w14:paraId="162322CB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4FF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92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A4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C7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9F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E2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42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634007</w:t>
            </w:r>
          </w:p>
        </w:tc>
      </w:tr>
      <w:tr w:rsidR="00BC026D" w:rsidRPr="009F50B3" w14:paraId="481687EE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8030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opolskie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55B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477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49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28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91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D2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150008</w:t>
            </w:r>
          </w:p>
        </w:tc>
      </w:tr>
      <w:tr w:rsidR="00BC026D" w:rsidRPr="009F50B3" w14:paraId="0B8B4D6B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947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podkarpackie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5B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3C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E1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40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33D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16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140352</w:t>
            </w:r>
          </w:p>
        </w:tc>
      </w:tr>
      <w:tr w:rsidR="00BC026D" w:rsidRPr="009F50B3" w14:paraId="79531977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CBE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podlaskie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221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5EB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B3E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F50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F7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5802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D3C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158871</w:t>
            </w:r>
          </w:p>
        </w:tc>
      </w:tr>
      <w:tr w:rsidR="00BC026D" w:rsidRPr="009F50B3" w14:paraId="19688FD1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DAB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13B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3D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71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10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6C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7677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F8F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234677</w:t>
            </w:r>
          </w:p>
        </w:tc>
      </w:tr>
      <w:tr w:rsidR="00BC026D" w:rsidRPr="009F50B3" w14:paraId="4C8F763F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079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śląskie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ED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88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6C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53B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E5E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13250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9A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451121</w:t>
            </w:r>
          </w:p>
        </w:tc>
      </w:tr>
      <w:tr w:rsidR="00BC026D" w:rsidRPr="009F50B3" w14:paraId="460A596E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1E3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B5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F03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AD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9CE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A4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6984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CC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195582</w:t>
            </w:r>
          </w:p>
        </w:tc>
      </w:tr>
      <w:tr w:rsidR="00BC026D" w:rsidRPr="009F50B3" w14:paraId="24C28474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A5B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warmińsko-mazurskie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4F0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04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6BD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5F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DB2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BC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187291</w:t>
            </w:r>
          </w:p>
        </w:tc>
      </w:tr>
      <w:tr w:rsidR="00BC026D" w:rsidRPr="009F50B3" w14:paraId="56B4595F" w14:textId="77777777" w:rsidTr="00F662B2">
        <w:trPr>
          <w:trHeight w:val="30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1D1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wielkopolskie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272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B8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06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6A2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7F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10663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0D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337141</w:t>
            </w:r>
          </w:p>
        </w:tc>
      </w:tr>
    </w:tbl>
    <w:p w14:paraId="20069B73" w14:textId="32D0378F" w:rsidR="00BC026D" w:rsidRDefault="00BC026D" w:rsidP="00E74D62">
      <w:pPr>
        <w:spacing w:after="120" w:line="240" w:lineRule="auto"/>
        <w:jc w:val="both"/>
        <w:rPr>
          <w:i/>
          <w:iCs/>
          <w:color w:val="44546A" w:themeColor="text2"/>
          <w:sz w:val="18"/>
          <w:szCs w:val="18"/>
        </w:rPr>
      </w:pPr>
      <w:bookmarkStart w:id="8" w:name="_Hlk42506558"/>
      <w:r w:rsidRPr="00673300">
        <w:rPr>
          <w:i/>
          <w:iCs/>
          <w:color w:val="44546A" w:themeColor="text2"/>
          <w:sz w:val="18"/>
          <w:szCs w:val="18"/>
        </w:rPr>
        <w:t xml:space="preserve">Tabela 3. Liczba szpitali psychiatrycznych oraz łózek psychiatrycznych </w:t>
      </w:r>
      <w:bookmarkStart w:id="9" w:name="_Hlk42506650"/>
      <w:r w:rsidRPr="00673300">
        <w:rPr>
          <w:i/>
          <w:iCs/>
          <w:color w:val="44546A" w:themeColor="text2"/>
          <w:sz w:val="18"/>
          <w:szCs w:val="18"/>
        </w:rPr>
        <w:t>w oparciu o dane ze statystyki publicznej</w:t>
      </w:r>
      <w:r w:rsidR="00174F11">
        <w:rPr>
          <w:i/>
          <w:iCs/>
          <w:color w:val="44546A" w:themeColor="text2"/>
          <w:sz w:val="18"/>
          <w:szCs w:val="18"/>
        </w:rPr>
        <w:t xml:space="preserve"> – 2018 r</w:t>
      </w:r>
      <w:r>
        <w:rPr>
          <w:i/>
          <w:iCs/>
          <w:color w:val="44546A" w:themeColor="text2"/>
          <w:sz w:val="18"/>
          <w:szCs w:val="18"/>
        </w:rPr>
        <w:t>.</w:t>
      </w:r>
      <w:bookmarkEnd w:id="9"/>
    </w:p>
    <w:bookmarkEnd w:id="8"/>
    <w:p w14:paraId="147B8AE3" w14:textId="515649E1" w:rsidR="00BC026D" w:rsidRDefault="00BC026D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</w:p>
    <w:p w14:paraId="765D1BD2" w14:textId="6D013462" w:rsidR="00F662B2" w:rsidRDefault="00F662B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</w:p>
    <w:p w14:paraId="62437F6C" w14:textId="527C3AC2" w:rsidR="00F662B2" w:rsidRDefault="00F662B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</w:p>
    <w:p w14:paraId="02E70D3B" w14:textId="74F3415C" w:rsidR="00F662B2" w:rsidRDefault="00F662B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</w:p>
    <w:p w14:paraId="331F57B8" w14:textId="5474EA9C" w:rsidR="00F662B2" w:rsidRDefault="00F662B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</w:p>
    <w:p w14:paraId="6C4D2E64" w14:textId="77777777" w:rsidR="00F662B2" w:rsidRDefault="00F662B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3"/>
        <w:gridCol w:w="976"/>
        <w:gridCol w:w="985"/>
        <w:gridCol w:w="1041"/>
        <w:gridCol w:w="1231"/>
        <w:gridCol w:w="1273"/>
        <w:gridCol w:w="985"/>
      </w:tblGrid>
      <w:tr w:rsidR="00BC026D" w:rsidRPr="009F50B3" w14:paraId="192A6894" w14:textId="77777777" w:rsidTr="00F662B2">
        <w:trPr>
          <w:trHeight w:val="43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B5A" w14:textId="77777777" w:rsidR="00BC026D" w:rsidRPr="009F50B3" w:rsidRDefault="00BC026D" w:rsidP="0017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Województwo</w:t>
            </w:r>
          </w:p>
        </w:tc>
        <w:tc>
          <w:tcPr>
            <w:tcW w:w="6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413" w14:textId="77777777" w:rsidR="00BC026D" w:rsidRPr="009F50B3" w:rsidRDefault="00BC026D" w:rsidP="0017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Oddziały psychiatryczne przy szpitalach ogólnych</w:t>
            </w:r>
          </w:p>
        </w:tc>
      </w:tr>
      <w:tr w:rsidR="00BC026D" w:rsidRPr="009F50B3" w14:paraId="4B4745F3" w14:textId="77777777" w:rsidTr="00F662B2">
        <w:trPr>
          <w:trHeight w:val="43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A9EB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008" w14:textId="77777777" w:rsidR="00BC026D" w:rsidRPr="009F50B3" w:rsidRDefault="00BC026D" w:rsidP="00F0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placówek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D91" w14:textId="77777777" w:rsidR="00BC026D" w:rsidRPr="009F50B3" w:rsidRDefault="00BC026D" w:rsidP="00A3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oddziałów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BA2" w14:textId="2DF9A8F4" w:rsidR="00BC026D" w:rsidRPr="009F50B3" w:rsidRDefault="00B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Łóżka w dniu 31.XII rzeczywiste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EA3" w14:textId="77777777" w:rsidR="00BC026D" w:rsidRPr="009F50B3" w:rsidRDefault="00B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Średnia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58F" w14:textId="77777777" w:rsidR="00BC026D" w:rsidRPr="009F50B3" w:rsidRDefault="00B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B0B2" w14:textId="77777777" w:rsidR="00BC026D" w:rsidRPr="009F50B3" w:rsidRDefault="00B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C026D" w:rsidRPr="009F50B3" w14:paraId="6BA0C632" w14:textId="77777777" w:rsidTr="00F662B2">
        <w:trPr>
          <w:trHeight w:val="1385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585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CC0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50BB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CDE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68F" w14:textId="77777777" w:rsidR="00BC026D" w:rsidRPr="009F50B3" w:rsidRDefault="00BC026D" w:rsidP="00F0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łóżek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BF0" w14:textId="77777777" w:rsidR="00BC026D" w:rsidRPr="009F50B3" w:rsidRDefault="00BC026D" w:rsidP="00A3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(bez ruchu między-oddziałowego)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4AD" w14:textId="77777777" w:rsidR="00BC026D" w:rsidRPr="009F50B3" w:rsidRDefault="00B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Osobodni</w:t>
            </w:r>
          </w:p>
        </w:tc>
      </w:tr>
      <w:tr w:rsidR="00BC026D" w:rsidRPr="009F50B3" w14:paraId="6DCE75DF" w14:textId="77777777" w:rsidTr="00F662B2">
        <w:trPr>
          <w:trHeight w:val="69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529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5062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9E2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6D9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2B6" w14:textId="77777777" w:rsidR="00BC026D" w:rsidRPr="009F50B3" w:rsidRDefault="00BC026D" w:rsidP="00F0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rzeczywistych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F94" w14:textId="77777777" w:rsidR="00BC026D" w:rsidRPr="009F50B3" w:rsidRDefault="00BC026D" w:rsidP="00F0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B32" w14:textId="77777777" w:rsidR="00BC026D" w:rsidRPr="009F50B3" w:rsidRDefault="00BC026D" w:rsidP="00A3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Leczenia</w:t>
            </w:r>
          </w:p>
        </w:tc>
      </w:tr>
      <w:tr w:rsidR="00BC026D" w:rsidRPr="009F50B3" w14:paraId="203F88F1" w14:textId="77777777" w:rsidTr="00F662B2">
        <w:trPr>
          <w:trHeight w:val="43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DDC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04C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89E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2D52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AC9" w14:textId="77777777" w:rsidR="00BC026D" w:rsidRPr="009F50B3" w:rsidRDefault="00BC026D" w:rsidP="00F0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5B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1B3" w14:textId="77777777" w:rsidR="00BC026D" w:rsidRPr="009F50B3" w:rsidRDefault="00BC026D" w:rsidP="00F0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**</w:t>
            </w:r>
          </w:p>
        </w:tc>
      </w:tr>
      <w:tr w:rsidR="00BC026D" w:rsidRPr="009F50B3" w14:paraId="6016F6A1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3FC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4793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B887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0310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4592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B3D4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75079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91ED" w14:textId="77777777" w:rsidR="00BC026D" w:rsidRPr="00F662B2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2069889</w:t>
            </w:r>
          </w:p>
        </w:tc>
      </w:tr>
      <w:tr w:rsidR="00BC026D" w:rsidRPr="009F50B3" w14:paraId="78410871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6DE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dolnośląskie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AF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0B7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8F6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57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0FF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7377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977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232164</w:t>
            </w:r>
          </w:p>
        </w:tc>
      </w:tr>
      <w:tr w:rsidR="00BC026D" w:rsidRPr="009F50B3" w14:paraId="2EA11E7C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5F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kujawsko-pomorskie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A82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F3E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B8E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456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E8FE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14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201180</w:t>
            </w:r>
          </w:p>
        </w:tc>
      </w:tr>
      <w:tr w:rsidR="00BC026D" w:rsidRPr="009F50B3" w14:paraId="5B12330D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410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lubelskie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9C6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2D2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162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6A20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4D2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10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135018</w:t>
            </w:r>
          </w:p>
        </w:tc>
      </w:tr>
      <w:tr w:rsidR="00BC026D" w:rsidRPr="009F50B3" w14:paraId="06FEF4FC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62B2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lubuskie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32D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06D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A65E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67F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9C3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42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38816</w:t>
            </w:r>
          </w:p>
        </w:tc>
      </w:tr>
      <w:tr w:rsidR="00BC026D" w:rsidRPr="009F50B3" w14:paraId="3E7EA784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42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łódzkie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371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A93F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AB7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6B9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42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7354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1EA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187667</w:t>
            </w:r>
          </w:p>
        </w:tc>
      </w:tr>
      <w:tr w:rsidR="00BC026D" w:rsidRPr="009F50B3" w14:paraId="6C30C66E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68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małopolskie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889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7D0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0E00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B4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84A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5C5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170796</w:t>
            </w:r>
          </w:p>
        </w:tc>
      </w:tr>
      <w:tr w:rsidR="00BC026D" w:rsidRPr="009F50B3" w14:paraId="4F0FE153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4CB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mazowieckie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F1E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1A8F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D2A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A132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C20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6874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19C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183597</w:t>
            </w:r>
          </w:p>
        </w:tc>
      </w:tr>
      <w:tr w:rsidR="00BC026D" w:rsidRPr="009F50B3" w14:paraId="79F44A47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005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opolskie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3B7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C00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C8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563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CA8F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A18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26566</w:t>
            </w:r>
          </w:p>
        </w:tc>
      </w:tr>
      <w:tr w:rsidR="00BC026D" w:rsidRPr="009F50B3" w14:paraId="6904102A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7E8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podkarpackie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E65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87E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732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7C30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FACE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819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141266</w:t>
            </w:r>
          </w:p>
        </w:tc>
      </w:tr>
      <w:tr w:rsidR="00BC026D" w:rsidRPr="009F50B3" w14:paraId="236F1DA0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AEF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podlaskie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3072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54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C37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5074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4E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55B0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42219</w:t>
            </w:r>
          </w:p>
        </w:tc>
      </w:tr>
      <w:tr w:rsidR="00BC026D" w:rsidRPr="009F50B3" w14:paraId="43E1E2CD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510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35F6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14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140F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B92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2BC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2852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4B2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92461</w:t>
            </w:r>
          </w:p>
        </w:tc>
      </w:tr>
      <w:tr w:rsidR="00BC026D" w:rsidRPr="009F50B3" w14:paraId="10F8802A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AA3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śląskie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E5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52C0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537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DA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E9C2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9598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B79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241212</w:t>
            </w:r>
          </w:p>
        </w:tc>
      </w:tr>
      <w:tr w:rsidR="00BC026D" w:rsidRPr="009F50B3" w14:paraId="28CA33A1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905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świętokrzyskie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459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0ECB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34E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DE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411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8CF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21751</w:t>
            </w:r>
          </w:p>
        </w:tc>
      </w:tr>
      <w:tr w:rsidR="00BC026D" w:rsidRPr="009F50B3" w14:paraId="519D7027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750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warmińsko-mazurskie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DA6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45E9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C0B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8B8C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3A8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72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55237</w:t>
            </w:r>
          </w:p>
        </w:tc>
      </w:tr>
      <w:tr w:rsidR="00BC026D" w:rsidRPr="009F50B3" w14:paraId="3B1D2A6C" w14:textId="77777777" w:rsidTr="00F662B2">
        <w:trPr>
          <w:trHeight w:val="43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71F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wielkopolskie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FCDB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152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70D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1EE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D3E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2881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9B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86251</w:t>
            </w:r>
          </w:p>
        </w:tc>
      </w:tr>
      <w:tr w:rsidR="00BC026D" w:rsidRPr="009F50B3" w14:paraId="11176D6D" w14:textId="77777777" w:rsidTr="00F662B2">
        <w:trPr>
          <w:trHeight w:val="40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3C0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zachodniopomorskie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2393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61C5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9238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250A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E167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EE0D" w14:textId="77777777" w:rsidR="00BC026D" w:rsidRPr="009F50B3" w:rsidRDefault="00BC026D" w:rsidP="00F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5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213688</w:t>
            </w:r>
          </w:p>
        </w:tc>
      </w:tr>
    </w:tbl>
    <w:p w14:paraId="4E76FF4D" w14:textId="6D93BEEB" w:rsidR="00BC026D" w:rsidRPr="00F662B2" w:rsidRDefault="00BC026D" w:rsidP="00E74D62">
      <w:pPr>
        <w:spacing w:after="120" w:line="240" w:lineRule="auto"/>
        <w:jc w:val="both"/>
        <w:rPr>
          <w:i/>
          <w:iCs/>
          <w:color w:val="44546A" w:themeColor="text2"/>
          <w:sz w:val="18"/>
          <w:szCs w:val="18"/>
        </w:rPr>
      </w:pPr>
      <w:r w:rsidRPr="00F662B2">
        <w:rPr>
          <w:i/>
          <w:iCs/>
          <w:color w:val="44546A" w:themeColor="text2"/>
          <w:sz w:val="18"/>
          <w:szCs w:val="18"/>
        </w:rPr>
        <w:t xml:space="preserve">Tabela </w:t>
      </w:r>
      <w:r>
        <w:rPr>
          <w:i/>
          <w:iCs/>
          <w:color w:val="44546A" w:themeColor="text2"/>
          <w:sz w:val="18"/>
          <w:szCs w:val="18"/>
        </w:rPr>
        <w:t>4</w:t>
      </w:r>
      <w:r w:rsidRPr="00F662B2">
        <w:rPr>
          <w:i/>
          <w:iCs/>
          <w:color w:val="44546A" w:themeColor="text2"/>
          <w:sz w:val="18"/>
          <w:szCs w:val="18"/>
        </w:rPr>
        <w:t>. Liczba oddziałów psychiatryczn</w:t>
      </w:r>
      <w:r>
        <w:rPr>
          <w:i/>
          <w:iCs/>
          <w:color w:val="44546A" w:themeColor="text2"/>
          <w:sz w:val="18"/>
          <w:szCs w:val="18"/>
        </w:rPr>
        <w:t>y</w:t>
      </w:r>
      <w:r w:rsidRPr="00F662B2">
        <w:rPr>
          <w:i/>
          <w:iCs/>
          <w:color w:val="44546A" w:themeColor="text2"/>
          <w:sz w:val="18"/>
          <w:szCs w:val="18"/>
        </w:rPr>
        <w:t xml:space="preserve">ch przy szpitalach ogólnych </w:t>
      </w:r>
      <w:r w:rsidRPr="00BC026D">
        <w:rPr>
          <w:i/>
          <w:iCs/>
          <w:color w:val="44546A" w:themeColor="text2"/>
          <w:sz w:val="18"/>
          <w:szCs w:val="18"/>
        </w:rPr>
        <w:t>w oparciu o dane ze statystyki publicznej</w:t>
      </w:r>
      <w:r w:rsidR="00174F11">
        <w:rPr>
          <w:i/>
          <w:iCs/>
          <w:color w:val="44546A" w:themeColor="text2"/>
          <w:sz w:val="18"/>
          <w:szCs w:val="18"/>
        </w:rPr>
        <w:t xml:space="preserve"> – 2018 r</w:t>
      </w:r>
      <w:r w:rsidRPr="00BC026D">
        <w:rPr>
          <w:i/>
          <w:iCs/>
          <w:color w:val="44546A" w:themeColor="text2"/>
          <w:sz w:val="18"/>
          <w:szCs w:val="18"/>
        </w:rPr>
        <w:t>.</w:t>
      </w:r>
    </w:p>
    <w:p w14:paraId="6B19D076" w14:textId="77777777" w:rsidR="002766C5" w:rsidRPr="005509DA" w:rsidRDefault="002766C5" w:rsidP="00843B15">
      <w:pPr>
        <w:pStyle w:val="Nagwek7"/>
        <w:rPr>
          <w:color w:val="0070C0"/>
          <w:lang w:eastAsia="pl-PL"/>
        </w:rPr>
      </w:pPr>
      <w:r w:rsidRPr="005509DA">
        <w:rPr>
          <w:color w:val="0070C0"/>
          <w:lang w:eastAsia="pl-PL"/>
        </w:rPr>
        <w:t>Finansowanie</w:t>
      </w:r>
    </w:p>
    <w:p w14:paraId="254CDAAC" w14:textId="77777777" w:rsidR="00F662B2" w:rsidRDefault="00ED5283" w:rsidP="00F662B2">
      <w:pPr>
        <w:spacing w:after="120"/>
        <w:jc w:val="both"/>
      </w:pPr>
      <w:r w:rsidRPr="00F662B2">
        <w:t xml:space="preserve">Należy zauważyć, iż nakłady </w:t>
      </w:r>
      <w:r>
        <w:t xml:space="preserve">Narodowego Funduszu Zdrowia na </w:t>
      </w:r>
      <w:r>
        <w:rPr>
          <w:lang w:eastAsia="pl-PL"/>
        </w:rPr>
        <w:t xml:space="preserve">świadczenia </w:t>
      </w:r>
      <w:r>
        <w:t xml:space="preserve">psychiatryczne dla dorosłych udzielane w warunkach całodobowych systematycznie wzrastają. </w:t>
      </w:r>
    </w:p>
    <w:p w14:paraId="5C19FAA4" w14:textId="77777777" w:rsidR="00F662B2" w:rsidRDefault="00F662B2" w:rsidP="00F662B2">
      <w:pPr>
        <w:spacing w:after="120"/>
        <w:jc w:val="both"/>
      </w:pPr>
    </w:p>
    <w:p w14:paraId="0922C5D3" w14:textId="77777777" w:rsidR="00F662B2" w:rsidRDefault="00F662B2" w:rsidP="00F662B2">
      <w:pPr>
        <w:spacing w:after="120"/>
        <w:jc w:val="both"/>
      </w:pPr>
    </w:p>
    <w:p w14:paraId="6051C374" w14:textId="77777777" w:rsidR="00F662B2" w:rsidRDefault="00F662B2" w:rsidP="00F662B2">
      <w:pPr>
        <w:spacing w:after="120"/>
        <w:jc w:val="both"/>
      </w:pPr>
    </w:p>
    <w:p w14:paraId="6DC82574" w14:textId="77777777" w:rsidR="00F662B2" w:rsidRDefault="00F662B2" w:rsidP="00F662B2">
      <w:pPr>
        <w:spacing w:after="120"/>
        <w:jc w:val="both"/>
      </w:pPr>
    </w:p>
    <w:p w14:paraId="0A92262A" w14:textId="3BC41E38" w:rsidR="003507AA" w:rsidRDefault="00ED5283" w:rsidP="00F662B2">
      <w:pPr>
        <w:spacing w:after="120"/>
        <w:jc w:val="both"/>
      </w:pPr>
      <w:r>
        <w:lastRenderedPageBreak/>
        <w:t xml:space="preserve">Poniżej w tabeli przedstawiono </w:t>
      </w:r>
      <w:r w:rsidR="00D73483">
        <w:t>nakłady</w:t>
      </w:r>
      <w:r>
        <w:t xml:space="preserve"> na poszczególne </w:t>
      </w:r>
      <w:r w:rsidR="00D73483">
        <w:t>zakresy</w:t>
      </w:r>
      <w:r>
        <w:t xml:space="preserve"> świadczeń w latach 2016-2019.</w:t>
      </w:r>
    </w:p>
    <w:tbl>
      <w:tblPr>
        <w:tblW w:w="10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1701"/>
        <w:gridCol w:w="1843"/>
        <w:gridCol w:w="1843"/>
      </w:tblGrid>
      <w:tr w:rsidR="00ED5283" w:rsidRPr="00ED5283" w14:paraId="0F7C0490" w14:textId="77777777" w:rsidTr="00F662B2">
        <w:trPr>
          <w:trHeight w:val="255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4A581590" w14:textId="77777777" w:rsidR="00ED5283" w:rsidRPr="00ED5283" w:rsidRDefault="00ED5283" w:rsidP="00E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zakresu świadczeń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304003FD" w14:textId="77777777" w:rsidR="00ED5283" w:rsidRPr="00ED5283" w:rsidRDefault="00ED5283" w:rsidP="00E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22E5D01D" w14:textId="77777777" w:rsidR="00ED5283" w:rsidRPr="00ED5283" w:rsidRDefault="00ED5283" w:rsidP="00E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656D9BC9" w14:textId="77777777" w:rsidR="00ED5283" w:rsidRPr="00ED5283" w:rsidRDefault="00ED5283" w:rsidP="00E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38FE5127" w14:textId="77777777" w:rsidR="00ED5283" w:rsidRPr="00ED5283" w:rsidRDefault="00ED5283" w:rsidP="00E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2019</w:t>
            </w:r>
          </w:p>
        </w:tc>
      </w:tr>
      <w:tr w:rsidR="00ED5283" w:rsidRPr="00ED5283" w14:paraId="0490B8EC" w14:textId="77777777" w:rsidTr="00F662B2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AF0D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PSYCHIATRYCZNE DLA DOROSŁYCH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5C0A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750 870 208,18 zł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CF10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760 430 730,71 zł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7414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766 158 781,79 zł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DFE3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699 640 514,26 zł </w:t>
            </w:r>
          </w:p>
        </w:tc>
      </w:tr>
      <w:tr w:rsidR="00ED5283" w:rsidRPr="00ED5283" w14:paraId="65DDD59C" w14:textId="77777777" w:rsidTr="00F662B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E4B7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ZABURZEŃ NERWICOWYCH DLA DOROSŁYCH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160C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30 254 372,85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4D6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29 276 578,79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2D7D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30 317 029,59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3A4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33 328 913,28 zł </w:t>
            </w:r>
          </w:p>
        </w:tc>
      </w:tr>
      <w:tr w:rsidR="00ED5283" w:rsidRPr="00ED5283" w14:paraId="4E5CA0EE" w14:textId="77777777" w:rsidTr="00F662B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A568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PSYCHIATRYCZNE DLA CHORYCH SOMATYCZNIE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3132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23 963 743,89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74C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23 700 791,16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F7EC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23 050 760,93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065B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22 563 642,29 zł </w:t>
            </w:r>
          </w:p>
        </w:tc>
      </w:tr>
      <w:tr w:rsidR="00ED5283" w:rsidRPr="00ED5283" w14:paraId="2BB72E0E" w14:textId="77777777" w:rsidTr="00F662B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BC6D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PSYCHOGERIATRYCZNE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8600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46 269 251,28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9720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46 714 280,19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7A78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51 606 968,93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313F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55 475 140,25 zł </w:t>
            </w:r>
          </w:p>
        </w:tc>
      </w:tr>
      <w:tr w:rsidR="00ED5283" w:rsidRPr="00ED5283" w14:paraId="05C52771" w14:textId="77777777" w:rsidTr="00F662B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A5B4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PSYCHIATRYCZNE DLA PRZEWLEKLE CHORYCH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C356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12 774 136,00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EA8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13 018 768,90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782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13 155 068,77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6651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12 776 949,03 zł </w:t>
            </w:r>
          </w:p>
        </w:tc>
      </w:tr>
      <w:tr w:rsidR="00ED5283" w:rsidRPr="00ED5283" w14:paraId="75057F45" w14:textId="77777777" w:rsidTr="00F662B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D0D2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W PSYCHIATRII SĄDOWEJ W WARUNKACH PODSTAWOWEGO ZABEZPIECZENIA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0007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71 906 592,59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CA36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78 756 305,30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3FE6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91 750 591,03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2EF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105 400 423,25 zł </w:t>
            </w:r>
          </w:p>
        </w:tc>
      </w:tr>
      <w:tr w:rsidR="00ED5283" w:rsidRPr="00ED5283" w14:paraId="53F6D758" w14:textId="77777777" w:rsidTr="00F662B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7FF6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W PSYCHIATRII SĄDOWEJ W WARUNKACH WZMOCNIONEGO ZABEZPIECZENIA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F0FD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79 575 245,82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CDAF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84 832 188,70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A01E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94 158 244,66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8E2B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106 111 041,00 zł </w:t>
            </w:r>
          </w:p>
        </w:tc>
      </w:tr>
      <w:tr w:rsidR="00ED5283" w:rsidRPr="00ED5283" w14:paraId="387B97FE" w14:textId="77777777" w:rsidTr="00F662B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F00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W IZBIE PRZYJĘĆ SZPITALA (RYCZAŁT DOBOWY)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D948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16 258 785,06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8787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17 113 866,50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4737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23 019 688,73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0EE0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30 301 523,46 zł </w:t>
            </w:r>
          </w:p>
        </w:tc>
      </w:tr>
      <w:tr w:rsidR="00ED5283" w:rsidRPr="00ED5283" w14:paraId="761568E1" w14:textId="77777777" w:rsidTr="00F662B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C569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PIELĘGNACYJNO-OPIEKUŃCZE PSYCHIATRYCZNE DLA DOROSŁYCH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AB0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12 054 693,00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615B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12 523 467,44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BDB8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13 416 091,25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7A3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14 487 295,71 zł </w:t>
            </w:r>
          </w:p>
        </w:tc>
      </w:tr>
      <w:tr w:rsidR="00ED5283" w:rsidRPr="00ED5283" w14:paraId="4D6DCBD4" w14:textId="77777777" w:rsidTr="00F662B2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8770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OPIEKUŃCZO-LECZNICZE PSYCHIATRYCZNE DLA DOROSŁYCH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90E8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166 430 290,92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D71D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172 211 309,41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4A3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187 606 334,62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9DA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207 246 927,62 zł </w:t>
            </w:r>
          </w:p>
        </w:tc>
      </w:tr>
      <w:tr w:rsidR="00ED5283" w:rsidRPr="00ED5283" w14:paraId="440315EC" w14:textId="77777777" w:rsidTr="00ED5283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2C5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PSYCHIATRYCZNE DLA DOROSŁYCH W CZP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FF5E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B501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-  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CADE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14 851 885,70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88E2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66 254 170,11 zł </w:t>
            </w:r>
          </w:p>
        </w:tc>
      </w:tr>
      <w:tr w:rsidR="00ED5283" w:rsidRPr="00ED5283" w14:paraId="16E4F220" w14:textId="77777777" w:rsidTr="00ED5283">
        <w:trPr>
          <w:trHeight w:val="255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33AF0BC6" w14:textId="77777777" w:rsidR="00ED5283" w:rsidRPr="00ED5283" w:rsidRDefault="00ED5283" w:rsidP="00E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7CC0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1 210 357 319,59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B913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1 238 578 287,10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FA3F" w14:textId="77777777" w:rsidR="00ED5283" w:rsidRPr="00ED5283" w:rsidRDefault="00ED5283" w:rsidP="00ED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1 309 091 446,00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35C1" w14:textId="77777777" w:rsidR="00ED5283" w:rsidRPr="00ED5283" w:rsidRDefault="00ED5283" w:rsidP="00F662B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5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1 353 586 540,26 zł </w:t>
            </w:r>
          </w:p>
        </w:tc>
      </w:tr>
    </w:tbl>
    <w:p w14:paraId="6E5E0362" w14:textId="6084EF95" w:rsidR="00ED5283" w:rsidRPr="00246BC7" w:rsidRDefault="003507AA" w:rsidP="00F662B2">
      <w:pPr>
        <w:pStyle w:val="Legenda"/>
        <w:rPr>
          <w:rFonts w:ascii="Arial" w:hAnsi="Arial" w:cs="Arial"/>
          <w:color w:val="000000"/>
          <w:sz w:val="20"/>
          <w:szCs w:val="20"/>
        </w:rPr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. </w:t>
      </w:r>
      <w:r w:rsidR="00D73483" w:rsidRPr="00020B75">
        <w:t xml:space="preserve">Nakłady na wybrane </w:t>
      </w:r>
      <w:r w:rsidR="00D73483">
        <w:t>zakresy</w:t>
      </w:r>
      <w:r w:rsidR="00D73483" w:rsidRPr="00020B75">
        <w:t xml:space="preserve"> świadczeń w latach 2016-2019. Zestawienie własne na podstawie danych NFZ</w:t>
      </w:r>
      <w:r w:rsidRPr="002258C6">
        <w:t>.</w:t>
      </w:r>
    </w:p>
    <w:p w14:paraId="54437DEA" w14:textId="77777777" w:rsidR="00F56E3D" w:rsidRPr="005509DA" w:rsidRDefault="002420A9" w:rsidP="00F72842">
      <w:pPr>
        <w:pStyle w:val="Nagwek6"/>
        <w:numPr>
          <w:ilvl w:val="1"/>
          <w:numId w:val="3"/>
        </w:numPr>
        <w:rPr>
          <w:color w:val="0070C0"/>
          <w:spacing w:val="-10"/>
          <w:kern w:val="28"/>
          <w:sz w:val="28"/>
          <w:szCs w:val="56"/>
        </w:rPr>
      </w:pPr>
      <w:r w:rsidRPr="005509DA">
        <w:rPr>
          <w:color w:val="0070C0"/>
          <w:spacing w:val="-10"/>
          <w:kern w:val="28"/>
          <w:sz w:val="28"/>
          <w:szCs w:val="56"/>
        </w:rPr>
        <w:t>Oddziały psychiatryczne całodobowe dla dzieci i młodzieży</w:t>
      </w:r>
    </w:p>
    <w:p w14:paraId="3C426442" w14:textId="77777777" w:rsidR="00F56E3D" w:rsidRPr="005509DA" w:rsidRDefault="00F56E3D" w:rsidP="00843B15">
      <w:pPr>
        <w:pStyle w:val="Nagwek7"/>
        <w:rPr>
          <w:color w:val="0070C0"/>
          <w:lang w:eastAsia="pl-PL"/>
        </w:rPr>
      </w:pPr>
      <w:r w:rsidRPr="005509DA">
        <w:rPr>
          <w:color w:val="0070C0"/>
          <w:lang w:eastAsia="pl-PL"/>
        </w:rPr>
        <w:t>Zakres wsparcia</w:t>
      </w:r>
    </w:p>
    <w:p w14:paraId="5A0D012E" w14:textId="076DB0FF" w:rsidR="00E53C16" w:rsidRDefault="00F56E3D" w:rsidP="008A0F0C">
      <w:pPr>
        <w:spacing w:after="120"/>
        <w:jc w:val="both"/>
        <w:rPr>
          <w:lang w:eastAsia="pl-PL"/>
        </w:rPr>
      </w:pPr>
      <w:r w:rsidRPr="00E952F6">
        <w:rPr>
          <w:lang w:eastAsia="pl-PL"/>
        </w:rPr>
        <w:t xml:space="preserve">Świadczenia </w:t>
      </w:r>
      <w:r w:rsidRPr="009D0D05">
        <w:rPr>
          <w:lang w:eastAsia="pl-PL"/>
        </w:rPr>
        <w:t xml:space="preserve">gwarantowane </w:t>
      </w:r>
      <w:r>
        <w:rPr>
          <w:lang w:eastAsia="pl-PL"/>
        </w:rPr>
        <w:t xml:space="preserve">opieki psychiatrycznej realizowane </w:t>
      </w:r>
      <w:r w:rsidRPr="00E952F6">
        <w:rPr>
          <w:lang w:eastAsia="pl-PL"/>
        </w:rPr>
        <w:t>w warunkach</w:t>
      </w:r>
      <w:r w:rsidRPr="009D0D05">
        <w:rPr>
          <w:lang w:eastAsia="pl-PL"/>
        </w:rPr>
        <w:t xml:space="preserve"> stacjonarnych udzielane</w:t>
      </w:r>
      <w:r w:rsidR="0006074A">
        <w:rPr>
          <w:lang w:eastAsia="pl-PL"/>
        </w:rPr>
        <w:t xml:space="preserve"> są dzieciom i młodzieży </w:t>
      </w:r>
      <w:r w:rsidRPr="009D0D05">
        <w:rPr>
          <w:lang w:eastAsia="pl-PL"/>
        </w:rPr>
        <w:t>w zakresie</w:t>
      </w:r>
      <w:r w:rsidR="00A36DA1">
        <w:rPr>
          <w:lang w:eastAsia="pl-PL"/>
        </w:rPr>
        <w:t xml:space="preserve"> </w:t>
      </w:r>
      <w:r w:rsidRPr="009D0D05">
        <w:rPr>
          <w:lang w:eastAsia="pl-PL"/>
        </w:rPr>
        <w:t>diagnostyki i leczenia</w:t>
      </w:r>
      <w:r w:rsidR="00A36DA1" w:rsidRPr="009D0D05" w:rsidDel="00A36DA1">
        <w:rPr>
          <w:lang w:eastAsia="pl-PL"/>
        </w:rPr>
        <w:t xml:space="preserve"> </w:t>
      </w:r>
      <w:r w:rsidRPr="009D0D05">
        <w:rPr>
          <w:lang w:eastAsia="pl-PL"/>
        </w:rPr>
        <w:t>zaburzeń psychicznych i zaburzeń zachowania (F00-F99)</w:t>
      </w:r>
      <w:r w:rsidR="00A36DA1">
        <w:rPr>
          <w:lang w:eastAsia="pl-PL"/>
        </w:rPr>
        <w:t xml:space="preserve">. Świadczenia całodobowe udzielane </w:t>
      </w:r>
      <w:r w:rsidR="00C41EB9">
        <w:rPr>
          <w:lang w:eastAsia="pl-PL"/>
        </w:rPr>
        <w:t>są</w:t>
      </w:r>
      <w:r w:rsidR="00A36DA1">
        <w:rPr>
          <w:lang w:eastAsia="pl-PL"/>
        </w:rPr>
        <w:t xml:space="preserve"> przede wszystkim </w:t>
      </w:r>
      <w:r w:rsidR="004327F4">
        <w:rPr>
          <w:lang w:eastAsia="pl-PL"/>
        </w:rPr>
        <w:t xml:space="preserve">na </w:t>
      </w:r>
      <w:r w:rsidR="00A36DA1">
        <w:rPr>
          <w:lang w:eastAsia="pl-PL"/>
        </w:rPr>
        <w:t>oddział</w:t>
      </w:r>
      <w:r w:rsidR="005861AD">
        <w:rPr>
          <w:lang w:eastAsia="pl-PL"/>
        </w:rPr>
        <w:t xml:space="preserve">ach </w:t>
      </w:r>
      <w:r w:rsidR="00A36DA1">
        <w:rPr>
          <w:lang w:eastAsia="pl-PL"/>
        </w:rPr>
        <w:t>psychiatrycznych</w:t>
      </w:r>
      <w:r w:rsidR="00F662B2">
        <w:rPr>
          <w:lang w:eastAsia="pl-PL"/>
        </w:rPr>
        <w:br/>
      </w:r>
      <w:r w:rsidR="00A36DA1">
        <w:rPr>
          <w:lang w:eastAsia="pl-PL"/>
        </w:rPr>
        <w:t>dla dzieci i młodzież</w:t>
      </w:r>
      <w:r w:rsidR="005861AD">
        <w:rPr>
          <w:lang w:eastAsia="pl-PL"/>
        </w:rPr>
        <w:t>y</w:t>
      </w:r>
      <w:r w:rsidR="00C41EB9">
        <w:rPr>
          <w:lang w:eastAsia="pl-PL"/>
        </w:rPr>
        <w:t xml:space="preserve">. </w:t>
      </w:r>
    </w:p>
    <w:p w14:paraId="3FF32D4F" w14:textId="35CD57E0" w:rsidR="0036551B" w:rsidRDefault="00E53C16" w:rsidP="008A0F0C">
      <w:pPr>
        <w:spacing w:after="120"/>
        <w:jc w:val="both"/>
        <w:rPr>
          <w:lang w:eastAsia="pl-PL"/>
        </w:rPr>
      </w:pPr>
      <w:r>
        <w:rPr>
          <w:lang w:eastAsia="pl-PL"/>
        </w:rPr>
        <w:t xml:space="preserve">Na oddziale psychiatrycznym pacjent znajduje się pod całodobową opieką lekarza psychiatry – specjalisty w dziedzinie psychiatrii dzieci i młodzieży oraz personelu pielęgniarskiego. Ma </w:t>
      </w:r>
      <w:r w:rsidR="0036551B">
        <w:rPr>
          <w:lang w:eastAsia="pl-PL"/>
        </w:rPr>
        <w:t>tak</w:t>
      </w:r>
      <w:r>
        <w:rPr>
          <w:lang w:eastAsia="pl-PL"/>
        </w:rPr>
        <w:t>że możliwość korzystania z psychoterapii</w:t>
      </w:r>
      <w:r w:rsidR="00E03EE4">
        <w:rPr>
          <w:lang w:eastAsia="pl-PL"/>
        </w:rPr>
        <w:t xml:space="preserve">, </w:t>
      </w:r>
      <w:r>
        <w:rPr>
          <w:lang w:eastAsia="pl-PL"/>
        </w:rPr>
        <w:t>terapii zajęciowej</w:t>
      </w:r>
      <w:r w:rsidR="00E03EE4">
        <w:rPr>
          <w:lang w:eastAsia="pl-PL"/>
        </w:rPr>
        <w:t xml:space="preserve"> oraz innych form pomocy dostosowanej </w:t>
      </w:r>
      <w:r w:rsidR="00FB298C">
        <w:rPr>
          <w:lang w:eastAsia="pl-PL"/>
        </w:rPr>
        <w:br/>
      </w:r>
      <w:r w:rsidR="00E03EE4">
        <w:rPr>
          <w:lang w:eastAsia="pl-PL"/>
        </w:rPr>
        <w:t>do potrzeb chorego</w:t>
      </w:r>
      <w:r w:rsidR="0036551B">
        <w:rPr>
          <w:lang w:eastAsia="pl-PL"/>
        </w:rPr>
        <w:t xml:space="preserve"> (np. terapia grupowa, trening komunikacji czy psychoedukacja)</w:t>
      </w:r>
      <w:r>
        <w:rPr>
          <w:lang w:eastAsia="pl-PL"/>
        </w:rPr>
        <w:t xml:space="preserve">. </w:t>
      </w:r>
      <w:r w:rsidR="0036551B">
        <w:rPr>
          <w:lang w:eastAsia="pl-PL"/>
        </w:rPr>
        <w:t>Oprócz diagnozy psychiatrycznej i psychologicznej, w</w:t>
      </w:r>
      <w:r w:rsidR="00E03EE4">
        <w:rPr>
          <w:lang w:eastAsia="pl-PL"/>
        </w:rPr>
        <w:t xml:space="preserve"> ramach hospitalizacji możliwe jest także wykonanie podstawowych badań laboratoryjnych, EKG czy badań dodatkowych mających na celu wykluczenie chorób ośrodkowego układu nerwowego (</w:t>
      </w:r>
      <w:r w:rsidR="0036551B">
        <w:rPr>
          <w:lang w:eastAsia="pl-PL"/>
        </w:rPr>
        <w:t xml:space="preserve">np. </w:t>
      </w:r>
      <w:r w:rsidR="00E03EE4">
        <w:rPr>
          <w:lang w:eastAsia="pl-PL"/>
        </w:rPr>
        <w:t>EEG, tomografia komputerowa, rezonans magnetyczny).</w:t>
      </w:r>
      <w:r w:rsidR="0036551B">
        <w:rPr>
          <w:lang w:eastAsia="pl-PL"/>
        </w:rPr>
        <w:t xml:space="preserve"> Pacjenci oddziałó</w:t>
      </w:r>
      <w:r w:rsidR="004103CA">
        <w:rPr>
          <w:lang w:eastAsia="pl-PL"/>
        </w:rPr>
        <w:t>w psychiatrycznych mają</w:t>
      </w:r>
      <w:r w:rsidR="0036551B">
        <w:rPr>
          <w:lang w:eastAsia="pl-PL"/>
        </w:rPr>
        <w:t xml:space="preserve"> także zapewniony dostęp do </w:t>
      </w:r>
      <w:r w:rsidR="0036551B" w:rsidRPr="0036551B">
        <w:rPr>
          <w:lang w:eastAsia="pl-PL"/>
        </w:rPr>
        <w:t>terenu przeznaczonego na cele rekreacyjne</w:t>
      </w:r>
      <w:r w:rsidR="0036551B">
        <w:rPr>
          <w:lang w:eastAsia="pl-PL"/>
        </w:rPr>
        <w:t>, gdzie mogą przebywać pod opieką personelu oddziału.</w:t>
      </w:r>
      <w:r w:rsidR="0027567F">
        <w:rPr>
          <w:lang w:eastAsia="pl-PL"/>
        </w:rPr>
        <w:t xml:space="preserve"> </w:t>
      </w:r>
      <w:r w:rsidR="0027567F" w:rsidRPr="0027567F">
        <w:rPr>
          <w:lang w:eastAsia="pl-PL"/>
        </w:rPr>
        <w:t>Zapewnienie możliwości nauczania należy do obowiązków szkół przyszpitalnych.</w:t>
      </w:r>
    </w:p>
    <w:p w14:paraId="6F1E033E" w14:textId="77777777" w:rsidR="00E53C16" w:rsidRDefault="004103CA" w:rsidP="008A0F0C">
      <w:pPr>
        <w:spacing w:after="120"/>
        <w:jc w:val="both"/>
        <w:rPr>
          <w:lang w:eastAsia="pl-PL"/>
        </w:rPr>
      </w:pPr>
      <w:r>
        <w:rPr>
          <w:lang w:eastAsia="pl-PL"/>
        </w:rPr>
        <w:t>Na</w:t>
      </w:r>
      <w:r w:rsidR="0036551B">
        <w:rPr>
          <w:lang w:eastAsia="pl-PL"/>
        </w:rPr>
        <w:t xml:space="preserve"> oddziałach</w:t>
      </w:r>
      <w:r>
        <w:rPr>
          <w:lang w:eastAsia="pl-PL"/>
        </w:rPr>
        <w:t xml:space="preserve"> całodobowych </w:t>
      </w:r>
      <w:r w:rsidR="0036551B">
        <w:rPr>
          <w:lang w:eastAsia="pl-PL"/>
        </w:rPr>
        <w:t xml:space="preserve">funkcjonują </w:t>
      </w:r>
      <w:r>
        <w:rPr>
          <w:lang w:eastAsia="pl-PL"/>
        </w:rPr>
        <w:t>sale obserwacyjne</w:t>
      </w:r>
      <w:r w:rsidR="0036551B">
        <w:rPr>
          <w:lang w:eastAsia="pl-PL"/>
        </w:rPr>
        <w:t xml:space="preserve"> przeznaczone dla pacjentów u których ryzyko zachowań </w:t>
      </w:r>
      <w:r>
        <w:rPr>
          <w:lang w:eastAsia="pl-PL"/>
        </w:rPr>
        <w:t>autoagresywnych</w:t>
      </w:r>
      <w:r w:rsidR="0036551B">
        <w:rPr>
          <w:lang w:eastAsia="pl-PL"/>
        </w:rPr>
        <w:t xml:space="preserve"> jest szczególnie nasilone. Istnieje także możliwość zastosowana przymusu bezpośredniego </w:t>
      </w:r>
      <w:r>
        <w:rPr>
          <w:lang w:eastAsia="pl-PL"/>
        </w:rPr>
        <w:t xml:space="preserve">wobec pacjentów </w:t>
      </w:r>
      <w:r w:rsidR="0036551B">
        <w:rPr>
          <w:lang w:eastAsia="pl-PL"/>
        </w:rPr>
        <w:t xml:space="preserve">na zasadach opisanych </w:t>
      </w:r>
      <w:r>
        <w:rPr>
          <w:lang w:eastAsia="pl-PL"/>
        </w:rPr>
        <w:t xml:space="preserve">w ustawie </w:t>
      </w:r>
      <w:r>
        <w:t xml:space="preserve">z dnia 19 sierpnia </w:t>
      </w:r>
      <w:r w:rsidR="00FB298C">
        <w:br/>
      </w:r>
      <w:r>
        <w:t>1994 r</w:t>
      </w:r>
      <w:r w:rsidR="00FB298C">
        <w:t>.</w:t>
      </w:r>
      <w:r>
        <w:rPr>
          <w:lang w:eastAsia="pl-PL"/>
        </w:rPr>
        <w:t xml:space="preserve"> o ochronie zdrowia psychicznego (Dz.U.</w:t>
      </w:r>
      <w:r w:rsidRPr="004103CA">
        <w:t xml:space="preserve"> </w:t>
      </w:r>
      <w:r>
        <w:t>2019 poz. 730).</w:t>
      </w:r>
    </w:p>
    <w:p w14:paraId="6D6F4FAA" w14:textId="77777777" w:rsidR="00F56E3D" w:rsidRPr="009D0D05" w:rsidRDefault="00E53C16" w:rsidP="008A0F0C">
      <w:pPr>
        <w:spacing w:after="120"/>
        <w:jc w:val="both"/>
        <w:rPr>
          <w:lang w:eastAsia="pl-PL"/>
        </w:rPr>
      </w:pPr>
      <w:r w:rsidRPr="00E53C16">
        <w:rPr>
          <w:lang w:eastAsia="pl-PL"/>
        </w:rPr>
        <w:lastRenderedPageBreak/>
        <w:t xml:space="preserve">W trakcie hospitalizacji </w:t>
      </w:r>
      <w:r>
        <w:rPr>
          <w:lang w:eastAsia="pl-PL"/>
        </w:rPr>
        <w:t xml:space="preserve">pacjenci </w:t>
      </w:r>
      <w:r w:rsidR="00E03EE4">
        <w:rPr>
          <w:lang w:eastAsia="pl-PL"/>
        </w:rPr>
        <w:t>objęci są opieką pedagogiczną i realizują obowiązek szkolny w ramach szkół przyszpitalnych</w:t>
      </w:r>
      <w:r w:rsidRPr="00E53C16">
        <w:rPr>
          <w:lang w:eastAsia="pl-PL"/>
        </w:rPr>
        <w:t>.</w:t>
      </w:r>
    </w:p>
    <w:p w14:paraId="62502D8F" w14:textId="77777777" w:rsidR="00F56E3D" w:rsidRPr="005509DA" w:rsidRDefault="00F56E3D" w:rsidP="00843B15">
      <w:pPr>
        <w:pStyle w:val="Nagwek7"/>
        <w:rPr>
          <w:color w:val="0070C0"/>
          <w:lang w:eastAsia="pl-PL"/>
        </w:rPr>
      </w:pPr>
      <w:r w:rsidRPr="005509DA">
        <w:rPr>
          <w:color w:val="0070C0"/>
          <w:lang w:eastAsia="pl-PL"/>
        </w:rPr>
        <w:t>Grupa docelowa</w:t>
      </w:r>
    </w:p>
    <w:p w14:paraId="38F0AA15" w14:textId="77777777" w:rsidR="00F56E3D" w:rsidRDefault="00EE03BD" w:rsidP="008A0F0C">
      <w:pPr>
        <w:spacing w:after="120"/>
        <w:jc w:val="both"/>
        <w:rPr>
          <w:lang w:eastAsia="pl-PL"/>
        </w:rPr>
      </w:pPr>
      <w:r w:rsidRPr="00E952F6">
        <w:rPr>
          <w:lang w:eastAsia="pl-PL"/>
        </w:rPr>
        <w:t xml:space="preserve">Świadczenia </w:t>
      </w:r>
      <w:r w:rsidRPr="009D0D05">
        <w:rPr>
          <w:lang w:eastAsia="pl-PL"/>
        </w:rPr>
        <w:t xml:space="preserve">gwarantowane </w:t>
      </w:r>
      <w:r>
        <w:rPr>
          <w:lang w:eastAsia="pl-PL"/>
        </w:rPr>
        <w:t xml:space="preserve">opieki psychiatrycznej realizowane </w:t>
      </w:r>
      <w:r w:rsidRPr="00E952F6">
        <w:rPr>
          <w:lang w:eastAsia="pl-PL"/>
        </w:rPr>
        <w:t>w warunkach</w:t>
      </w:r>
      <w:r w:rsidRPr="009D0D05">
        <w:rPr>
          <w:lang w:eastAsia="pl-PL"/>
        </w:rPr>
        <w:t xml:space="preserve"> stacjonarnych udzielane</w:t>
      </w:r>
      <w:r>
        <w:rPr>
          <w:lang w:eastAsia="pl-PL"/>
        </w:rPr>
        <w:t xml:space="preserve"> są dzieciom i młodzieży</w:t>
      </w:r>
      <w:r w:rsidR="004103CA">
        <w:rPr>
          <w:lang w:eastAsia="pl-PL"/>
        </w:rPr>
        <w:t>, kształcąc</w:t>
      </w:r>
      <w:r>
        <w:rPr>
          <w:lang w:eastAsia="pl-PL"/>
        </w:rPr>
        <w:t>ej</w:t>
      </w:r>
      <w:r w:rsidR="004103CA">
        <w:rPr>
          <w:lang w:eastAsia="pl-PL"/>
        </w:rPr>
        <w:t xml:space="preserve"> się w szkołach ponadpodstawowych do ich ukończenia</w:t>
      </w:r>
      <w:r w:rsidR="00F56E3D" w:rsidRPr="009D0D05">
        <w:rPr>
          <w:lang w:eastAsia="pl-PL"/>
        </w:rPr>
        <w:t>.</w:t>
      </w:r>
      <w:r w:rsidR="004103CA">
        <w:rPr>
          <w:lang w:eastAsia="pl-PL"/>
        </w:rPr>
        <w:t xml:space="preserve"> </w:t>
      </w:r>
      <w:r>
        <w:rPr>
          <w:lang w:eastAsia="pl-PL"/>
        </w:rPr>
        <w:t>Hospitalizacja może przebiegać w trybie nagłym (na podstawie decyzji lekarza psychiatry) lub planowym</w:t>
      </w:r>
      <w:r w:rsidR="0061441D">
        <w:rPr>
          <w:lang w:eastAsia="pl-PL"/>
        </w:rPr>
        <w:t xml:space="preserve"> </w:t>
      </w:r>
      <w:r>
        <w:rPr>
          <w:lang w:eastAsia="pl-PL"/>
        </w:rPr>
        <w:t>(po podstawie skierowania). Stany nagłe obejmują stany zagrożenia życia i zdrowia takie jak na przykład podjęcie przez chorego próby samobójczej lub zagrożenie wystąpienia takiej próby, czy występowania zaburzeń odżywiania przy BMI (</w:t>
      </w:r>
      <w:r w:rsidRPr="008A0F0C">
        <w:rPr>
          <w:lang w:eastAsia="pl-PL"/>
        </w:rPr>
        <w:t>body mass index</w:t>
      </w:r>
      <w:r>
        <w:rPr>
          <w:lang w:eastAsia="pl-PL"/>
        </w:rPr>
        <w:t>) poniżej 15 kg/m</w:t>
      </w:r>
      <w:r w:rsidRPr="00857715">
        <w:rPr>
          <w:vertAlign w:val="superscript"/>
          <w:lang w:eastAsia="pl-PL"/>
        </w:rPr>
        <w:t>2</w:t>
      </w:r>
      <w:r>
        <w:rPr>
          <w:lang w:eastAsia="pl-PL"/>
        </w:rPr>
        <w:t>. Przyjęcia planowe mogą być związane m.in. z koniecznością przeprowadzenia pogłębionej diagnozy psychiatrycznej, intensyfikacji działań terapeutycznych czy doboru właściwego leczenia farmakologicznego.</w:t>
      </w:r>
    </w:p>
    <w:p w14:paraId="03B9A706" w14:textId="77777777" w:rsidR="00C372E2" w:rsidRDefault="00C372E2" w:rsidP="008A0F0C">
      <w:pPr>
        <w:jc w:val="both"/>
      </w:pPr>
      <w:r>
        <w:rPr>
          <w:lang w:eastAsia="pl-PL"/>
        </w:rPr>
        <w:t>Oddzielne placówki przeznaczone są do terapii uzależnień oraz udzielania świadczeń psychiatrii sądowej w warunkach wzmocnionego zabezpieczenia.</w:t>
      </w:r>
    </w:p>
    <w:p w14:paraId="044937EC" w14:textId="77777777" w:rsidR="00343F5D" w:rsidRPr="005509DA" w:rsidRDefault="00343F5D" w:rsidP="008A0F0C">
      <w:pPr>
        <w:pStyle w:val="Nagwek7"/>
        <w:rPr>
          <w:color w:val="0070C0"/>
          <w:lang w:eastAsia="pl-PL"/>
        </w:rPr>
      </w:pPr>
      <w:r w:rsidRPr="005509DA">
        <w:rPr>
          <w:color w:val="0070C0"/>
          <w:lang w:eastAsia="pl-PL"/>
        </w:rPr>
        <w:t>Finansowanie</w:t>
      </w:r>
    </w:p>
    <w:p w14:paraId="2414CDCD" w14:textId="348AC20A" w:rsidR="003507AA" w:rsidRDefault="003507AA" w:rsidP="003507AA">
      <w:pPr>
        <w:spacing w:after="120"/>
        <w:jc w:val="both"/>
      </w:pPr>
      <w:r>
        <w:t>Podobnie jak w przypadku świadczeń dla osób dorosłych, n</w:t>
      </w:r>
      <w:r w:rsidRPr="00D61668">
        <w:t xml:space="preserve">akłady </w:t>
      </w:r>
      <w:r>
        <w:t xml:space="preserve">Zdrowia na </w:t>
      </w:r>
      <w:r>
        <w:rPr>
          <w:lang w:eastAsia="pl-PL"/>
        </w:rPr>
        <w:t xml:space="preserve">świadczenia </w:t>
      </w:r>
      <w:r>
        <w:t xml:space="preserve">psychiatryczne dla dzieci i młodzieży udzielane w warunkach całodobowych rosną. Poniżej w tabeli przedstawiono </w:t>
      </w:r>
      <w:r w:rsidR="00D73483">
        <w:t>nakłady</w:t>
      </w:r>
      <w:r>
        <w:t xml:space="preserve"> na poszczególne </w:t>
      </w:r>
      <w:r w:rsidR="00D73483">
        <w:t>zakresy</w:t>
      </w:r>
      <w:r>
        <w:t xml:space="preserve"> świadczeń w latach 2016-2019.</w:t>
      </w:r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18"/>
        <w:gridCol w:w="1417"/>
        <w:gridCol w:w="1559"/>
        <w:gridCol w:w="1560"/>
      </w:tblGrid>
      <w:tr w:rsidR="003507AA" w:rsidRPr="003507AA" w14:paraId="74AF3D5D" w14:textId="77777777" w:rsidTr="00D529DB">
        <w:trPr>
          <w:trHeight w:val="255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2AF24B85" w14:textId="77777777" w:rsidR="003507AA" w:rsidRPr="00F662B2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zakresu świadczeń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2C47F446" w14:textId="77777777" w:rsidR="003507AA" w:rsidRPr="00F662B2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5F72FBCB" w14:textId="77777777" w:rsidR="003507AA" w:rsidRPr="00F662B2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593276D5" w14:textId="77777777" w:rsidR="003507AA" w:rsidRPr="00F662B2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0005AC4A" w14:textId="77777777" w:rsidR="003507AA" w:rsidRPr="00F662B2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2019</w:t>
            </w:r>
          </w:p>
        </w:tc>
      </w:tr>
      <w:tr w:rsidR="003507AA" w:rsidRPr="003507AA" w14:paraId="23C175A8" w14:textId="77777777" w:rsidTr="00D529DB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189E" w14:textId="77777777" w:rsidR="003507AA" w:rsidRPr="00F662B2" w:rsidRDefault="003507AA" w:rsidP="0035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PSYCHIATRYCZNE DLA DZIECI I MŁODZIEŻY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22A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61 350 357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8B03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68 909 241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D646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82 880 377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BE949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99 591 870 zł</w:t>
            </w:r>
          </w:p>
        </w:tc>
      </w:tr>
      <w:tr w:rsidR="003507AA" w:rsidRPr="003507AA" w14:paraId="61CCB534" w14:textId="77777777" w:rsidTr="00D529D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633B" w14:textId="77777777" w:rsidR="003507AA" w:rsidRPr="00F662B2" w:rsidRDefault="003507AA" w:rsidP="0035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ZABURZEŃ NERWICOWYCH DLA DZIECI I MŁODZIEŻY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A6EC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5 057 932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996E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5 315 774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E7CE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5 609 736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D9151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6 925 302 zł</w:t>
            </w:r>
          </w:p>
        </w:tc>
      </w:tr>
      <w:tr w:rsidR="003507AA" w:rsidRPr="003507AA" w14:paraId="36DD5338" w14:textId="77777777" w:rsidTr="00D529DB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717F" w14:textId="77777777" w:rsidR="003507AA" w:rsidRPr="00F662B2" w:rsidRDefault="003507AA" w:rsidP="0035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W PSYCHIATRII SĄDOWEJ W WARUNKACH WZMOCNIONEGO ZABEZPIECZENIA DLA NIELETNICH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D44C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14 569 401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6C89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14 374 429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803C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16 154 549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F6E09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16 063 758 zł</w:t>
            </w:r>
          </w:p>
        </w:tc>
      </w:tr>
      <w:tr w:rsidR="003507AA" w:rsidRPr="003507AA" w14:paraId="4E994F95" w14:textId="77777777" w:rsidTr="00D529DB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603C" w14:textId="77777777" w:rsidR="003507AA" w:rsidRPr="00F662B2" w:rsidRDefault="003507AA" w:rsidP="0035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PIELĘGNACYJNO-OPIEKUŃCZE PSYCHIATRYCZNE DLA DZIECI I MŁODZIEŻY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647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1 797 999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64FF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2 566 436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4036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3 146 824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C97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3 727 724 zł</w:t>
            </w:r>
          </w:p>
        </w:tc>
      </w:tr>
      <w:tr w:rsidR="003507AA" w:rsidRPr="003507AA" w14:paraId="136A6F01" w14:textId="77777777" w:rsidTr="00D529DB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DFD7" w14:textId="77777777" w:rsidR="003507AA" w:rsidRPr="00F662B2" w:rsidRDefault="003507AA" w:rsidP="0035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OPIEKUŃCZO-LECZNICZE PSYCHIATRYCZNE DLA DZIECI I MŁODZIEŻY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3DB6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1 283 713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33C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1 351 467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D67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1 441 330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22A2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1 497 861 zł</w:t>
            </w:r>
          </w:p>
        </w:tc>
      </w:tr>
      <w:tr w:rsidR="003507AA" w:rsidRPr="003507AA" w14:paraId="512C522F" w14:textId="77777777" w:rsidTr="00D529D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75313E25" w14:textId="77777777" w:rsidR="003507AA" w:rsidRPr="00F662B2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07E6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84 059 401,33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0980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92 517 346,10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296" w14:textId="77777777" w:rsidR="003507AA" w:rsidRPr="00F662B2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109 232 815,47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B3A" w14:textId="77777777" w:rsidR="003507AA" w:rsidRPr="00F662B2" w:rsidRDefault="003507AA" w:rsidP="00F662B2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6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127 806 514,39 zł</w:t>
            </w:r>
          </w:p>
        </w:tc>
      </w:tr>
    </w:tbl>
    <w:p w14:paraId="688E39C5" w14:textId="30C9810D" w:rsidR="003507AA" w:rsidRDefault="003507AA" w:rsidP="00F662B2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.</w:t>
      </w:r>
      <w:r w:rsidR="00D73483" w:rsidRPr="00D73483">
        <w:t xml:space="preserve"> </w:t>
      </w:r>
      <w:r w:rsidR="00D73483" w:rsidRPr="00020B75">
        <w:t xml:space="preserve">Nakłady na wybrane </w:t>
      </w:r>
      <w:r w:rsidR="00D73483">
        <w:t>zakresy</w:t>
      </w:r>
      <w:r w:rsidR="00D73483" w:rsidRPr="00020B75">
        <w:t xml:space="preserve"> świadczeń w latach 2016-2019. Zestawienie własne na podstawie danych NFZ.</w:t>
      </w:r>
    </w:p>
    <w:p w14:paraId="023FE419" w14:textId="77777777" w:rsidR="003507AA" w:rsidRPr="00A90668" w:rsidRDefault="003507AA" w:rsidP="008A0F0C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6F099069" w14:textId="77777777" w:rsidR="00CD096E" w:rsidRPr="005509DA" w:rsidRDefault="00477971" w:rsidP="00F72842">
      <w:pPr>
        <w:pStyle w:val="Nagwek6"/>
        <w:numPr>
          <w:ilvl w:val="1"/>
          <w:numId w:val="3"/>
        </w:numPr>
        <w:rPr>
          <w:color w:val="0070C0"/>
          <w:spacing w:val="-10"/>
          <w:kern w:val="28"/>
          <w:sz w:val="28"/>
          <w:szCs w:val="56"/>
        </w:rPr>
      </w:pPr>
      <w:r w:rsidRPr="005509DA">
        <w:rPr>
          <w:color w:val="0070C0"/>
          <w:spacing w:val="-10"/>
          <w:kern w:val="28"/>
          <w:sz w:val="28"/>
          <w:szCs w:val="56"/>
        </w:rPr>
        <w:t>Świadczenia udzielane w warunkach</w:t>
      </w:r>
      <w:r w:rsidR="00CD096E" w:rsidRPr="005509DA">
        <w:rPr>
          <w:color w:val="0070C0"/>
          <w:spacing w:val="-10"/>
          <w:kern w:val="28"/>
          <w:sz w:val="28"/>
          <w:szCs w:val="56"/>
        </w:rPr>
        <w:t xml:space="preserve"> ambulatoryjn</w:t>
      </w:r>
      <w:r w:rsidRPr="005509DA">
        <w:rPr>
          <w:color w:val="0070C0"/>
          <w:spacing w:val="-10"/>
          <w:kern w:val="28"/>
          <w:sz w:val="28"/>
          <w:szCs w:val="56"/>
        </w:rPr>
        <w:t>ych</w:t>
      </w:r>
      <w:r w:rsidR="00F56E3D" w:rsidRPr="005509DA">
        <w:rPr>
          <w:color w:val="0070C0"/>
          <w:spacing w:val="-10"/>
          <w:kern w:val="28"/>
          <w:sz w:val="28"/>
          <w:szCs w:val="56"/>
        </w:rPr>
        <w:t xml:space="preserve"> dla dorosłych</w:t>
      </w:r>
    </w:p>
    <w:p w14:paraId="5CF5EF20" w14:textId="77777777" w:rsidR="00CD096E" w:rsidRPr="005509DA" w:rsidRDefault="00CD096E" w:rsidP="00CD096E">
      <w:pPr>
        <w:pStyle w:val="Nagwek7"/>
        <w:rPr>
          <w:color w:val="0070C0"/>
        </w:rPr>
      </w:pPr>
      <w:r w:rsidRPr="005509DA">
        <w:rPr>
          <w:color w:val="0070C0"/>
        </w:rPr>
        <w:t>Zakres wsparcia</w:t>
      </w:r>
    </w:p>
    <w:p w14:paraId="61E37684" w14:textId="77777777" w:rsidR="00E74D62" w:rsidRDefault="00E74D6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D25691">
        <w:rPr>
          <w:rFonts w:ascii="Calibri" w:eastAsia="Calibri" w:hAnsi="Calibri" w:cs="Calibri"/>
          <w:lang w:eastAsia="pl-PL"/>
        </w:rPr>
        <w:t xml:space="preserve">Świadczenia gwarantowane opieki psychiatrycznej realizowane w warunkach </w:t>
      </w:r>
      <w:r>
        <w:rPr>
          <w:rFonts w:ascii="Calibri" w:eastAsia="Calibri" w:hAnsi="Calibri" w:cs="Calibri"/>
          <w:lang w:eastAsia="pl-PL"/>
        </w:rPr>
        <w:t>ambulatoryjnych</w:t>
      </w:r>
      <w:r w:rsidRPr="00D25691">
        <w:rPr>
          <w:rFonts w:ascii="Calibri" w:eastAsia="Calibri" w:hAnsi="Calibri" w:cs="Calibri"/>
          <w:lang w:eastAsia="pl-PL"/>
        </w:rPr>
        <w:t xml:space="preserve"> udzielane są </w:t>
      </w:r>
      <w:r>
        <w:rPr>
          <w:rFonts w:ascii="Calibri" w:eastAsia="Calibri" w:hAnsi="Calibri" w:cs="Calibri"/>
          <w:lang w:eastAsia="pl-PL"/>
        </w:rPr>
        <w:t xml:space="preserve">pacjentom </w:t>
      </w:r>
      <w:r w:rsidRPr="00AC30DF">
        <w:rPr>
          <w:rFonts w:ascii="Calibri" w:eastAsia="Calibri" w:hAnsi="Calibri" w:cs="Calibri"/>
          <w:lang w:eastAsia="pl-PL"/>
        </w:rPr>
        <w:t xml:space="preserve">ze wszystkimi rodzajami zaburzeń psychicznych </w:t>
      </w:r>
      <w:r w:rsidRPr="00D25691">
        <w:rPr>
          <w:rFonts w:ascii="Calibri" w:eastAsia="Calibri" w:hAnsi="Calibri" w:cs="Calibri"/>
          <w:lang w:eastAsia="pl-PL"/>
        </w:rPr>
        <w:t xml:space="preserve">i zaburzeń zachowania </w:t>
      </w:r>
      <w:r>
        <w:rPr>
          <w:rFonts w:ascii="Calibri" w:eastAsia="Calibri" w:hAnsi="Calibri" w:cs="Calibri"/>
          <w:lang w:eastAsia="pl-PL"/>
        </w:rPr>
        <w:br/>
        <w:t>(F00-F99), a także może być prowa</w:t>
      </w:r>
      <w:r w:rsidRPr="00AC30DF">
        <w:rPr>
          <w:rFonts w:ascii="Calibri" w:eastAsia="Calibri" w:hAnsi="Calibri" w:cs="Calibri"/>
          <w:lang w:eastAsia="pl-PL"/>
        </w:rPr>
        <w:t>dzona obserwacja i badanie psychiatryczne diagno</w:t>
      </w:r>
      <w:r>
        <w:rPr>
          <w:rFonts w:ascii="Calibri" w:eastAsia="Calibri" w:hAnsi="Calibri" w:cs="Calibri"/>
          <w:lang w:eastAsia="pl-PL"/>
        </w:rPr>
        <w:t xml:space="preserve">styczne przypadków podejrzanych </w:t>
      </w:r>
      <w:r w:rsidRPr="00AC30DF">
        <w:rPr>
          <w:rFonts w:ascii="Calibri" w:eastAsia="Calibri" w:hAnsi="Calibri" w:cs="Calibri"/>
          <w:lang w:eastAsia="pl-PL"/>
        </w:rPr>
        <w:t>o z</w:t>
      </w:r>
      <w:r>
        <w:rPr>
          <w:rFonts w:ascii="Calibri" w:eastAsia="Calibri" w:hAnsi="Calibri" w:cs="Calibri"/>
          <w:lang w:eastAsia="pl-PL"/>
        </w:rPr>
        <w:t>aburzenia psychiczne (Z03 i Z04.</w:t>
      </w:r>
      <w:r w:rsidRPr="00AC30DF">
        <w:rPr>
          <w:rFonts w:ascii="Calibri" w:eastAsia="Calibri" w:hAnsi="Calibri" w:cs="Calibri"/>
          <w:lang w:eastAsia="pl-PL"/>
        </w:rPr>
        <w:t>6).</w:t>
      </w:r>
    </w:p>
    <w:p w14:paraId="6E468243" w14:textId="77777777" w:rsidR="00E74D62" w:rsidRPr="00D25691" w:rsidRDefault="00E74D6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D25691">
        <w:rPr>
          <w:rFonts w:ascii="Calibri" w:eastAsia="Calibri" w:hAnsi="Calibri" w:cs="Calibri"/>
          <w:lang w:eastAsia="pl-PL"/>
        </w:rPr>
        <w:t xml:space="preserve">Świadczenia </w:t>
      </w:r>
      <w:r>
        <w:rPr>
          <w:rFonts w:ascii="Calibri" w:eastAsia="Calibri" w:hAnsi="Calibri" w:cs="Calibri"/>
          <w:lang w:eastAsia="pl-PL"/>
        </w:rPr>
        <w:t>w warunkach ambulatoryjnych</w:t>
      </w:r>
      <w:r w:rsidRPr="00D25691">
        <w:rPr>
          <w:rFonts w:ascii="Calibri" w:eastAsia="Calibri" w:hAnsi="Calibri" w:cs="Calibri"/>
          <w:lang w:eastAsia="pl-PL"/>
        </w:rPr>
        <w:t xml:space="preserve"> udzielane są przede wszystkim </w:t>
      </w:r>
      <w:r>
        <w:rPr>
          <w:rFonts w:ascii="Calibri" w:eastAsia="Calibri" w:hAnsi="Calibri" w:cs="Calibri"/>
          <w:lang w:eastAsia="pl-PL"/>
        </w:rPr>
        <w:t>osobom nie wymagającym leczenia w warunkach całodobowych. Opieka realizowana jest w</w:t>
      </w:r>
      <w:r w:rsidR="00477971">
        <w:rPr>
          <w:rFonts w:ascii="Calibri" w:eastAsia="Calibri" w:hAnsi="Calibri" w:cs="Calibri"/>
          <w:lang w:eastAsia="pl-PL"/>
        </w:rPr>
        <w:t xml:space="preserve"> poradni zdrowia psychicznego </w:t>
      </w:r>
      <w:r w:rsidR="00FB298C">
        <w:rPr>
          <w:rFonts w:ascii="Calibri" w:eastAsia="Calibri" w:hAnsi="Calibri" w:cs="Calibri"/>
          <w:lang w:eastAsia="pl-PL"/>
        </w:rPr>
        <w:br/>
      </w:r>
      <w:r>
        <w:rPr>
          <w:rFonts w:ascii="Calibri" w:eastAsia="Calibri" w:hAnsi="Calibri" w:cs="Calibri"/>
          <w:lang w:eastAsia="pl-PL"/>
        </w:rPr>
        <w:t>i leczenia uzależnień.</w:t>
      </w:r>
      <w:r w:rsidRPr="00D25691">
        <w:rPr>
          <w:rFonts w:ascii="Calibri" w:eastAsia="Calibri" w:hAnsi="Calibri" w:cs="Calibri"/>
          <w:lang w:eastAsia="pl-PL"/>
        </w:rPr>
        <w:t xml:space="preserve"> </w:t>
      </w:r>
    </w:p>
    <w:p w14:paraId="22003C27" w14:textId="06037AC2" w:rsidR="00E74D62" w:rsidRDefault="00E74D6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lastRenderedPageBreak/>
        <w:t>P</w:t>
      </w:r>
      <w:r w:rsidRPr="00D25691">
        <w:rPr>
          <w:rFonts w:ascii="Calibri" w:eastAsia="Calibri" w:hAnsi="Calibri" w:cs="Calibri"/>
          <w:lang w:eastAsia="pl-PL"/>
        </w:rPr>
        <w:t xml:space="preserve">acjent </w:t>
      </w:r>
      <w:r>
        <w:rPr>
          <w:rFonts w:ascii="Calibri" w:eastAsia="Calibri" w:hAnsi="Calibri" w:cs="Calibri"/>
          <w:lang w:eastAsia="pl-PL"/>
        </w:rPr>
        <w:t xml:space="preserve">w ramach poradni zdrowia psychicznego ma możliwość skorzystania z bezpłatnych porad </w:t>
      </w:r>
      <w:r>
        <w:rPr>
          <w:rFonts w:ascii="Calibri" w:eastAsia="Calibri" w:hAnsi="Calibri" w:cs="Calibri"/>
          <w:lang w:eastAsia="pl-PL"/>
        </w:rPr>
        <w:br/>
        <w:t xml:space="preserve">(w zakresie diagnozy, terapii), wizyt domowych oraz sesji psychoterapii (indywidualnej, grupowej lub rodzinnej). </w:t>
      </w:r>
      <w:r w:rsidRPr="00980538">
        <w:rPr>
          <w:rFonts w:ascii="Calibri" w:eastAsia="Calibri" w:hAnsi="Calibri" w:cs="Calibri"/>
          <w:lang w:eastAsia="pl-PL"/>
        </w:rPr>
        <w:t>Do poradni na wizytę u psychiatry nie jest wymagane skierowanie.</w:t>
      </w:r>
      <w:r>
        <w:rPr>
          <w:rFonts w:ascii="Calibri" w:eastAsia="Calibri" w:hAnsi="Calibri" w:cs="Calibri"/>
          <w:lang w:eastAsia="pl-PL"/>
        </w:rPr>
        <w:t xml:space="preserve"> </w:t>
      </w:r>
      <w:r w:rsidRPr="00CD00E8">
        <w:rPr>
          <w:rFonts w:ascii="Calibri" w:eastAsia="Calibri" w:hAnsi="Calibri" w:cs="Calibri"/>
          <w:lang w:eastAsia="pl-PL"/>
        </w:rPr>
        <w:t xml:space="preserve">Natomiast </w:t>
      </w:r>
      <w:r>
        <w:rPr>
          <w:rFonts w:ascii="Calibri" w:eastAsia="Calibri" w:hAnsi="Calibri" w:cs="Calibri"/>
          <w:lang w:eastAsia="pl-PL"/>
        </w:rPr>
        <w:t xml:space="preserve">na wizytę </w:t>
      </w:r>
      <w:r>
        <w:rPr>
          <w:rFonts w:ascii="Calibri" w:eastAsia="Calibri" w:hAnsi="Calibri" w:cs="Calibri"/>
          <w:lang w:eastAsia="pl-PL"/>
        </w:rPr>
        <w:br/>
        <w:t xml:space="preserve">u </w:t>
      </w:r>
      <w:r w:rsidRPr="00A224C3">
        <w:rPr>
          <w:rFonts w:ascii="Calibri" w:eastAsia="Calibri" w:hAnsi="Calibri" w:cs="Calibri"/>
          <w:lang w:eastAsia="pl-PL"/>
        </w:rPr>
        <w:t>psychologa i psychoterapeuty wymagane jest skierowanie od lek</w:t>
      </w:r>
      <w:r>
        <w:rPr>
          <w:rFonts w:ascii="Calibri" w:eastAsia="Calibri" w:hAnsi="Calibri" w:cs="Calibri"/>
          <w:lang w:eastAsia="pl-PL"/>
        </w:rPr>
        <w:t>arza ubezpieczenia zdrowotnego.</w:t>
      </w:r>
    </w:p>
    <w:p w14:paraId="1ED61145" w14:textId="04CEDD33" w:rsidR="005A3828" w:rsidRPr="005A3828" w:rsidRDefault="005A3828" w:rsidP="005A3828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bookmarkStart w:id="10" w:name="mip51441503"/>
      <w:bookmarkStart w:id="11" w:name="_Hlk40263427"/>
      <w:bookmarkEnd w:id="10"/>
      <w:r w:rsidRPr="005A3828">
        <w:rPr>
          <w:rFonts w:ascii="Calibri" w:eastAsia="Calibri" w:hAnsi="Calibri" w:cs="Calibri"/>
          <w:lang w:eastAsia="pl-PL"/>
        </w:rPr>
        <w:t xml:space="preserve">W ramach poradni leczenia uzależnień pacjent ma możliwość skorzystania z bezpłatnych porad lekarskich, terapii prowadzonej przez specjalistę psychoterapii uzależnień, psychologa, psychoterapeutę lub instruktora terapii uzależnień. </w:t>
      </w:r>
    </w:p>
    <w:p w14:paraId="15615751" w14:textId="77777777" w:rsidR="005A3828" w:rsidRPr="005A3828" w:rsidRDefault="005A3828" w:rsidP="005A3828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5A3828">
        <w:rPr>
          <w:rFonts w:ascii="Calibri" w:eastAsia="Calibri" w:hAnsi="Calibri" w:cs="Calibri"/>
          <w:lang w:eastAsia="pl-PL"/>
        </w:rPr>
        <w:t>Podjęte działania mają prowadzić do abstynencji, która jest warunkiem niezbędnym do dalszego leczenia uzależnień. Zapewniane jest również profesjonalne wsparcie rodzinie osoby uzależnionej.</w:t>
      </w:r>
    </w:p>
    <w:p w14:paraId="0BBF005D" w14:textId="0F08AFC4" w:rsidR="00125842" w:rsidRDefault="005A3828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5A3828">
        <w:rPr>
          <w:rFonts w:ascii="Calibri" w:eastAsia="Calibri" w:hAnsi="Calibri" w:cs="Calibri"/>
          <w:lang w:eastAsia="pl-PL"/>
        </w:rPr>
        <w:t>W poradniach ustalany jest indywidualny plan terapeutyczny dobrany indywidualnie i adekwatnie do stanu psychofizycznego pacjenta uwzględniający leczenie farmakologiczne, psychoedukację, pomoc psychologiczną, różne formy psychoterapii. Kolejne wizyty służą monitorowaniu oceny stanu psychicznego i postępu leczenia. Częstość wizyt zależy od indywidualnych potrzeb pacjenta.</w:t>
      </w:r>
      <w:r w:rsidR="00A90668">
        <w:rPr>
          <w:rFonts w:ascii="Calibri" w:eastAsia="Calibri" w:hAnsi="Calibri" w:cs="Calibri"/>
          <w:lang w:eastAsia="pl-PL"/>
        </w:rPr>
        <w:t xml:space="preserve"> </w:t>
      </w:r>
    </w:p>
    <w:p w14:paraId="37D47DB3" w14:textId="0C381D6D" w:rsidR="005A3828" w:rsidRPr="00695B53" w:rsidRDefault="005A3828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W ramach leczenia </w:t>
      </w:r>
      <w:r w:rsidR="00A90668">
        <w:rPr>
          <w:rFonts w:ascii="Calibri" w:eastAsia="Calibri" w:hAnsi="Calibri" w:cs="Calibri"/>
          <w:lang w:eastAsia="pl-PL"/>
        </w:rPr>
        <w:t>a</w:t>
      </w:r>
      <w:r>
        <w:rPr>
          <w:rFonts w:ascii="Calibri" w:eastAsia="Calibri" w:hAnsi="Calibri" w:cs="Calibri"/>
          <w:lang w:eastAsia="pl-PL"/>
        </w:rPr>
        <w:t xml:space="preserve">mbulatoryjnego w psychiatrycznej opiece zdrowotnej należy wyszczególnić również </w:t>
      </w:r>
      <w:r w:rsidR="00A90668">
        <w:rPr>
          <w:rFonts w:ascii="Calibri" w:eastAsia="Calibri" w:hAnsi="Calibri" w:cs="Calibri"/>
          <w:lang w:eastAsia="pl-PL"/>
        </w:rPr>
        <w:t>z</w:t>
      </w:r>
      <w:r>
        <w:rPr>
          <w:rFonts w:ascii="Calibri" w:eastAsia="Calibri" w:hAnsi="Calibri" w:cs="Calibri"/>
          <w:lang w:eastAsia="pl-PL"/>
        </w:rPr>
        <w:t xml:space="preserve">espoły </w:t>
      </w:r>
      <w:r w:rsidR="00A90668">
        <w:rPr>
          <w:rFonts w:ascii="Calibri" w:eastAsia="Calibri" w:hAnsi="Calibri" w:cs="Calibri"/>
          <w:lang w:eastAsia="pl-PL"/>
        </w:rPr>
        <w:t>l</w:t>
      </w:r>
      <w:r>
        <w:rPr>
          <w:rFonts w:ascii="Calibri" w:eastAsia="Calibri" w:hAnsi="Calibri" w:cs="Calibri"/>
          <w:lang w:eastAsia="pl-PL"/>
        </w:rPr>
        <w:t xml:space="preserve">eczenia </w:t>
      </w:r>
      <w:r w:rsidR="000E07C7">
        <w:rPr>
          <w:rFonts w:ascii="Calibri" w:eastAsia="Calibri" w:hAnsi="Calibri" w:cs="Calibri"/>
          <w:lang w:eastAsia="pl-PL"/>
        </w:rPr>
        <w:t>środowiskowego</w:t>
      </w:r>
      <w:r>
        <w:rPr>
          <w:rFonts w:ascii="Calibri" w:eastAsia="Calibri" w:hAnsi="Calibri" w:cs="Calibri"/>
          <w:lang w:eastAsia="pl-PL"/>
        </w:rPr>
        <w:t>. Jest to f</w:t>
      </w:r>
      <w:r w:rsidRPr="00397E3E">
        <w:rPr>
          <w:rFonts w:ascii="Calibri" w:eastAsia="Calibri" w:hAnsi="Calibri" w:cs="Calibri"/>
          <w:lang w:eastAsia="pl-PL"/>
        </w:rPr>
        <w:t>orma terapii dla osób z przewlekłymi zaburzeniami psychicznymi.</w:t>
      </w:r>
      <w:r>
        <w:rPr>
          <w:rFonts w:ascii="Calibri" w:eastAsia="Calibri" w:hAnsi="Calibri" w:cs="Calibri"/>
          <w:lang w:eastAsia="pl-PL"/>
        </w:rPr>
        <w:t xml:space="preserve"> Zespoły Leczenia Środowiskowego są</w:t>
      </w:r>
      <w:r w:rsidRPr="00397E3E">
        <w:rPr>
          <w:rFonts w:ascii="Calibri" w:eastAsia="Calibri" w:hAnsi="Calibri" w:cs="Calibri"/>
          <w:lang w:eastAsia="pl-PL"/>
        </w:rPr>
        <w:t xml:space="preserve"> najczęściej jednostką organizacyjną szpitala psychiatrycznego, Poradni Zdrowia Psychicznego lub Zakładu Opieki Zdrowotnej. Podstawową formą kontaktu są wizyty domowe.</w:t>
      </w:r>
      <w:r>
        <w:rPr>
          <w:rFonts w:ascii="Calibri" w:eastAsia="Calibri" w:hAnsi="Calibri" w:cs="Calibri"/>
          <w:lang w:eastAsia="pl-PL"/>
        </w:rPr>
        <w:t xml:space="preserve"> Zespoły Leczenia Środowiskowego pełni</w:t>
      </w:r>
      <w:r w:rsidR="004327F4">
        <w:rPr>
          <w:rFonts w:ascii="Calibri" w:eastAsia="Calibri" w:hAnsi="Calibri" w:cs="Calibri"/>
          <w:lang w:eastAsia="pl-PL"/>
        </w:rPr>
        <w:t>ą</w:t>
      </w:r>
      <w:r>
        <w:rPr>
          <w:rFonts w:ascii="Calibri" w:eastAsia="Calibri" w:hAnsi="Calibri" w:cs="Calibri"/>
          <w:lang w:eastAsia="pl-PL"/>
        </w:rPr>
        <w:t xml:space="preserve"> niezwykle istotną funkcj</w:t>
      </w:r>
      <w:r w:rsidR="004327F4">
        <w:rPr>
          <w:rFonts w:ascii="Calibri" w:eastAsia="Calibri" w:hAnsi="Calibri" w:cs="Calibri"/>
          <w:lang w:eastAsia="pl-PL"/>
        </w:rPr>
        <w:t>ę</w:t>
      </w:r>
      <w:r>
        <w:rPr>
          <w:rFonts w:ascii="Calibri" w:eastAsia="Calibri" w:hAnsi="Calibri" w:cs="Calibri"/>
          <w:lang w:eastAsia="pl-PL"/>
        </w:rPr>
        <w:t xml:space="preserve"> </w:t>
      </w:r>
      <w:r w:rsidR="001F584D">
        <w:rPr>
          <w:rFonts w:ascii="Calibri" w:eastAsia="Calibri" w:hAnsi="Calibri" w:cs="Calibri"/>
          <w:lang w:eastAsia="pl-PL"/>
        </w:rPr>
        <w:br/>
      </w:r>
      <w:r>
        <w:rPr>
          <w:rFonts w:ascii="Calibri" w:eastAsia="Calibri" w:hAnsi="Calibri" w:cs="Calibri"/>
          <w:lang w:eastAsia="pl-PL"/>
        </w:rPr>
        <w:t>w środowiskowym modelu psychiatrycznej opieki zdrowotnej.</w:t>
      </w:r>
      <w:r w:rsidR="00173229">
        <w:rPr>
          <w:rFonts w:ascii="Calibri" w:eastAsia="Calibri" w:hAnsi="Calibri" w:cs="Calibri"/>
          <w:lang w:eastAsia="pl-PL"/>
        </w:rPr>
        <w:t xml:space="preserve"> </w:t>
      </w:r>
    </w:p>
    <w:bookmarkEnd w:id="11"/>
    <w:p w14:paraId="79F407CB" w14:textId="77777777" w:rsidR="00CD096E" w:rsidRPr="005509DA" w:rsidRDefault="00CD096E" w:rsidP="00CD096E">
      <w:pPr>
        <w:pStyle w:val="Nagwek7"/>
        <w:rPr>
          <w:color w:val="0070C0"/>
        </w:rPr>
      </w:pPr>
      <w:r w:rsidRPr="005509DA">
        <w:rPr>
          <w:color w:val="0070C0"/>
        </w:rPr>
        <w:t xml:space="preserve">Grupa docelowa </w:t>
      </w:r>
    </w:p>
    <w:p w14:paraId="21DBE352" w14:textId="77777777" w:rsidR="00E74D62" w:rsidRDefault="00E74D62" w:rsidP="00E74D6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D25691">
        <w:rPr>
          <w:rFonts w:ascii="Calibri" w:eastAsia="Calibri" w:hAnsi="Calibri" w:cs="Calibri"/>
          <w:lang w:eastAsia="pl-PL"/>
        </w:rPr>
        <w:t xml:space="preserve">Świadczenia gwarantowane opieki psychiatrycznej realizowane w warunkach </w:t>
      </w:r>
      <w:r>
        <w:rPr>
          <w:rFonts w:ascii="Calibri" w:eastAsia="Calibri" w:hAnsi="Calibri" w:cs="Calibri"/>
          <w:lang w:eastAsia="pl-PL"/>
        </w:rPr>
        <w:t>ambulatoryjnych</w:t>
      </w:r>
      <w:r w:rsidRPr="00D25691">
        <w:rPr>
          <w:rFonts w:ascii="Calibri" w:eastAsia="Calibri" w:hAnsi="Calibri" w:cs="Calibri"/>
          <w:lang w:eastAsia="pl-PL"/>
        </w:rPr>
        <w:t xml:space="preserve"> udzielane są</w:t>
      </w:r>
      <w:r>
        <w:rPr>
          <w:rFonts w:ascii="Calibri" w:eastAsia="Calibri" w:hAnsi="Calibri" w:cs="Calibri"/>
          <w:lang w:eastAsia="pl-PL"/>
        </w:rPr>
        <w:t xml:space="preserve"> osobom dorosłym, w tym osobom m.in. z nerwicami, związanymi ze stresem, zaburzeniami osobowości, zaburzeniami preferencji seksualnych, z</w:t>
      </w:r>
      <w:r w:rsidRPr="00C525C2">
        <w:rPr>
          <w:rFonts w:ascii="Calibri" w:eastAsia="Calibri" w:hAnsi="Calibri" w:cs="Calibri"/>
          <w:lang w:eastAsia="pl-PL"/>
        </w:rPr>
        <w:t>aburzenia</w:t>
      </w:r>
      <w:r>
        <w:rPr>
          <w:rFonts w:ascii="Calibri" w:eastAsia="Calibri" w:hAnsi="Calibri" w:cs="Calibri"/>
          <w:lang w:eastAsia="pl-PL"/>
        </w:rPr>
        <w:t>mi</w:t>
      </w:r>
      <w:r w:rsidRPr="00C525C2"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 xml:space="preserve">spowodowanymi </w:t>
      </w:r>
      <w:r w:rsidRPr="00C525C2">
        <w:rPr>
          <w:rFonts w:ascii="Calibri" w:eastAsia="Calibri" w:hAnsi="Calibri" w:cs="Calibri"/>
          <w:lang w:eastAsia="pl-PL"/>
        </w:rPr>
        <w:t>używaniem substancji psychoaktywnych</w:t>
      </w:r>
      <w:r>
        <w:rPr>
          <w:rFonts w:ascii="Calibri" w:eastAsia="Calibri" w:hAnsi="Calibri" w:cs="Calibri"/>
          <w:lang w:eastAsia="pl-PL"/>
        </w:rPr>
        <w:t>, używaniem alkoholu.</w:t>
      </w:r>
    </w:p>
    <w:p w14:paraId="0BAC7BE9" w14:textId="77777777" w:rsidR="00CD096E" w:rsidRPr="005509DA" w:rsidRDefault="00CD096E" w:rsidP="00CD096E">
      <w:pPr>
        <w:pStyle w:val="Nagwek6"/>
        <w:rPr>
          <w:b w:val="0"/>
          <w:i/>
          <w:color w:val="0070C0"/>
        </w:rPr>
      </w:pPr>
      <w:r w:rsidRPr="005509DA">
        <w:rPr>
          <w:b w:val="0"/>
          <w:i/>
          <w:color w:val="0070C0"/>
        </w:rPr>
        <w:t>Finansowanie</w:t>
      </w:r>
    </w:p>
    <w:p w14:paraId="731A592E" w14:textId="3EEEAEC3" w:rsidR="00E74D62" w:rsidRPr="001F584D" w:rsidRDefault="00E74D62" w:rsidP="001F584D">
      <w:pPr>
        <w:spacing w:after="120"/>
        <w:jc w:val="both"/>
      </w:pPr>
      <w:r w:rsidRPr="00D25691">
        <w:rPr>
          <w:rFonts w:ascii="Calibri" w:eastAsia="Calibri" w:hAnsi="Calibri" w:cs="Calibri"/>
          <w:lang w:eastAsia="pl-PL"/>
        </w:rPr>
        <w:t xml:space="preserve">Zgodnie z danymi Narodowego Funduszu Zdrowia nakłady na świadczenia </w:t>
      </w:r>
      <w:r w:rsidRPr="00D25691">
        <w:rPr>
          <w:rFonts w:ascii="Calibri" w:eastAsia="Calibri" w:hAnsi="Calibri" w:cs="Calibri"/>
        </w:rPr>
        <w:t xml:space="preserve">psychiatryczne </w:t>
      </w:r>
      <w:r>
        <w:rPr>
          <w:rFonts w:ascii="Calibri" w:eastAsia="Calibri" w:hAnsi="Calibri" w:cs="Calibri"/>
        </w:rPr>
        <w:t xml:space="preserve">dla dorosłych </w:t>
      </w:r>
      <w:r w:rsidRPr="00D25691">
        <w:rPr>
          <w:rFonts w:ascii="Calibri" w:eastAsia="Calibri" w:hAnsi="Calibri" w:cs="Calibri"/>
        </w:rPr>
        <w:t xml:space="preserve">udzielane w warunkach </w:t>
      </w:r>
      <w:r>
        <w:rPr>
          <w:rFonts w:ascii="Calibri" w:eastAsia="Calibri" w:hAnsi="Calibri" w:cs="Calibri"/>
        </w:rPr>
        <w:t>ambulatoryjnych</w:t>
      </w:r>
      <w:r w:rsidRPr="00D25691">
        <w:rPr>
          <w:rFonts w:ascii="Calibri" w:eastAsia="Calibri" w:hAnsi="Calibri" w:cs="Calibri"/>
        </w:rPr>
        <w:t xml:space="preserve"> </w:t>
      </w:r>
      <w:r w:rsidR="00D73483">
        <w:rPr>
          <w:rFonts w:ascii="Calibri" w:eastAsia="Calibri" w:hAnsi="Calibri" w:cs="Calibri"/>
        </w:rPr>
        <w:t xml:space="preserve">na przestrzeni lat wzrastają. </w:t>
      </w:r>
      <w:r w:rsidR="00D73483">
        <w:t>Poniżej w tabeli przedstawiono nakłady na poszczególne zakresy świadczeń w latach 2016-2019.</w:t>
      </w:r>
    </w:p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60"/>
        <w:gridCol w:w="1500"/>
        <w:gridCol w:w="1500"/>
        <w:gridCol w:w="1536"/>
      </w:tblGrid>
      <w:tr w:rsidR="003507AA" w:rsidRPr="003507AA" w14:paraId="53D5A2C8" w14:textId="77777777" w:rsidTr="001F584D">
        <w:trPr>
          <w:trHeight w:val="240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3227B64C" w14:textId="77777777" w:rsidR="003507AA" w:rsidRPr="003507AA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zakresu świadczeń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38895A2D" w14:textId="77777777" w:rsidR="003507AA" w:rsidRPr="003507AA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08553EA7" w14:textId="77777777" w:rsidR="003507AA" w:rsidRPr="003507AA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49513906" w14:textId="77777777" w:rsidR="003507AA" w:rsidRPr="003507AA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4C058966" w14:textId="77777777" w:rsidR="003507AA" w:rsidRPr="003507AA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2019</w:t>
            </w:r>
          </w:p>
        </w:tc>
      </w:tr>
      <w:tr w:rsidR="003507AA" w:rsidRPr="003507AA" w14:paraId="55A70CF9" w14:textId="77777777" w:rsidTr="001F584D">
        <w:trPr>
          <w:trHeight w:val="4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A110" w14:textId="77777777" w:rsidR="003507AA" w:rsidRPr="003507AA" w:rsidRDefault="003507AA" w:rsidP="0035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3DA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270 397 294 zł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F26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286 818 924 zł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D2F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289 174 892 zł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FC0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284 893 452 zł</w:t>
            </w:r>
          </w:p>
        </w:tc>
      </w:tr>
      <w:tr w:rsidR="003507AA" w:rsidRPr="003507AA" w14:paraId="00938F1C" w14:textId="77777777" w:rsidTr="001F584D">
        <w:trPr>
          <w:trHeight w:val="2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9D74" w14:textId="77777777" w:rsidR="003507AA" w:rsidRPr="003507AA" w:rsidRDefault="003507AA" w:rsidP="0035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PSYCHOLOGICZNE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B51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17 952 404 zł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EAC2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19 028 384 zł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9E4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20 019 128 zł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B95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24 749 156 zł</w:t>
            </w:r>
          </w:p>
        </w:tc>
      </w:tr>
      <w:tr w:rsidR="003507AA" w:rsidRPr="003507AA" w14:paraId="5D3BEEE9" w14:textId="77777777" w:rsidTr="001F584D">
        <w:trPr>
          <w:trHeight w:val="2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DFB1" w14:textId="77777777" w:rsidR="003507AA" w:rsidRPr="003507AA" w:rsidRDefault="003507AA" w:rsidP="0035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ŚRODOWISKOWE (DOMOWE)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5DD3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34 695 951 zł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265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46 695 960 zł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661E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51 897 111 zł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562F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49 546 900 zł</w:t>
            </w:r>
          </w:p>
        </w:tc>
      </w:tr>
      <w:tr w:rsidR="003507AA" w:rsidRPr="003507AA" w14:paraId="146485C7" w14:textId="77777777" w:rsidTr="001F584D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566E" w14:textId="77777777" w:rsidR="003507AA" w:rsidRPr="003507AA" w:rsidRDefault="003507AA" w:rsidP="0035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ŚWIADCZENIA PSYCHIATRYCZNE AMBULATORYJNE DLA DOROSŁYCH W CZP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A87C" w14:textId="77777777" w:rsidR="003507AA" w:rsidRPr="003507AA" w:rsidRDefault="003507AA" w:rsidP="0035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4D73" w14:textId="77777777" w:rsidR="003507AA" w:rsidRPr="003507AA" w:rsidRDefault="003507AA" w:rsidP="0035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BA8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3 114 928 zł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BEA5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14 437 847 zł</w:t>
            </w:r>
          </w:p>
        </w:tc>
      </w:tr>
      <w:tr w:rsidR="003507AA" w:rsidRPr="003507AA" w14:paraId="5374C3F1" w14:textId="77777777" w:rsidTr="001F584D">
        <w:trPr>
          <w:trHeight w:val="2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6F6CE1DB" w14:textId="77777777" w:rsidR="003507AA" w:rsidRPr="003507AA" w:rsidRDefault="003507AA" w:rsidP="0035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8219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323 045 649,36 zł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D686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352 543 267,98 zł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333" w14:textId="77777777" w:rsidR="003507AA" w:rsidRPr="003507AA" w:rsidRDefault="003507AA" w:rsidP="00350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364 206 059,23 zł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3EEC" w14:textId="77777777" w:rsidR="003507AA" w:rsidRPr="003507AA" w:rsidRDefault="003507AA" w:rsidP="001F584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0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373 627 354,33 zł</w:t>
            </w:r>
          </w:p>
        </w:tc>
      </w:tr>
    </w:tbl>
    <w:p w14:paraId="271888D8" w14:textId="4B2F6E82" w:rsidR="00DE2162" w:rsidRPr="008A0F0C" w:rsidRDefault="00D73483" w:rsidP="001F584D">
      <w:pPr>
        <w:pStyle w:val="Legenda"/>
        <w:rPr>
          <w:rFonts w:ascii="Arial" w:eastAsia="Calibri" w:hAnsi="Arial" w:cs="Arial"/>
          <w:b/>
          <w:color w:val="000000"/>
          <w:sz w:val="20"/>
          <w:szCs w:val="20"/>
        </w:rPr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. </w:t>
      </w:r>
      <w:r w:rsidRPr="00020B75">
        <w:t xml:space="preserve">Nakłady na wybrane </w:t>
      </w:r>
      <w:r>
        <w:t>zakresy</w:t>
      </w:r>
      <w:r w:rsidRPr="00020B75">
        <w:t xml:space="preserve"> świadczeń w latach 2016-2019. Zestawienie własne na podstawie danych NFZ.</w:t>
      </w:r>
    </w:p>
    <w:p w14:paraId="54DC3B1C" w14:textId="77777777" w:rsidR="00CD096E" w:rsidRPr="005509DA" w:rsidRDefault="00CD096E" w:rsidP="00F72842">
      <w:pPr>
        <w:pStyle w:val="Nagwek6"/>
        <w:numPr>
          <w:ilvl w:val="1"/>
          <w:numId w:val="3"/>
        </w:numPr>
        <w:rPr>
          <w:color w:val="0070C0"/>
          <w:spacing w:val="-10"/>
          <w:kern w:val="28"/>
          <w:sz w:val="28"/>
          <w:szCs w:val="56"/>
        </w:rPr>
      </w:pPr>
      <w:r w:rsidRPr="005509DA">
        <w:rPr>
          <w:color w:val="0070C0"/>
          <w:spacing w:val="-10"/>
          <w:kern w:val="28"/>
          <w:sz w:val="28"/>
          <w:szCs w:val="56"/>
        </w:rPr>
        <w:t>Oddziały dzienne psychiatryczne</w:t>
      </w:r>
      <w:r w:rsidR="00F56E3D" w:rsidRPr="005509DA">
        <w:rPr>
          <w:color w:val="0070C0"/>
          <w:spacing w:val="-10"/>
          <w:kern w:val="28"/>
          <w:sz w:val="28"/>
          <w:szCs w:val="56"/>
        </w:rPr>
        <w:t xml:space="preserve"> dla dorosłych</w:t>
      </w:r>
    </w:p>
    <w:p w14:paraId="1FD495B0" w14:textId="77777777" w:rsidR="00CD096E" w:rsidRPr="005509DA" w:rsidRDefault="00CD096E" w:rsidP="00CD096E">
      <w:pPr>
        <w:pStyle w:val="Nagwek7"/>
        <w:rPr>
          <w:color w:val="0070C0"/>
        </w:rPr>
      </w:pPr>
      <w:r w:rsidRPr="005509DA">
        <w:rPr>
          <w:color w:val="0070C0"/>
        </w:rPr>
        <w:t>Zakres wsparcia</w:t>
      </w:r>
    </w:p>
    <w:p w14:paraId="397F45B9" w14:textId="77777777" w:rsidR="00E74D62" w:rsidRDefault="00E74D62" w:rsidP="00E74D62">
      <w:pPr>
        <w:jc w:val="both"/>
      </w:pPr>
      <w:r w:rsidRPr="00C525C2">
        <w:t xml:space="preserve">Świadczenia gwarantowane opieki psychiatrycznej realizowane w warunkach </w:t>
      </w:r>
      <w:r>
        <w:t xml:space="preserve">dziennych udzielane są osobom powyżej 18 r. ż. </w:t>
      </w:r>
      <w:r w:rsidRPr="00C525C2">
        <w:t>w zakresie diagnostyki i leczenia z</w:t>
      </w:r>
      <w:r>
        <w:t xml:space="preserve">aburzeń psychicznych i zaburzeń </w:t>
      </w:r>
      <w:r w:rsidRPr="00C525C2">
        <w:t xml:space="preserve">zachowania </w:t>
      </w:r>
      <w:r>
        <w:lastRenderedPageBreak/>
        <w:t xml:space="preserve">(F00-F99), </w:t>
      </w:r>
      <w:r w:rsidRPr="00324D76">
        <w:t>z wyłączeniem: zaburzeń psychicznych i zaburzeń zachowania spowodowanych używaniem środków (substancji) psychoaktywnych (F10-F19) oraz upośledzenia umysłowego (F71-F79).</w:t>
      </w:r>
    </w:p>
    <w:p w14:paraId="62A29A4E" w14:textId="27296D37" w:rsidR="00E74D62" w:rsidRDefault="00277270" w:rsidP="00E74D62">
      <w:pPr>
        <w:jc w:val="both"/>
      </w:pPr>
      <w:r>
        <w:t xml:space="preserve">Ww. świadczenia </w:t>
      </w:r>
      <w:r w:rsidR="00E74D62" w:rsidRPr="00C525C2">
        <w:t>udzielane są przede wszystkim</w:t>
      </w:r>
      <w:r w:rsidR="00E74D62">
        <w:t xml:space="preserve"> na</w:t>
      </w:r>
      <w:r w:rsidR="00E74D62" w:rsidRPr="00C525C2">
        <w:t xml:space="preserve"> oddziałach </w:t>
      </w:r>
      <w:r w:rsidR="00E74D62">
        <w:t xml:space="preserve">dziennych psychiatrycznych, które przeznaczone są do kompleksowego diagnozowania, leczenia, terapii i rehabilitacji osób </w:t>
      </w:r>
      <w:r w:rsidR="00FB298C">
        <w:br/>
      </w:r>
      <w:r w:rsidR="00E74D62">
        <w:t xml:space="preserve">z zaburzeniami psychiatrycznymi wymagającymi fachowej pomocy wykraczającej poza możliwości Poradni Zdrowia Psychicznego, ale nie potrzebujących całodobowej opieki szpitalnej. </w:t>
      </w:r>
    </w:p>
    <w:p w14:paraId="130682D9" w14:textId="7B4FAAD2" w:rsidR="00E74D62" w:rsidRPr="00C71530" w:rsidRDefault="00E74D62" w:rsidP="008A0F0C">
      <w:pPr>
        <w:jc w:val="both"/>
      </w:pPr>
      <w:r>
        <w:t>Zajęcia w Oddziale Dziennym odbywają się z reguły od poniedziałku do piątku</w:t>
      </w:r>
      <w:r w:rsidRPr="001B5DCB">
        <w:t>, przy dziennej licz</w:t>
      </w:r>
      <w:r>
        <w:t xml:space="preserve">bie godzin nie mniejszej niż 5, a następnie pacjenci wracają do swojego środowiska, domu, rodziny. </w:t>
      </w:r>
      <w:r w:rsidR="00FB298C">
        <w:br/>
      </w:r>
      <w:r>
        <w:t xml:space="preserve">Pobyt w Oddziale Dziennym ma służyć poprawie stanu psychicznego pacjenta, redukcji objawów </w:t>
      </w:r>
      <w:r w:rsidR="00FB298C">
        <w:br/>
      </w:r>
      <w:r>
        <w:t>i zachowań objawowych, zapobieganiu nawrotom choroby, poprawie współpracy we własnym leczeniu, poprawie funkcjonowania społecznego i zaradności życiowej, poprawie samooceny, aktywizacji i pomocy w podjęciu aktywności społecznej i zawodowej. W trakcie pobytu w oddziale pacjenci mają możliwość korzystania z psychoterapii, psychoedukacji, terapii zajęciowej np.: pracownia krawiecka, plastyczna, komputerowa, malarstwo, pracownia ogrodnicza, zajęcia integracyjne, muzykoterapia, arteterapia, psychorysunek, zajęcia teatralne, trening kulinarny.</w:t>
      </w:r>
    </w:p>
    <w:p w14:paraId="7BD67082" w14:textId="77777777" w:rsidR="00CD096E" w:rsidRPr="005509DA" w:rsidRDefault="00CD096E" w:rsidP="00CD096E">
      <w:pPr>
        <w:pStyle w:val="Nagwek7"/>
        <w:rPr>
          <w:color w:val="0070C0"/>
        </w:rPr>
      </w:pPr>
      <w:r w:rsidRPr="005509DA">
        <w:rPr>
          <w:color w:val="0070C0"/>
        </w:rPr>
        <w:t>Grupa docelowa</w:t>
      </w:r>
    </w:p>
    <w:p w14:paraId="6CA71579" w14:textId="77777777" w:rsidR="00E74D62" w:rsidRDefault="00E74D62" w:rsidP="00E74D62">
      <w:pPr>
        <w:jc w:val="both"/>
      </w:pPr>
      <w:r w:rsidRPr="00C525C2">
        <w:t xml:space="preserve">Świadczenia gwarantowane opieki psychiatrycznej realizowane w warunkach </w:t>
      </w:r>
      <w:r>
        <w:t xml:space="preserve">dziennych </w:t>
      </w:r>
      <w:r w:rsidRPr="00C525C2">
        <w:t xml:space="preserve">udzielane są </w:t>
      </w:r>
      <w:r>
        <w:t xml:space="preserve">pacjentom, </w:t>
      </w:r>
      <w:r w:rsidRPr="00324D76">
        <w:t xml:space="preserve">na podstawie skierowania od lekarza psychiatry. </w:t>
      </w:r>
      <w:r>
        <w:t>Dobór zajęć i metod oddziaływań rehabilitacyjnych uwzględnia aktualny stan psychiczny, możliwości fizyczne, poznawcze i poziom społeczno-kulturalny pacjenta.</w:t>
      </w:r>
    </w:p>
    <w:p w14:paraId="60EFB2AC" w14:textId="145464ED" w:rsidR="00E74D62" w:rsidRPr="00C71530" w:rsidRDefault="00E74D62" w:rsidP="008A0F0C">
      <w:pPr>
        <w:jc w:val="both"/>
      </w:pPr>
      <w:r>
        <w:t>Analizę tę dokonują członkowie zespołu terapeutycznego w</w:t>
      </w:r>
      <w:r w:rsidR="004A1CB0">
        <w:t xml:space="preserve"> </w:t>
      </w:r>
      <w:r>
        <w:t>skład którego wchodzi m.in.: lekarz specjalista w dziedzinie psychiatrii, psycholog, pedagog, pielęgniarka psychiatryczna, instruktor terapii zajęciowej. Efektywne połączenie leczenia farmakologicznego z leczeniem psychospołecznym poprawia wsparcie emocjonalne, rozbudza odpowiedzialność za własne leczenie, poprawia umiejętności społeczne i kontakty w rodzinie.</w:t>
      </w:r>
    </w:p>
    <w:p w14:paraId="66A66A17" w14:textId="77777777" w:rsidR="00CD096E" w:rsidRPr="005509DA" w:rsidRDefault="00CD096E" w:rsidP="00CD096E">
      <w:pPr>
        <w:pStyle w:val="Nagwek7"/>
        <w:rPr>
          <w:color w:val="0070C0"/>
        </w:rPr>
      </w:pPr>
      <w:r w:rsidRPr="005509DA">
        <w:rPr>
          <w:color w:val="0070C0"/>
        </w:rPr>
        <w:t>Finansowanie</w:t>
      </w:r>
    </w:p>
    <w:p w14:paraId="1940ECFE" w14:textId="64235CCD" w:rsidR="00E74D62" w:rsidRDefault="00E74D62" w:rsidP="001F584D">
      <w:pPr>
        <w:spacing w:after="120"/>
        <w:jc w:val="both"/>
      </w:pPr>
      <w:r w:rsidRPr="00C525C2">
        <w:t xml:space="preserve">Zgodnie z danymi Narodowego Funduszu Zdrowia nakłady na świadczenia </w:t>
      </w:r>
      <w:r>
        <w:t xml:space="preserve">psychiatryczne </w:t>
      </w:r>
      <w:r w:rsidRPr="00C525C2">
        <w:t xml:space="preserve">w warunkach </w:t>
      </w:r>
      <w:r>
        <w:t>dziennych</w:t>
      </w:r>
      <w:r w:rsidRPr="00C525C2">
        <w:t xml:space="preserve"> </w:t>
      </w:r>
      <w:r w:rsidR="005A1DA3">
        <w:t xml:space="preserve">dla osób dorosłych </w:t>
      </w:r>
      <w:r w:rsidR="00D73483">
        <w:t>wzrastały na przestrzeni ostatnich lat.</w:t>
      </w:r>
      <w:r w:rsidR="00D73483" w:rsidRPr="00D73483">
        <w:t xml:space="preserve"> </w:t>
      </w:r>
      <w:r w:rsidR="00D73483">
        <w:t>Poniżej w tabeli przedstawiono nakłady na poszczególne zakresy świadczeń w latach 2016-2019.</w:t>
      </w:r>
    </w:p>
    <w:tbl>
      <w:tblPr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8"/>
        <w:gridCol w:w="1559"/>
        <w:gridCol w:w="1559"/>
        <w:gridCol w:w="1560"/>
      </w:tblGrid>
      <w:tr w:rsidR="00D73483" w:rsidRPr="00D73483" w14:paraId="2B28F834" w14:textId="77777777" w:rsidTr="001F584D">
        <w:trPr>
          <w:trHeight w:val="240"/>
        </w:trPr>
        <w:tc>
          <w:tcPr>
            <w:tcW w:w="32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21A44DF6" w14:textId="77777777" w:rsidR="00D73483" w:rsidRPr="00D73483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zakresu świadczeń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374F8858" w14:textId="77777777" w:rsidR="00D73483" w:rsidRPr="00D73483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012E77BB" w14:textId="77777777" w:rsidR="00D73483" w:rsidRPr="00D73483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6EB3F9A7" w14:textId="77777777" w:rsidR="00D73483" w:rsidRPr="00D73483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097D68C5" w14:textId="77777777" w:rsidR="00D73483" w:rsidRPr="00D73483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2019</w:t>
            </w:r>
          </w:p>
        </w:tc>
      </w:tr>
      <w:tr w:rsidR="00D73483" w:rsidRPr="00D73483" w14:paraId="46D38018" w14:textId="77777777" w:rsidTr="001F584D">
        <w:trPr>
          <w:trHeight w:val="2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A3ED" w14:textId="77777777" w:rsidR="00D73483" w:rsidRPr="00D73483" w:rsidRDefault="00D73483" w:rsidP="00D7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DZIENNE PSYCHIATRYCZNE DLA DOROSŁYCH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E6A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68 165 283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E0E4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82 197 424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5022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80 514 942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293B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75 086 440 zł</w:t>
            </w:r>
          </w:p>
        </w:tc>
      </w:tr>
      <w:tr w:rsidR="00D73483" w:rsidRPr="00D73483" w14:paraId="0AF5675E" w14:textId="77777777" w:rsidTr="001F584D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F362" w14:textId="77777777" w:rsidR="00D73483" w:rsidRPr="00D73483" w:rsidRDefault="00D73483" w:rsidP="00D7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DZIENNE PSYCHIATRYCZNE REHABILITACYJNE DLA DOROSŁYCH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833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16 859 653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1EF2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20 318 659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229F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21 079 203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1F82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22 371 524 zł</w:t>
            </w:r>
          </w:p>
        </w:tc>
      </w:tr>
      <w:tr w:rsidR="00D73483" w:rsidRPr="00D73483" w14:paraId="5381CD82" w14:textId="77777777" w:rsidTr="001F584D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29EA" w14:textId="77777777" w:rsidR="00D73483" w:rsidRPr="00D73483" w:rsidRDefault="00D73483" w:rsidP="00D7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DZIENNE PSYCHIATRYCZNE GERIATRYCZNE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A24B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6 109 842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D823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7 855 091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75BB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9 146 903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78F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10 893 779 zł</w:t>
            </w:r>
          </w:p>
        </w:tc>
      </w:tr>
      <w:tr w:rsidR="00D73483" w:rsidRPr="00D73483" w14:paraId="1BB3221C" w14:textId="77777777" w:rsidTr="001F584D">
        <w:trPr>
          <w:trHeight w:val="4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D5C9" w14:textId="77777777" w:rsidR="00D73483" w:rsidRPr="00D73483" w:rsidRDefault="00D73483" w:rsidP="00D7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DZIENNE REHABILITACYJNE DLA OSÓB Z CAŁOŚCIOWYMI ZABURZENIAMI ROZWOJOWYMI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688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3 301 425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7FF6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4 607 074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CED1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5 915 877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896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7 766 774 zł</w:t>
            </w:r>
          </w:p>
        </w:tc>
      </w:tr>
      <w:tr w:rsidR="00D73483" w:rsidRPr="00D73483" w14:paraId="4F23467C" w14:textId="77777777" w:rsidTr="001F584D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47D1" w14:textId="77777777" w:rsidR="00D73483" w:rsidRPr="00D73483" w:rsidRDefault="00D73483" w:rsidP="00D7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ŚWIADCZENIA DZIENNE PSYCHIATRYCZNE DLA DOROSŁYCH W CZP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E6E1" w14:textId="77777777" w:rsidR="00D73483" w:rsidRPr="00D73483" w:rsidRDefault="00D73483" w:rsidP="00D7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A4B" w14:textId="77777777" w:rsidR="00D73483" w:rsidRPr="00D73483" w:rsidRDefault="00D73483" w:rsidP="00D7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4FF1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2 117 067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C271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8 251 460 zł</w:t>
            </w:r>
          </w:p>
        </w:tc>
      </w:tr>
      <w:tr w:rsidR="00D73483" w:rsidRPr="00D73483" w14:paraId="10F5D7EE" w14:textId="77777777" w:rsidTr="001F584D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1753F04C" w14:textId="77777777" w:rsidR="00D73483" w:rsidRPr="00D73483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40A5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94 436 203,48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3C9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114 978 248,08 zł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88D" w14:textId="77777777" w:rsidR="00D73483" w:rsidRPr="00D73483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118 773 991,23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D97" w14:textId="77777777" w:rsidR="00D73483" w:rsidRPr="00D73483" w:rsidRDefault="00D73483" w:rsidP="001F584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34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124 369 976,80 zł</w:t>
            </w:r>
          </w:p>
        </w:tc>
      </w:tr>
    </w:tbl>
    <w:p w14:paraId="0F8CCF4A" w14:textId="2B7E4946" w:rsidR="00D73483" w:rsidRPr="00C71530" w:rsidRDefault="00D73483" w:rsidP="001F584D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. </w:t>
      </w:r>
      <w:r w:rsidRPr="00020B75">
        <w:t xml:space="preserve">Nakłady na wybrane </w:t>
      </w:r>
      <w:r>
        <w:t>zakresy</w:t>
      </w:r>
      <w:r w:rsidRPr="00020B75">
        <w:t xml:space="preserve"> świadczeń w latach 2016-2019. Zestawienie własne na podstawie danych NFZ.</w:t>
      </w:r>
    </w:p>
    <w:p w14:paraId="6AD090AE" w14:textId="77777777" w:rsidR="00F56E3D" w:rsidRPr="005509DA" w:rsidRDefault="002420A9" w:rsidP="00F72842">
      <w:pPr>
        <w:pStyle w:val="Nagwek6"/>
        <w:numPr>
          <w:ilvl w:val="1"/>
          <w:numId w:val="3"/>
        </w:numPr>
        <w:rPr>
          <w:color w:val="0070C0"/>
          <w:spacing w:val="-10"/>
          <w:kern w:val="28"/>
          <w:sz w:val="28"/>
          <w:szCs w:val="56"/>
        </w:rPr>
      </w:pPr>
      <w:r w:rsidRPr="005509DA">
        <w:rPr>
          <w:color w:val="0070C0"/>
          <w:spacing w:val="-10"/>
          <w:kern w:val="28"/>
          <w:sz w:val="28"/>
          <w:szCs w:val="56"/>
        </w:rPr>
        <w:lastRenderedPageBreak/>
        <w:t xml:space="preserve">Oddziały </w:t>
      </w:r>
      <w:r w:rsidR="00F56E3D" w:rsidRPr="005509DA">
        <w:rPr>
          <w:color w:val="0070C0"/>
          <w:spacing w:val="-10"/>
          <w:kern w:val="28"/>
          <w:sz w:val="28"/>
          <w:szCs w:val="56"/>
        </w:rPr>
        <w:t>dzienne</w:t>
      </w:r>
      <w:r w:rsidRPr="005509DA">
        <w:rPr>
          <w:color w:val="0070C0"/>
          <w:spacing w:val="-10"/>
          <w:kern w:val="28"/>
          <w:sz w:val="28"/>
          <w:szCs w:val="56"/>
        </w:rPr>
        <w:t xml:space="preserve"> psychiatryczne</w:t>
      </w:r>
      <w:r w:rsidR="00F56E3D" w:rsidRPr="005509DA">
        <w:rPr>
          <w:color w:val="0070C0"/>
          <w:spacing w:val="-10"/>
          <w:kern w:val="28"/>
          <w:sz w:val="28"/>
          <w:szCs w:val="56"/>
        </w:rPr>
        <w:t xml:space="preserve"> dla dzieci</w:t>
      </w:r>
      <w:r w:rsidRPr="005509DA">
        <w:rPr>
          <w:color w:val="0070C0"/>
          <w:spacing w:val="-10"/>
          <w:kern w:val="28"/>
          <w:sz w:val="28"/>
          <w:szCs w:val="56"/>
        </w:rPr>
        <w:t xml:space="preserve"> i młodzieży</w:t>
      </w:r>
    </w:p>
    <w:p w14:paraId="5E4B5D31" w14:textId="77777777" w:rsidR="00F56E3D" w:rsidRPr="005509DA" w:rsidRDefault="00F56E3D" w:rsidP="00843B15">
      <w:pPr>
        <w:pStyle w:val="Nagwek7"/>
        <w:rPr>
          <w:color w:val="0070C0"/>
          <w:lang w:eastAsia="pl-PL"/>
        </w:rPr>
      </w:pPr>
      <w:r w:rsidRPr="005509DA">
        <w:rPr>
          <w:color w:val="0070C0"/>
          <w:lang w:eastAsia="pl-PL"/>
        </w:rPr>
        <w:t>Zakres wsparcia</w:t>
      </w:r>
    </w:p>
    <w:p w14:paraId="0C4315EB" w14:textId="77777777" w:rsidR="00B43144" w:rsidRDefault="000148DF" w:rsidP="00F56E3D">
      <w:pPr>
        <w:spacing w:after="60" w:line="240" w:lineRule="auto"/>
        <w:jc w:val="both"/>
        <w:rPr>
          <w:lang w:eastAsia="pl-PL"/>
        </w:rPr>
      </w:pPr>
      <w:r>
        <w:rPr>
          <w:lang w:eastAsia="pl-PL"/>
        </w:rPr>
        <w:t xml:space="preserve">Udzielanie świadczeń w warunkach oddziału dziennego jest niezwykle istotne w przypadku dzieci </w:t>
      </w:r>
      <w:r w:rsidR="00FB298C">
        <w:rPr>
          <w:lang w:eastAsia="pl-PL"/>
        </w:rPr>
        <w:br/>
      </w:r>
      <w:r>
        <w:rPr>
          <w:lang w:eastAsia="pl-PL"/>
        </w:rPr>
        <w:t xml:space="preserve">i młodzieży - umożliwia bowiem realizację intensywnych działań diagnostycznych i terapeutycznych bez konieczności izolacji pacjenta od środowiska rodzinnego i grupy rówieśniczej. Pobyt na oddziale dziennym ogranicza stres odczuwany przez pacjenta i jego bliskich. </w:t>
      </w:r>
    </w:p>
    <w:p w14:paraId="04AC882E" w14:textId="77777777" w:rsidR="000148DF" w:rsidRDefault="000148DF" w:rsidP="00F56E3D">
      <w:pPr>
        <w:spacing w:after="60" w:line="240" w:lineRule="auto"/>
        <w:jc w:val="both"/>
      </w:pPr>
      <w:r>
        <w:t xml:space="preserve">W ramach pobytu </w:t>
      </w:r>
      <w:r w:rsidR="00987E8E">
        <w:t xml:space="preserve">na oddziale dziennym pacjenci korzystają z opieki lekarza psychiatry oraz opieki pielęgniarskiej, psychoterapii, terapii zajęciowej i grupowej. </w:t>
      </w:r>
      <w:r w:rsidR="00E96B6B">
        <w:t xml:space="preserve">Inne zajęcia realizowane są zgodnie </w:t>
      </w:r>
      <w:r w:rsidR="00FB298C">
        <w:br/>
      </w:r>
      <w:r w:rsidR="00E96B6B">
        <w:t xml:space="preserve">z zapotrzebowaniem pacjentów i możliwościami oddziałów. </w:t>
      </w:r>
      <w:r w:rsidR="00574D11">
        <w:t xml:space="preserve">W ramach świadczeń mogą być także </w:t>
      </w:r>
      <w:r>
        <w:t>podejmowane</w:t>
      </w:r>
      <w:r w:rsidR="00987E8E">
        <w:t xml:space="preserve"> są </w:t>
      </w:r>
      <w:r>
        <w:t>działania konsultacyjno-edukacyjne dla rodzin osób z zaburzeniami psychicznymi</w:t>
      </w:r>
      <w:r w:rsidR="00987E8E">
        <w:t>.</w:t>
      </w:r>
    </w:p>
    <w:p w14:paraId="69F0FBD7" w14:textId="77777777" w:rsidR="00E96B6B" w:rsidRDefault="00E96B6B" w:rsidP="00F56E3D">
      <w:pPr>
        <w:spacing w:after="60" w:line="240" w:lineRule="auto"/>
        <w:jc w:val="both"/>
        <w:rPr>
          <w:lang w:eastAsia="pl-PL"/>
        </w:rPr>
      </w:pPr>
      <w:r>
        <w:t xml:space="preserve">Realizacja obowiązku szkolnego może odbywać się na oddziale (w ramach </w:t>
      </w:r>
      <w:r w:rsidR="00574D11">
        <w:t>szkoły przyszpitalnej) lub poza godzinami pobytu na oddziale (w przypadku oddziałów udzielających świadczeń w godzinach popołudniowych).</w:t>
      </w:r>
      <w:r>
        <w:t xml:space="preserve"> </w:t>
      </w:r>
    </w:p>
    <w:p w14:paraId="5CFA4A9C" w14:textId="77777777" w:rsidR="00F56E3D" w:rsidRPr="005509DA" w:rsidRDefault="00F56E3D" w:rsidP="00F56E3D">
      <w:pPr>
        <w:pStyle w:val="Nagwek7"/>
        <w:rPr>
          <w:color w:val="0070C0"/>
        </w:rPr>
      </w:pPr>
      <w:r w:rsidRPr="005509DA">
        <w:rPr>
          <w:color w:val="0070C0"/>
        </w:rPr>
        <w:t>Grupa docelowa</w:t>
      </w:r>
    </w:p>
    <w:p w14:paraId="090D24E8" w14:textId="3D9A7172" w:rsidR="00987E8E" w:rsidRDefault="00987E8E" w:rsidP="008A0F0C">
      <w:pPr>
        <w:jc w:val="both"/>
      </w:pPr>
      <w:r>
        <w:t xml:space="preserve">Dzieci i młodzież do 18 </w:t>
      </w:r>
      <w:r w:rsidR="00FB298C">
        <w:t xml:space="preserve">r. ż. </w:t>
      </w:r>
      <w:r>
        <w:t xml:space="preserve">z zaburzeniami psychicznymi, zwłaszcza psychotycznymi, ze znacznymi, zagrażającymi lub utrwalonymi zaburzeniami funkcjonowania życiowego. Wskazany jest podział oddziału dziennego psychiatrycznego rehabilitacyjnego dla dzieci i młodzieży na pododdział dla dzieci </w:t>
      </w:r>
      <w:r w:rsidR="003A128F">
        <w:t xml:space="preserve">młodszych </w:t>
      </w:r>
      <w:r>
        <w:t xml:space="preserve">(do 13 </w:t>
      </w:r>
      <w:r w:rsidR="00FB298C">
        <w:t>r. ż.</w:t>
      </w:r>
      <w:r>
        <w:t>) i pododdział młodzieżowy.</w:t>
      </w:r>
    </w:p>
    <w:p w14:paraId="584D90C7" w14:textId="77777777" w:rsidR="00B333C2" w:rsidRPr="00B333C2" w:rsidRDefault="00B333C2" w:rsidP="008A0F0C">
      <w:pPr>
        <w:jc w:val="both"/>
      </w:pPr>
      <w:r>
        <w:t>Przyjęcie na oddział dzienny następuje w trybie planowym, na podstawie skierowania lekarskiego.</w:t>
      </w:r>
      <w:r w:rsidR="00C372E2">
        <w:t xml:space="preserve"> </w:t>
      </w:r>
      <w:r w:rsidR="00C372E2">
        <w:rPr>
          <w:lang w:eastAsia="pl-PL"/>
        </w:rPr>
        <w:t>Oddzielne placówki przeznaczone są do terapii uzależnień.</w:t>
      </w:r>
    </w:p>
    <w:p w14:paraId="32B7FA7C" w14:textId="77777777" w:rsidR="00F56E3D" w:rsidRPr="005509DA" w:rsidRDefault="00F56E3D" w:rsidP="00F56E3D">
      <w:pPr>
        <w:pStyle w:val="Nagwek7"/>
        <w:rPr>
          <w:color w:val="0070C0"/>
        </w:rPr>
      </w:pPr>
      <w:r w:rsidRPr="005509DA">
        <w:rPr>
          <w:color w:val="0070C0"/>
        </w:rPr>
        <w:t>Finansowanie</w:t>
      </w:r>
    </w:p>
    <w:p w14:paraId="571138DE" w14:textId="27E88A6C" w:rsidR="00574D11" w:rsidRDefault="00D73483" w:rsidP="008A0F0C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lang w:eastAsia="pl-PL"/>
        </w:rPr>
        <w:t>Podobnie jak w przypadku świadczeń dedykowanych osobom dorosłym,</w:t>
      </w:r>
      <w:r w:rsidR="00574D11">
        <w:rPr>
          <w:lang w:eastAsia="pl-PL"/>
        </w:rPr>
        <w:t xml:space="preserve"> nakłady na świadczenia </w:t>
      </w:r>
      <w:r w:rsidR="00574D11">
        <w:t xml:space="preserve">psychiatryczne dla dzieci i młodzieży udzielane w warunkach oddziału dziennego </w:t>
      </w:r>
      <w:r>
        <w:t>stale rosną. Poniżej w tabeli przedstawiono nakłady na poszczególne typy świadczeń w latach 2016-2019.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40"/>
        <w:gridCol w:w="1540"/>
        <w:gridCol w:w="1540"/>
        <w:gridCol w:w="1540"/>
      </w:tblGrid>
      <w:tr w:rsidR="00D73483" w:rsidRPr="00D73483" w14:paraId="6AE5E0DF" w14:textId="77777777" w:rsidTr="001F584D">
        <w:trPr>
          <w:trHeight w:val="255"/>
        </w:trPr>
        <w:tc>
          <w:tcPr>
            <w:tcW w:w="29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0E426752" w14:textId="77777777" w:rsidR="00D73483" w:rsidRPr="001F584D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zakresu świadczeń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24825F80" w14:textId="77777777" w:rsidR="00D73483" w:rsidRPr="001F584D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38967982" w14:textId="77777777" w:rsidR="00D73483" w:rsidRPr="001F584D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7FC0390E" w14:textId="77777777" w:rsidR="00D73483" w:rsidRPr="001F584D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0C59BD35" w14:textId="77777777" w:rsidR="00D73483" w:rsidRPr="001F584D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2019</w:t>
            </w:r>
          </w:p>
        </w:tc>
      </w:tr>
      <w:tr w:rsidR="00D73483" w:rsidRPr="00D73483" w14:paraId="3761FD5E" w14:textId="77777777" w:rsidTr="001F584D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B7C6" w14:textId="77777777" w:rsidR="00D73483" w:rsidRPr="001F584D" w:rsidRDefault="00D73483" w:rsidP="00D7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DZIENNE PSYCHIATRYCZNE REHABILITACYJNE DLA DZIECI I MŁODZIEŻY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EB5" w14:textId="77777777" w:rsidR="00D73483" w:rsidRPr="001F584D" w:rsidRDefault="00D73483" w:rsidP="001F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19 467 742 zł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FF42" w14:textId="77777777" w:rsidR="00D73483" w:rsidRPr="001F584D" w:rsidRDefault="00D73483" w:rsidP="001F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23 384 490 zł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815" w14:textId="77777777" w:rsidR="00D73483" w:rsidRPr="001F584D" w:rsidRDefault="00D73483" w:rsidP="001F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24 836 767 zł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7D70E" w14:textId="77777777" w:rsidR="00D73483" w:rsidRPr="001F584D" w:rsidRDefault="00D73483" w:rsidP="001F584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28 588 198 zł</w:t>
            </w:r>
          </w:p>
        </w:tc>
      </w:tr>
    </w:tbl>
    <w:p w14:paraId="73AD0D65" w14:textId="53D491B5" w:rsidR="00D73483" w:rsidRPr="008A0F0C" w:rsidRDefault="00D73483" w:rsidP="001F584D">
      <w:pPr>
        <w:pStyle w:val="Legenda"/>
        <w:rPr>
          <w:rFonts w:ascii="Arial" w:hAnsi="Arial" w:cs="Arial"/>
          <w:color w:val="000000"/>
          <w:sz w:val="20"/>
          <w:szCs w:val="20"/>
        </w:rPr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. </w:t>
      </w:r>
      <w:r w:rsidRPr="00EA7947">
        <w:t>Nakłady na wybrane zakresy świadczeń w latach 2016-2019. Zestawienie własne na podstawie danych NFZ.</w:t>
      </w:r>
    </w:p>
    <w:p w14:paraId="6CF1EE0A" w14:textId="5532507E" w:rsidR="005A3828" w:rsidRDefault="002420A9" w:rsidP="00F72842">
      <w:pPr>
        <w:pStyle w:val="Nagwek6"/>
        <w:numPr>
          <w:ilvl w:val="1"/>
          <w:numId w:val="3"/>
        </w:numPr>
        <w:jc w:val="both"/>
        <w:rPr>
          <w:color w:val="0070C0"/>
          <w:spacing w:val="-10"/>
          <w:kern w:val="28"/>
          <w:sz w:val="28"/>
          <w:szCs w:val="56"/>
        </w:rPr>
      </w:pPr>
      <w:r w:rsidRPr="005509DA">
        <w:rPr>
          <w:color w:val="0070C0"/>
          <w:spacing w:val="-10"/>
          <w:kern w:val="28"/>
          <w:sz w:val="28"/>
          <w:szCs w:val="56"/>
        </w:rPr>
        <w:t>Ambulatoryjne świadczenia psychiatryczne i psychologiczne dla dzieci i młodzieży</w:t>
      </w:r>
    </w:p>
    <w:p w14:paraId="54A02350" w14:textId="04B09DDC" w:rsidR="005A3828" w:rsidRDefault="005A3828" w:rsidP="00397E3E">
      <w:pPr>
        <w:jc w:val="both"/>
      </w:pPr>
      <w:r>
        <w:t>Pacjent w ramach poradni zdrowia psychicznego, ma możliwość skorzystania z bezpłatnych porad (w</w:t>
      </w:r>
      <w:r w:rsidR="000E07C7">
        <w:t> </w:t>
      </w:r>
      <w:r>
        <w:t xml:space="preserve">zakresie diagnozy, terapii), wizyt domowych oraz sesji psychoterapii (indywidualnej, grupowej lub rodzinnej). Na wizytę u psychiatry dzieci i młodzieży nie jest wymagane skierowanie, podobnie jak do świadczeń psychologicznych, psychoterapeutycznych czy środowiskowych. </w:t>
      </w:r>
    </w:p>
    <w:p w14:paraId="1E779818" w14:textId="1F1325D5" w:rsidR="005A3828" w:rsidRDefault="005A3828" w:rsidP="00397E3E">
      <w:pPr>
        <w:jc w:val="both"/>
      </w:pPr>
      <w:r>
        <w:t xml:space="preserve">W ramach poradni leczenia uzależnień pacjent ma możliwość skorzystania z bezpłatnych porad lekarskich, terapii prowadzonej przez specjalistę psychoterapii uzależnień, psychologa, psychoterapeutę lub instruktora terapii uzależnień. </w:t>
      </w:r>
    </w:p>
    <w:p w14:paraId="7D37C35F" w14:textId="6D903EF2" w:rsidR="005A3828" w:rsidRDefault="005A3828" w:rsidP="00397E3E">
      <w:pPr>
        <w:jc w:val="both"/>
      </w:pPr>
      <w:r>
        <w:t>W poradniach</w:t>
      </w:r>
      <w:r w:rsidR="00173229">
        <w:t xml:space="preserve"> zdrowia psychicznego</w:t>
      </w:r>
      <w:r>
        <w:t xml:space="preserve"> ustalany jest indywidualny plan terapeutyczny dobrany indywidualnie i adekwatnie do stanu psychofizycznego pacjenta uwzględniający leczenie farmakologiczne, psychoedukację, pomoc psychologiczną, różne formy psychoterapii. Kolejne wizyty </w:t>
      </w:r>
      <w:r>
        <w:lastRenderedPageBreak/>
        <w:t>służą monitorowaniu oceny stanu psychicznego i postępu leczenia</w:t>
      </w:r>
      <w:r w:rsidR="003E4CB4">
        <w:t>.</w:t>
      </w:r>
      <w:r w:rsidR="004A1CB0">
        <w:t xml:space="preserve"> </w:t>
      </w:r>
      <w:r>
        <w:t>Częstość wizyt zależy od indywidualnych potrzeb pacjenta.</w:t>
      </w:r>
      <w:r w:rsidR="003E4CB4">
        <w:t xml:space="preserve"> W ramach</w:t>
      </w:r>
      <w:r>
        <w:t xml:space="preserve"> działań zapewniane jest również profesjonalne wsparcie rodzinie osoby uzależnionej. </w:t>
      </w:r>
    </w:p>
    <w:p w14:paraId="0646C399" w14:textId="163B7753" w:rsidR="005A3828" w:rsidRPr="00397E3E" w:rsidRDefault="005A3828" w:rsidP="00397E3E">
      <w:pPr>
        <w:jc w:val="both"/>
      </w:pPr>
      <w:r>
        <w:t>W ramach leczenia ambulatoryjnego w psychiatrycznej opiece zdrowotnej dla dzieci i młodzieży również funkcjonują</w:t>
      </w:r>
      <w:r w:rsidR="000E07C7">
        <w:t xml:space="preserve"> z</w:t>
      </w:r>
      <w:r>
        <w:t xml:space="preserve">espoły </w:t>
      </w:r>
      <w:r w:rsidR="000E07C7">
        <w:t>l</w:t>
      </w:r>
      <w:r>
        <w:t xml:space="preserve">eczenia </w:t>
      </w:r>
      <w:r w:rsidR="000E07C7">
        <w:t>ś</w:t>
      </w:r>
      <w:r>
        <w:t xml:space="preserve">rodowiskowego. </w:t>
      </w:r>
    </w:p>
    <w:p w14:paraId="3036D3CE" w14:textId="77777777" w:rsidR="00F56E3D" w:rsidRPr="005509DA" w:rsidRDefault="00F56E3D" w:rsidP="00843B15">
      <w:pPr>
        <w:pStyle w:val="Nagwek7"/>
        <w:rPr>
          <w:color w:val="0070C0"/>
          <w:lang w:eastAsia="pl-PL"/>
        </w:rPr>
      </w:pPr>
      <w:r w:rsidRPr="005509DA">
        <w:rPr>
          <w:color w:val="0070C0"/>
          <w:lang w:eastAsia="pl-PL"/>
        </w:rPr>
        <w:t>Zakres wsparcia</w:t>
      </w:r>
    </w:p>
    <w:p w14:paraId="42685257" w14:textId="77777777" w:rsidR="00B333C2" w:rsidRDefault="00B333C2" w:rsidP="00F56E3D">
      <w:pPr>
        <w:spacing w:after="60" w:line="240" w:lineRule="auto"/>
        <w:jc w:val="both"/>
        <w:rPr>
          <w:lang w:eastAsia="pl-PL"/>
        </w:rPr>
      </w:pPr>
      <w:r>
        <w:rPr>
          <w:lang w:eastAsia="pl-PL"/>
        </w:rPr>
        <w:t>Świadczenia dla dzieci i młodzieży w warunkach ambulatoryjnych udzielane są w ramach świadczeń psychiatrycznych i psychologicznych. Zakres udzielanego wsparcia obejmuje m.in.:</w:t>
      </w:r>
    </w:p>
    <w:p w14:paraId="372B988A" w14:textId="77777777" w:rsidR="00B333C2" w:rsidRDefault="00F56E3D" w:rsidP="00F72842">
      <w:pPr>
        <w:pStyle w:val="Akapitzlist"/>
        <w:numPr>
          <w:ilvl w:val="0"/>
          <w:numId w:val="1"/>
        </w:numPr>
        <w:spacing w:after="60"/>
        <w:ind w:left="567" w:hanging="283"/>
        <w:contextualSpacing w:val="0"/>
        <w:jc w:val="both"/>
        <w:rPr>
          <w:lang w:eastAsia="pl-PL"/>
        </w:rPr>
      </w:pPr>
      <w:r w:rsidRPr="00203FA8">
        <w:rPr>
          <w:lang w:eastAsia="pl-PL"/>
        </w:rPr>
        <w:t>porady</w:t>
      </w:r>
      <w:r w:rsidR="00B333C2">
        <w:rPr>
          <w:lang w:eastAsia="pl-PL"/>
        </w:rPr>
        <w:t xml:space="preserve"> lekarza psychiatry dzieci i młodzieży (w tym m.in. </w:t>
      </w:r>
      <w:r w:rsidRPr="00203FA8">
        <w:rPr>
          <w:lang w:eastAsia="pl-PL"/>
        </w:rPr>
        <w:t>lekarsko-</w:t>
      </w:r>
      <w:r w:rsidR="00B333C2" w:rsidRPr="00203FA8">
        <w:rPr>
          <w:lang w:eastAsia="pl-PL"/>
        </w:rPr>
        <w:t>diagnostyczn</w:t>
      </w:r>
      <w:r w:rsidR="00B333C2">
        <w:rPr>
          <w:lang w:eastAsia="pl-PL"/>
        </w:rPr>
        <w:t>ą</w:t>
      </w:r>
      <w:r w:rsidR="00B333C2" w:rsidRPr="00203FA8">
        <w:rPr>
          <w:lang w:eastAsia="pl-PL"/>
        </w:rPr>
        <w:t xml:space="preserve"> </w:t>
      </w:r>
      <w:r w:rsidRPr="00203FA8">
        <w:rPr>
          <w:lang w:eastAsia="pl-PL"/>
        </w:rPr>
        <w:t>rozpoczynając</w:t>
      </w:r>
      <w:r w:rsidR="00B333C2">
        <w:rPr>
          <w:lang w:eastAsia="pl-PL"/>
        </w:rPr>
        <w:t>ą</w:t>
      </w:r>
      <w:r w:rsidRPr="00203FA8">
        <w:rPr>
          <w:lang w:eastAsia="pl-PL"/>
        </w:rPr>
        <w:t xml:space="preserve"> lub weryfikując</w:t>
      </w:r>
      <w:r w:rsidR="00B333C2">
        <w:rPr>
          <w:lang w:eastAsia="pl-PL"/>
        </w:rPr>
        <w:t>ą</w:t>
      </w:r>
      <w:r w:rsidRPr="00203FA8">
        <w:rPr>
          <w:lang w:eastAsia="pl-PL"/>
        </w:rPr>
        <w:t xml:space="preserve"> proces diagnostyczno-terapeutyczny, </w:t>
      </w:r>
      <w:r>
        <w:rPr>
          <w:lang w:eastAsia="pl-PL"/>
        </w:rPr>
        <w:t>lekarsko-</w:t>
      </w:r>
      <w:r w:rsidR="00B333C2" w:rsidRPr="00203FA8">
        <w:rPr>
          <w:lang w:eastAsia="pl-PL"/>
        </w:rPr>
        <w:t>terapeutyczn</w:t>
      </w:r>
      <w:r w:rsidR="00B333C2">
        <w:rPr>
          <w:lang w:eastAsia="pl-PL"/>
        </w:rPr>
        <w:t>ą</w:t>
      </w:r>
      <w:r w:rsidRPr="00203FA8">
        <w:rPr>
          <w:lang w:eastAsia="pl-PL"/>
        </w:rPr>
        <w:t xml:space="preserve">, </w:t>
      </w:r>
      <w:r>
        <w:rPr>
          <w:lang w:eastAsia="pl-PL"/>
        </w:rPr>
        <w:t>lekarsko-</w:t>
      </w:r>
      <w:r w:rsidRPr="00203FA8">
        <w:rPr>
          <w:lang w:eastAsia="pl-PL"/>
        </w:rPr>
        <w:t>kontroln</w:t>
      </w:r>
      <w:r w:rsidR="00B333C2">
        <w:rPr>
          <w:lang w:eastAsia="pl-PL"/>
        </w:rPr>
        <w:t>ą)</w:t>
      </w:r>
      <w:r w:rsidR="002F6181">
        <w:rPr>
          <w:lang w:eastAsia="pl-PL"/>
        </w:rPr>
        <w:t>;</w:t>
      </w:r>
    </w:p>
    <w:p w14:paraId="1E87C42C" w14:textId="51CBACBE" w:rsidR="00F56E3D" w:rsidRPr="00203FA8" w:rsidRDefault="00B333C2" w:rsidP="00F72842">
      <w:pPr>
        <w:pStyle w:val="Akapitzlist"/>
        <w:numPr>
          <w:ilvl w:val="0"/>
          <w:numId w:val="1"/>
        </w:numPr>
        <w:spacing w:after="60"/>
        <w:ind w:left="567" w:hanging="283"/>
        <w:contextualSpacing w:val="0"/>
        <w:jc w:val="both"/>
        <w:rPr>
          <w:lang w:eastAsia="pl-PL"/>
        </w:rPr>
      </w:pPr>
      <w:r>
        <w:rPr>
          <w:lang w:eastAsia="pl-PL"/>
        </w:rPr>
        <w:t xml:space="preserve">porady psychologiczne (w tym </w:t>
      </w:r>
      <w:r w:rsidR="00F56E3D" w:rsidRPr="00203FA8">
        <w:rPr>
          <w:lang w:eastAsia="pl-PL"/>
        </w:rPr>
        <w:t>psychologiczno-diagnostyczn</w:t>
      </w:r>
      <w:r>
        <w:rPr>
          <w:lang w:eastAsia="pl-PL"/>
        </w:rPr>
        <w:t>e)</w:t>
      </w:r>
      <w:r w:rsidR="00F56E3D">
        <w:rPr>
          <w:lang w:eastAsia="pl-PL"/>
        </w:rPr>
        <w:t>;</w:t>
      </w:r>
    </w:p>
    <w:p w14:paraId="597D7DE3" w14:textId="77777777" w:rsidR="00F56E3D" w:rsidRPr="00203FA8" w:rsidRDefault="00F56E3D" w:rsidP="00F72842">
      <w:pPr>
        <w:pStyle w:val="Akapitzlist"/>
        <w:numPr>
          <w:ilvl w:val="0"/>
          <w:numId w:val="1"/>
        </w:numPr>
        <w:spacing w:after="60"/>
        <w:ind w:left="567" w:hanging="283"/>
        <w:contextualSpacing w:val="0"/>
        <w:jc w:val="both"/>
        <w:rPr>
          <w:lang w:eastAsia="pl-PL"/>
        </w:rPr>
      </w:pPr>
      <w:r w:rsidRPr="00203FA8">
        <w:rPr>
          <w:lang w:eastAsia="pl-PL"/>
        </w:rPr>
        <w:t>sesji psychoterapii (indywidualnej, grupowej, rodzinnej)</w:t>
      </w:r>
      <w:r>
        <w:rPr>
          <w:lang w:eastAsia="pl-PL"/>
        </w:rPr>
        <w:t>;</w:t>
      </w:r>
    </w:p>
    <w:p w14:paraId="3E534641" w14:textId="77777777" w:rsidR="00F56E3D" w:rsidRPr="00203FA8" w:rsidRDefault="00F56E3D" w:rsidP="00F72842">
      <w:pPr>
        <w:pStyle w:val="Akapitzlist"/>
        <w:numPr>
          <w:ilvl w:val="0"/>
          <w:numId w:val="1"/>
        </w:numPr>
        <w:spacing w:after="60"/>
        <w:ind w:left="567" w:hanging="283"/>
        <w:contextualSpacing w:val="0"/>
        <w:jc w:val="both"/>
        <w:rPr>
          <w:lang w:eastAsia="pl-PL"/>
        </w:rPr>
      </w:pPr>
      <w:r w:rsidRPr="00203FA8">
        <w:rPr>
          <w:lang w:eastAsia="pl-PL"/>
        </w:rPr>
        <w:t>sesji wsparcia psychospołecznego</w:t>
      </w:r>
      <w:r>
        <w:rPr>
          <w:lang w:eastAsia="pl-PL"/>
        </w:rPr>
        <w:t>;</w:t>
      </w:r>
    </w:p>
    <w:p w14:paraId="1BBB0ED2" w14:textId="77777777" w:rsidR="00F56E3D" w:rsidRPr="00203FA8" w:rsidRDefault="00F56E3D" w:rsidP="00F72842">
      <w:pPr>
        <w:pStyle w:val="Akapitzlist"/>
        <w:numPr>
          <w:ilvl w:val="0"/>
          <w:numId w:val="1"/>
        </w:numPr>
        <w:spacing w:after="60"/>
        <w:ind w:left="567" w:hanging="283"/>
        <w:contextualSpacing w:val="0"/>
        <w:jc w:val="both"/>
        <w:rPr>
          <w:lang w:eastAsia="pl-PL"/>
        </w:rPr>
      </w:pPr>
      <w:r w:rsidRPr="00203FA8">
        <w:rPr>
          <w:lang w:eastAsia="pl-PL"/>
        </w:rPr>
        <w:t>wizyt</w:t>
      </w:r>
      <w:r w:rsidR="00B333C2">
        <w:rPr>
          <w:lang w:eastAsia="pl-PL"/>
        </w:rPr>
        <w:t>y</w:t>
      </w:r>
      <w:r>
        <w:rPr>
          <w:lang w:eastAsia="pl-PL"/>
        </w:rPr>
        <w:t>, porad</w:t>
      </w:r>
      <w:r w:rsidR="00B333C2">
        <w:rPr>
          <w:lang w:eastAsia="pl-PL"/>
        </w:rPr>
        <w:t>y</w:t>
      </w:r>
      <w:r w:rsidRPr="00203FA8">
        <w:rPr>
          <w:lang w:eastAsia="pl-PL"/>
        </w:rPr>
        <w:t xml:space="preserve"> </w:t>
      </w:r>
      <w:r w:rsidR="00B333C2" w:rsidRPr="00203FA8">
        <w:rPr>
          <w:lang w:eastAsia="pl-PL"/>
        </w:rPr>
        <w:t>domow</w:t>
      </w:r>
      <w:r w:rsidR="00B333C2">
        <w:rPr>
          <w:lang w:eastAsia="pl-PL"/>
        </w:rPr>
        <w:t>e</w:t>
      </w:r>
      <w:r w:rsidR="00B333C2" w:rsidRPr="00203FA8">
        <w:rPr>
          <w:lang w:eastAsia="pl-PL"/>
        </w:rPr>
        <w:t xml:space="preserve"> </w:t>
      </w:r>
      <w:r w:rsidRPr="00203FA8">
        <w:rPr>
          <w:lang w:eastAsia="pl-PL"/>
        </w:rPr>
        <w:t xml:space="preserve">lub </w:t>
      </w:r>
      <w:r w:rsidR="00B333C2" w:rsidRPr="00203FA8">
        <w:rPr>
          <w:lang w:eastAsia="pl-PL"/>
        </w:rPr>
        <w:t>środowiskow</w:t>
      </w:r>
      <w:r w:rsidR="00B333C2">
        <w:rPr>
          <w:lang w:eastAsia="pl-PL"/>
        </w:rPr>
        <w:t>e.</w:t>
      </w:r>
    </w:p>
    <w:p w14:paraId="723454A5" w14:textId="77777777" w:rsidR="00D24066" w:rsidRPr="005509DA" w:rsidRDefault="00D24066" w:rsidP="00843B15">
      <w:pPr>
        <w:pStyle w:val="Nagwek7"/>
        <w:rPr>
          <w:color w:val="0070C0"/>
          <w:lang w:eastAsia="pl-PL"/>
        </w:rPr>
      </w:pPr>
      <w:r w:rsidRPr="005509DA">
        <w:rPr>
          <w:color w:val="0070C0"/>
          <w:lang w:eastAsia="pl-PL"/>
        </w:rPr>
        <w:t>Grupa docelowa</w:t>
      </w:r>
    </w:p>
    <w:p w14:paraId="5CA02D49" w14:textId="77777777" w:rsidR="00C372E2" w:rsidRDefault="00C372E2" w:rsidP="00F56E3D">
      <w:pPr>
        <w:jc w:val="both"/>
        <w:rPr>
          <w:lang w:eastAsia="pl-PL"/>
        </w:rPr>
      </w:pPr>
      <w:r>
        <w:rPr>
          <w:lang w:eastAsia="pl-PL"/>
        </w:rPr>
        <w:t>Ze świadczeń ambulatoryjnych korzystają wszyscy ci pacjenci wymagający diagnostyki i terapii zaburzeń psychicznych, u których nie ma wskazań do hospitalizacji na oddziałach dziennych ani całodobowych. Opieką poradni obejmowane są także osoby po wypisie ze szpitala psychiatrycznego.</w:t>
      </w:r>
    </w:p>
    <w:p w14:paraId="07F6205D" w14:textId="6AA2EC23" w:rsidR="00C372E2" w:rsidRPr="00203FA8" w:rsidRDefault="00B333C2" w:rsidP="00F56E3D">
      <w:pPr>
        <w:jc w:val="both"/>
        <w:rPr>
          <w:lang w:eastAsia="pl-PL"/>
        </w:rPr>
      </w:pPr>
      <w:r>
        <w:rPr>
          <w:lang w:eastAsia="pl-PL"/>
        </w:rPr>
        <w:t xml:space="preserve">Świadczenia </w:t>
      </w:r>
      <w:r w:rsidR="00C372E2">
        <w:rPr>
          <w:lang w:eastAsia="pl-PL"/>
        </w:rPr>
        <w:t>ambulatoryjne udzielane są dzieciom i młodzieży bez skierowania od lekarza. Oddzielne placówki przeznaczone są do terapii uzależnień.</w:t>
      </w:r>
    </w:p>
    <w:p w14:paraId="08445745" w14:textId="77777777" w:rsidR="00F56E3D" w:rsidRPr="005509DA" w:rsidRDefault="00D24066" w:rsidP="00D24066">
      <w:pPr>
        <w:pStyle w:val="Nagwek7"/>
        <w:rPr>
          <w:color w:val="0070C0"/>
        </w:rPr>
      </w:pPr>
      <w:r w:rsidRPr="005509DA">
        <w:rPr>
          <w:color w:val="0070C0"/>
        </w:rPr>
        <w:t>Finansowanie</w:t>
      </w:r>
    </w:p>
    <w:p w14:paraId="7CFB8EBF" w14:textId="7C7FD65D" w:rsidR="00316255" w:rsidRDefault="00C372E2" w:rsidP="00857715">
      <w:pPr>
        <w:jc w:val="both"/>
        <w:rPr>
          <w:lang w:eastAsia="pl-PL"/>
        </w:rPr>
      </w:pPr>
      <w:r>
        <w:rPr>
          <w:lang w:eastAsia="pl-PL"/>
        </w:rPr>
        <w:t xml:space="preserve">Zgodnie z danymi Narodowego Funduszu Zdrowia nakłady na świadczenia psychiatryczne dla dzieci </w:t>
      </w:r>
      <w:r w:rsidR="00FB298C">
        <w:rPr>
          <w:lang w:eastAsia="pl-PL"/>
        </w:rPr>
        <w:br/>
      </w:r>
      <w:r>
        <w:rPr>
          <w:lang w:eastAsia="pl-PL"/>
        </w:rPr>
        <w:t xml:space="preserve">i młodzieży udzielane w warunkach ambulatoryjnych </w:t>
      </w:r>
      <w:r w:rsidR="00D73483">
        <w:rPr>
          <w:lang w:eastAsia="pl-PL"/>
        </w:rPr>
        <w:t>wzrastają na przestrzeni lat.</w:t>
      </w:r>
      <w:r w:rsidR="00D73483" w:rsidRPr="00D73483">
        <w:t xml:space="preserve"> </w:t>
      </w:r>
      <w:r w:rsidR="00D73483">
        <w:t>Poniżej w tabeli przedstawiono nakłady na poszczególne typy świadczeń w latach 2016-2019.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40"/>
        <w:gridCol w:w="1540"/>
        <w:gridCol w:w="1540"/>
        <w:gridCol w:w="1540"/>
      </w:tblGrid>
      <w:tr w:rsidR="00D73483" w:rsidRPr="00D73483" w14:paraId="03D62DE3" w14:textId="77777777" w:rsidTr="001F584D">
        <w:trPr>
          <w:trHeight w:val="255"/>
        </w:trPr>
        <w:tc>
          <w:tcPr>
            <w:tcW w:w="29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22CAFFA4" w14:textId="77777777" w:rsidR="00D73483" w:rsidRPr="001F584D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zakresu świadczeń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60BDF0CC" w14:textId="77777777" w:rsidR="00D73483" w:rsidRPr="001F584D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71CBA11E" w14:textId="77777777" w:rsidR="00D73483" w:rsidRPr="001F584D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2BF0E207" w14:textId="77777777" w:rsidR="00D73483" w:rsidRPr="001F584D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531BF032" w14:textId="77777777" w:rsidR="00D73483" w:rsidRPr="001F584D" w:rsidRDefault="00D73483" w:rsidP="00D7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2019</w:t>
            </w:r>
          </w:p>
        </w:tc>
      </w:tr>
      <w:tr w:rsidR="00D73483" w:rsidRPr="00D73483" w14:paraId="55541D84" w14:textId="77777777" w:rsidTr="001F584D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DB6F" w14:textId="77777777" w:rsidR="00D73483" w:rsidRPr="001F584D" w:rsidRDefault="00D73483" w:rsidP="00D73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PSYCHIATRYCZNE AMBULATORYJNE DLA DZIECI I MŁODZIEŻY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21CA" w14:textId="77777777" w:rsidR="00D73483" w:rsidRPr="001F584D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40 516 212 zł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34F4" w14:textId="77777777" w:rsidR="00D73483" w:rsidRPr="001F584D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46 170 155 zł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1DC6" w14:textId="77777777" w:rsidR="00D73483" w:rsidRPr="001F584D" w:rsidRDefault="00D73483" w:rsidP="00D73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48 420 726 zł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C2A6A" w14:textId="77777777" w:rsidR="00D73483" w:rsidRPr="001F584D" w:rsidRDefault="00D73483" w:rsidP="001F584D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5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53 828 381 zł</w:t>
            </w:r>
          </w:p>
        </w:tc>
      </w:tr>
    </w:tbl>
    <w:p w14:paraId="760AE188" w14:textId="647F208B" w:rsidR="00D73483" w:rsidRPr="00C372E2" w:rsidRDefault="00D73483" w:rsidP="001F584D">
      <w:pPr>
        <w:pStyle w:val="Legenda"/>
        <w:rPr>
          <w:lang w:eastAsia="pl-PL"/>
        </w:rPr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. </w:t>
      </w:r>
      <w:r w:rsidRPr="009A711F">
        <w:t>Nakłady na wybrane zakresy świadczeń w latach 2016-2019. Zestawienie własne na podstawie danych NFZ.</w:t>
      </w:r>
    </w:p>
    <w:p w14:paraId="3A834449" w14:textId="77777777" w:rsidR="00CD096E" w:rsidRPr="005509DA" w:rsidRDefault="00CD096E" w:rsidP="00F72842">
      <w:pPr>
        <w:pStyle w:val="Nagwek6"/>
        <w:numPr>
          <w:ilvl w:val="1"/>
          <w:numId w:val="3"/>
        </w:numPr>
        <w:rPr>
          <w:color w:val="0070C0"/>
          <w:spacing w:val="-10"/>
          <w:kern w:val="28"/>
          <w:sz w:val="28"/>
          <w:szCs w:val="56"/>
        </w:rPr>
      </w:pPr>
      <w:r w:rsidRPr="005509DA">
        <w:rPr>
          <w:color w:val="0070C0"/>
          <w:spacing w:val="-10"/>
          <w:kern w:val="28"/>
          <w:sz w:val="28"/>
          <w:szCs w:val="56"/>
        </w:rPr>
        <w:t>Centra Zdrowia Psychicznego</w:t>
      </w:r>
    </w:p>
    <w:p w14:paraId="58DF8A0C" w14:textId="315218A2" w:rsidR="00CD096E" w:rsidRDefault="00CD096E" w:rsidP="00CD096E">
      <w:pPr>
        <w:pStyle w:val="Nagwek7"/>
        <w:rPr>
          <w:color w:val="0070C0"/>
          <w:lang w:eastAsia="pl-PL"/>
        </w:rPr>
      </w:pPr>
      <w:r w:rsidRPr="005509DA">
        <w:rPr>
          <w:color w:val="0070C0"/>
          <w:lang w:eastAsia="pl-PL"/>
        </w:rPr>
        <w:t>Zakres wsparcia</w:t>
      </w:r>
    </w:p>
    <w:p w14:paraId="3587DCD0" w14:textId="0DAEE558" w:rsidR="00A313DF" w:rsidRPr="001F584D" w:rsidRDefault="00A313DF" w:rsidP="001F584D">
      <w:pPr>
        <w:jc w:val="both"/>
        <w:rPr>
          <w:lang w:eastAsia="pl-PL"/>
        </w:rPr>
      </w:pPr>
      <w:r w:rsidRPr="00A313DF">
        <w:rPr>
          <w:lang w:eastAsia="pl-PL"/>
        </w:rPr>
        <w:t xml:space="preserve">Aby umożliwić przystosowanie środowiskowego modelu psychiatrycznej opieki zdrowotnej do uwarunkowań społeczno-ekonomicznych, niezbędne jest przeprowadzenie programu pilotażowego centrum zdrowia psychicznego, który w chwili obecnej jest w trakcie wdrażania. Celem programu pilotażowego jest przetestowanie środowiskowego modelu psychiatrycznej opieki zdrowotnej opartego na centrach zdrowia psychicznego, o których mowa w art. 5a ustawy z dnia 1994 r. o ochronie zdrowia psychicznego w aspekcie organizacyjnym, finansowym, jakościowym oraz równości </w:t>
      </w:r>
      <w:r w:rsidR="004A1CB0">
        <w:rPr>
          <w:lang w:eastAsia="pl-PL"/>
        </w:rPr>
        <w:br/>
      </w:r>
      <w:r w:rsidRPr="00A313DF">
        <w:rPr>
          <w:lang w:eastAsia="pl-PL"/>
        </w:rPr>
        <w:t xml:space="preserve">i dostępności do świadczeń zdrowotnych. W dniu 9 maja 2018 r. przyjęte zostało rozporządzenie </w:t>
      </w:r>
      <w:r w:rsidRPr="00A313DF">
        <w:rPr>
          <w:lang w:eastAsia="pl-PL"/>
        </w:rPr>
        <w:lastRenderedPageBreak/>
        <w:t>Ministra Zdrowia z dnia 27 kwietnia 2018 r. w sprawie programu pilotażowego w centrach zdrowia psychicznego. Zgodnie z przepisami każdy podmiot zakwalifikowany do programu pilotażowego tworzy jedno centrum zdrowia psychicznego.</w:t>
      </w:r>
    </w:p>
    <w:p w14:paraId="12BFCCEC" w14:textId="09A11F2A" w:rsidR="00E74D62" w:rsidRDefault="00E74D62" w:rsidP="00E74D62">
      <w:pPr>
        <w:spacing w:after="120"/>
        <w:jc w:val="both"/>
        <w:rPr>
          <w:lang w:eastAsia="pl-PL"/>
        </w:rPr>
      </w:pPr>
      <w:r w:rsidRPr="00A224C3">
        <w:rPr>
          <w:lang w:eastAsia="pl-PL"/>
        </w:rPr>
        <w:t xml:space="preserve">Świadczenia gwarantowane opieki psychiatrycznej realizowane w </w:t>
      </w:r>
      <w:r>
        <w:rPr>
          <w:lang w:eastAsia="pl-PL"/>
        </w:rPr>
        <w:t xml:space="preserve">ramach </w:t>
      </w:r>
      <w:r w:rsidR="00152D87">
        <w:rPr>
          <w:lang w:eastAsia="pl-PL"/>
        </w:rPr>
        <w:t xml:space="preserve">centrum zdrowia psychicznego </w:t>
      </w:r>
      <w:r w:rsidR="00316255">
        <w:rPr>
          <w:lang w:eastAsia="pl-PL"/>
        </w:rPr>
        <w:t>(</w:t>
      </w:r>
      <w:r w:rsidR="00A313DF">
        <w:rPr>
          <w:lang w:eastAsia="pl-PL"/>
        </w:rPr>
        <w:t>czp</w:t>
      </w:r>
      <w:r w:rsidR="00316255">
        <w:rPr>
          <w:lang w:eastAsia="pl-PL"/>
        </w:rPr>
        <w:t>)</w:t>
      </w:r>
      <w:r>
        <w:rPr>
          <w:lang w:eastAsia="pl-PL"/>
        </w:rPr>
        <w:t xml:space="preserve"> </w:t>
      </w:r>
      <w:r w:rsidRPr="00A224C3">
        <w:rPr>
          <w:lang w:eastAsia="pl-PL"/>
        </w:rPr>
        <w:t>udzielane są</w:t>
      </w:r>
      <w:r>
        <w:rPr>
          <w:lang w:eastAsia="pl-PL"/>
        </w:rPr>
        <w:t xml:space="preserve"> osobom pełnoletnim</w:t>
      </w:r>
      <w:r w:rsidRPr="00A224C3">
        <w:rPr>
          <w:lang w:eastAsia="pl-PL"/>
        </w:rPr>
        <w:t xml:space="preserve"> </w:t>
      </w:r>
      <w:r>
        <w:rPr>
          <w:lang w:eastAsia="pl-PL"/>
        </w:rPr>
        <w:t>cierpiącym na zaburzenia psychiczne</w:t>
      </w:r>
      <w:r w:rsidR="00316255">
        <w:rPr>
          <w:lang w:eastAsia="pl-PL"/>
        </w:rPr>
        <w:t xml:space="preserve">. </w:t>
      </w:r>
      <w:r w:rsidR="004A1CB0">
        <w:rPr>
          <w:lang w:eastAsia="pl-PL"/>
        </w:rPr>
        <w:br/>
      </w:r>
      <w:r w:rsidR="00316255">
        <w:rPr>
          <w:lang w:eastAsia="pl-PL"/>
        </w:rPr>
        <w:t>C</w:t>
      </w:r>
      <w:r w:rsidR="00A313DF">
        <w:rPr>
          <w:lang w:eastAsia="pl-PL"/>
        </w:rPr>
        <w:t>zp</w:t>
      </w:r>
      <w:r w:rsidR="00316255">
        <w:rPr>
          <w:lang w:eastAsia="pl-PL"/>
        </w:rPr>
        <w:t xml:space="preserve"> zapewnia kompleksową</w:t>
      </w:r>
      <w:r w:rsidR="00316255" w:rsidRPr="00830161">
        <w:rPr>
          <w:lang w:eastAsia="pl-PL"/>
        </w:rPr>
        <w:t xml:space="preserve"> </w:t>
      </w:r>
      <w:r w:rsidR="00576573">
        <w:rPr>
          <w:lang w:eastAsia="pl-PL"/>
        </w:rPr>
        <w:t xml:space="preserve">psychiatryczną </w:t>
      </w:r>
      <w:r w:rsidR="00316255" w:rsidRPr="00830161">
        <w:rPr>
          <w:lang w:eastAsia="pl-PL"/>
        </w:rPr>
        <w:t>opiek</w:t>
      </w:r>
      <w:r w:rsidR="00316255">
        <w:rPr>
          <w:lang w:eastAsia="pl-PL"/>
        </w:rPr>
        <w:t>ę</w:t>
      </w:r>
      <w:r w:rsidR="00316255" w:rsidRPr="00830161">
        <w:rPr>
          <w:lang w:eastAsia="pl-PL"/>
        </w:rPr>
        <w:t xml:space="preserve"> zdrowotn</w:t>
      </w:r>
      <w:r w:rsidR="00316255">
        <w:rPr>
          <w:lang w:eastAsia="pl-PL"/>
        </w:rPr>
        <w:t>ą</w:t>
      </w:r>
      <w:r w:rsidR="00316255" w:rsidRPr="00830161">
        <w:rPr>
          <w:lang w:eastAsia="pl-PL"/>
        </w:rPr>
        <w:t xml:space="preserve"> </w:t>
      </w:r>
      <w:r w:rsidR="00316255">
        <w:rPr>
          <w:lang w:eastAsia="pl-PL"/>
        </w:rPr>
        <w:t xml:space="preserve">osobom zamieszkałym </w:t>
      </w:r>
      <w:r w:rsidRPr="00830161">
        <w:rPr>
          <w:lang w:eastAsia="pl-PL"/>
        </w:rPr>
        <w:t xml:space="preserve">na określonym obszarze terytorialnym w formie </w:t>
      </w:r>
      <w:r w:rsidR="00576573">
        <w:rPr>
          <w:lang w:eastAsia="pl-PL"/>
        </w:rPr>
        <w:t xml:space="preserve">co najmniej </w:t>
      </w:r>
      <w:r w:rsidRPr="00830161">
        <w:rPr>
          <w:lang w:eastAsia="pl-PL"/>
        </w:rPr>
        <w:t>pomocy doraźnej, ambulatoryjnej</w:t>
      </w:r>
      <w:r>
        <w:rPr>
          <w:lang w:eastAsia="pl-PL"/>
        </w:rPr>
        <w:t xml:space="preserve"> (porada lekarska, porada psychologiczna, sesja psychoterapii, wizyta domowa)</w:t>
      </w:r>
      <w:r w:rsidRPr="00830161">
        <w:rPr>
          <w:lang w:eastAsia="pl-PL"/>
        </w:rPr>
        <w:t xml:space="preserve">, </w:t>
      </w:r>
      <w:r w:rsidR="00316255">
        <w:rPr>
          <w:lang w:eastAsia="pl-PL"/>
        </w:rPr>
        <w:t>środowiskowej</w:t>
      </w:r>
      <w:r w:rsidR="00971480">
        <w:rPr>
          <w:lang w:eastAsia="pl-PL"/>
        </w:rPr>
        <w:t xml:space="preserve"> (środowiskowe opieka czynna</w:t>
      </w:r>
      <w:r w:rsidR="00341E76">
        <w:rPr>
          <w:lang w:eastAsia="pl-PL"/>
        </w:rPr>
        <w:t xml:space="preserve"> </w:t>
      </w:r>
      <w:r w:rsidR="00971480">
        <w:rPr>
          <w:lang w:eastAsia="pl-PL"/>
        </w:rPr>
        <w:t>zesp</w:t>
      </w:r>
      <w:r w:rsidR="00341E76">
        <w:rPr>
          <w:lang w:eastAsia="pl-PL"/>
        </w:rPr>
        <w:t>ołu</w:t>
      </w:r>
      <w:r w:rsidR="00971480">
        <w:rPr>
          <w:lang w:eastAsia="pl-PL"/>
        </w:rPr>
        <w:t xml:space="preserve"> leczenia środowiskowego</w:t>
      </w:r>
      <w:r w:rsidR="00341E76">
        <w:rPr>
          <w:lang w:eastAsia="pl-PL"/>
        </w:rPr>
        <w:t>/domowego</w:t>
      </w:r>
      <w:r w:rsidR="00971480">
        <w:rPr>
          <w:lang w:eastAsia="pl-PL"/>
        </w:rPr>
        <w:t>),</w:t>
      </w:r>
      <w:r w:rsidR="00316255">
        <w:rPr>
          <w:lang w:eastAsia="pl-PL"/>
        </w:rPr>
        <w:t xml:space="preserve"> </w:t>
      </w:r>
      <w:r w:rsidRPr="00830161">
        <w:rPr>
          <w:lang w:eastAsia="pl-PL"/>
        </w:rPr>
        <w:t>dziennej</w:t>
      </w:r>
      <w:r>
        <w:rPr>
          <w:lang w:eastAsia="pl-PL"/>
        </w:rPr>
        <w:t xml:space="preserve"> (oddział </w:t>
      </w:r>
      <w:r w:rsidR="00316255">
        <w:rPr>
          <w:lang w:eastAsia="pl-PL"/>
        </w:rPr>
        <w:t xml:space="preserve">dzienny) i </w:t>
      </w:r>
      <w:r>
        <w:rPr>
          <w:lang w:eastAsia="pl-PL"/>
        </w:rPr>
        <w:t>szpitalnej</w:t>
      </w:r>
      <w:r w:rsidR="00971480">
        <w:rPr>
          <w:lang w:eastAsia="pl-PL"/>
        </w:rPr>
        <w:t xml:space="preserve"> (całodobowy, ogólny oddział psychiatryczny).</w:t>
      </w:r>
      <w:r>
        <w:rPr>
          <w:lang w:eastAsia="pl-PL"/>
        </w:rPr>
        <w:t xml:space="preserve"> </w:t>
      </w:r>
    </w:p>
    <w:p w14:paraId="6325360D" w14:textId="77D1CBA6" w:rsidR="00E74D62" w:rsidRDefault="00576573" w:rsidP="00E74D62">
      <w:pPr>
        <w:spacing w:after="120"/>
        <w:jc w:val="both"/>
        <w:rPr>
          <w:lang w:eastAsia="pl-PL"/>
        </w:rPr>
      </w:pPr>
      <w:r>
        <w:rPr>
          <w:lang w:eastAsia="pl-PL"/>
        </w:rPr>
        <w:t>Odpowiedzialność ter</w:t>
      </w:r>
      <w:r w:rsidR="00341E76">
        <w:rPr>
          <w:lang w:eastAsia="pl-PL"/>
        </w:rPr>
        <w:t>y</w:t>
      </w:r>
      <w:r>
        <w:rPr>
          <w:lang w:eastAsia="pl-PL"/>
        </w:rPr>
        <w:t xml:space="preserve">torialna </w:t>
      </w:r>
      <w:r w:rsidR="00A313DF">
        <w:rPr>
          <w:lang w:eastAsia="pl-PL"/>
        </w:rPr>
        <w:t>czp</w:t>
      </w:r>
      <w:r>
        <w:rPr>
          <w:lang w:eastAsia="pl-PL"/>
        </w:rPr>
        <w:t xml:space="preserve"> zwiększa dostępność opieki, </w:t>
      </w:r>
      <w:r w:rsidR="00E74D62" w:rsidRPr="00FA7650">
        <w:rPr>
          <w:lang w:eastAsia="pl-PL"/>
        </w:rPr>
        <w:t>umożliwia</w:t>
      </w:r>
      <w:r>
        <w:rPr>
          <w:lang w:eastAsia="pl-PL"/>
        </w:rPr>
        <w:t xml:space="preserve"> jej koordynację oraz ułatwia </w:t>
      </w:r>
      <w:r w:rsidR="00E74D62" w:rsidRPr="00FA7650">
        <w:rPr>
          <w:lang w:eastAsia="pl-PL"/>
        </w:rPr>
        <w:t xml:space="preserve">prowadzenie procesu terapeutycznego w sposób </w:t>
      </w:r>
      <w:r>
        <w:rPr>
          <w:lang w:eastAsia="pl-PL"/>
        </w:rPr>
        <w:t>dostosowany</w:t>
      </w:r>
      <w:r w:rsidRPr="00FA7650">
        <w:rPr>
          <w:lang w:eastAsia="pl-PL"/>
        </w:rPr>
        <w:t xml:space="preserve"> </w:t>
      </w:r>
      <w:r>
        <w:rPr>
          <w:lang w:eastAsia="pl-PL"/>
        </w:rPr>
        <w:t xml:space="preserve">i zindywidualizowany </w:t>
      </w:r>
      <w:r w:rsidR="00E74D62" w:rsidRPr="00FA7650">
        <w:rPr>
          <w:lang w:eastAsia="pl-PL"/>
        </w:rPr>
        <w:t>do potrzeb pacjentów</w:t>
      </w:r>
      <w:r>
        <w:rPr>
          <w:lang w:eastAsia="pl-PL"/>
        </w:rPr>
        <w:t xml:space="preserve">, co może w znaczący sposób przyczyniać się </w:t>
      </w:r>
      <w:r w:rsidR="00E74D62" w:rsidRPr="00FA7650">
        <w:rPr>
          <w:lang w:eastAsia="pl-PL"/>
        </w:rPr>
        <w:t>do zwiększenia efektów terapeutycznych.</w:t>
      </w:r>
    </w:p>
    <w:p w14:paraId="14C50E0B" w14:textId="72105675" w:rsidR="00576573" w:rsidRDefault="00576573" w:rsidP="00576573">
      <w:pPr>
        <w:spacing w:after="120"/>
        <w:jc w:val="both"/>
        <w:rPr>
          <w:lang w:eastAsia="pl-PL"/>
        </w:rPr>
      </w:pPr>
      <w:r>
        <w:rPr>
          <w:lang w:eastAsia="pl-PL"/>
        </w:rPr>
        <w:t xml:space="preserve">Pierwszy kontakt z </w:t>
      </w:r>
      <w:r w:rsidR="00A313DF">
        <w:rPr>
          <w:lang w:eastAsia="pl-PL"/>
        </w:rPr>
        <w:t>czp</w:t>
      </w:r>
      <w:r>
        <w:rPr>
          <w:lang w:eastAsia="pl-PL"/>
        </w:rPr>
        <w:t xml:space="preserve"> </w:t>
      </w:r>
      <w:r w:rsidR="006513BB">
        <w:rPr>
          <w:lang w:eastAsia="pl-PL"/>
        </w:rPr>
        <w:t xml:space="preserve">następuje bezpośrednio lub telefonicznie w </w:t>
      </w:r>
      <w:r w:rsidR="00152D87">
        <w:rPr>
          <w:lang w:eastAsia="pl-PL"/>
        </w:rPr>
        <w:t>punkcie zgłoszeniowo-koordynacyjnym</w:t>
      </w:r>
      <w:r>
        <w:rPr>
          <w:lang w:eastAsia="pl-PL"/>
        </w:rPr>
        <w:t xml:space="preserve"> (PZK)</w:t>
      </w:r>
      <w:r w:rsidR="009D7457">
        <w:rPr>
          <w:lang w:eastAsia="pl-PL"/>
        </w:rPr>
        <w:t>.</w:t>
      </w:r>
      <w:r>
        <w:rPr>
          <w:lang w:eastAsia="pl-PL"/>
        </w:rPr>
        <w:t xml:space="preserve"> </w:t>
      </w:r>
      <w:r w:rsidR="00A91364" w:rsidRPr="00FA7650">
        <w:rPr>
          <w:lang w:eastAsia="pl-PL"/>
        </w:rPr>
        <w:t xml:space="preserve">Osoby </w:t>
      </w:r>
      <w:r w:rsidR="00063ACA">
        <w:rPr>
          <w:lang w:eastAsia="pl-PL"/>
        </w:rPr>
        <w:t>zgłaszające się są</w:t>
      </w:r>
      <w:r w:rsidR="00A91364" w:rsidRPr="00FA7650">
        <w:rPr>
          <w:lang w:eastAsia="pl-PL"/>
        </w:rPr>
        <w:t xml:space="preserve"> obsługiwane </w:t>
      </w:r>
      <w:r w:rsidR="00063ACA">
        <w:rPr>
          <w:lang w:eastAsia="pl-PL"/>
        </w:rPr>
        <w:t>bez</w:t>
      </w:r>
      <w:r w:rsidR="00A91364" w:rsidRPr="00FA7650">
        <w:rPr>
          <w:lang w:eastAsia="pl-PL"/>
        </w:rPr>
        <w:t xml:space="preserve"> </w:t>
      </w:r>
      <w:r w:rsidR="009D7457">
        <w:rPr>
          <w:lang w:eastAsia="pl-PL"/>
        </w:rPr>
        <w:t xml:space="preserve">zwłoki, i bez </w:t>
      </w:r>
      <w:r w:rsidR="00A91364" w:rsidRPr="00FA7650">
        <w:rPr>
          <w:lang w:eastAsia="pl-PL"/>
        </w:rPr>
        <w:t>konieczności wcześniejszego umawiania się</w:t>
      </w:r>
      <w:r w:rsidR="00063ACA">
        <w:rPr>
          <w:lang w:eastAsia="pl-PL"/>
        </w:rPr>
        <w:t>, przez wykwalifikowanego</w:t>
      </w:r>
      <w:r w:rsidR="006513BB">
        <w:rPr>
          <w:lang w:eastAsia="pl-PL"/>
        </w:rPr>
        <w:t xml:space="preserve"> pracownik</w:t>
      </w:r>
      <w:r w:rsidR="00063ACA">
        <w:rPr>
          <w:lang w:eastAsia="pl-PL"/>
        </w:rPr>
        <w:t>a</w:t>
      </w:r>
      <w:r w:rsidR="006513BB">
        <w:rPr>
          <w:lang w:eastAsia="pl-PL"/>
        </w:rPr>
        <w:t xml:space="preserve"> medyczn</w:t>
      </w:r>
      <w:r w:rsidR="00063ACA">
        <w:rPr>
          <w:lang w:eastAsia="pl-PL"/>
        </w:rPr>
        <w:t>ego, który</w:t>
      </w:r>
      <w:r>
        <w:rPr>
          <w:lang w:eastAsia="pl-PL"/>
        </w:rPr>
        <w:t>:</w:t>
      </w:r>
    </w:p>
    <w:p w14:paraId="66B877F0" w14:textId="374BF226" w:rsidR="00576573" w:rsidRDefault="006513BB" w:rsidP="00F72842">
      <w:pPr>
        <w:pStyle w:val="Akapitzlist"/>
        <w:numPr>
          <w:ilvl w:val="0"/>
          <w:numId w:val="4"/>
        </w:numPr>
        <w:spacing w:after="120"/>
        <w:jc w:val="both"/>
        <w:rPr>
          <w:lang w:eastAsia="pl-PL"/>
        </w:rPr>
      </w:pPr>
      <w:r>
        <w:rPr>
          <w:lang w:eastAsia="pl-PL"/>
        </w:rPr>
        <w:t xml:space="preserve">udzieli </w:t>
      </w:r>
      <w:r w:rsidR="00341E76">
        <w:rPr>
          <w:lang w:eastAsia="pl-PL"/>
        </w:rPr>
        <w:t>i</w:t>
      </w:r>
      <w:r w:rsidR="00576573">
        <w:rPr>
          <w:lang w:eastAsia="pl-PL"/>
        </w:rPr>
        <w:t>nformacj</w:t>
      </w:r>
      <w:r>
        <w:rPr>
          <w:lang w:eastAsia="pl-PL"/>
        </w:rPr>
        <w:t>i</w:t>
      </w:r>
      <w:r w:rsidR="00576573">
        <w:rPr>
          <w:lang w:eastAsia="pl-PL"/>
        </w:rPr>
        <w:t xml:space="preserve"> o zakresie działania centrum i możliwości uzyskania świadczeń opieki zdrowotnej,</w:t>
      </w:r>
    </w:p>
    <w:p w14:paraId="4DDE1804" w14:textId="3C5BE647" w:rsidR="00576573" w:rsidRDefault="006513BB" w:rsidP="00F72842">
      <w:pPr>
        <w:pStyle w:val="Akapitzlist"/>
        <w:numPr>
          <w:ilvl w:val="0"/>
          <w:numId w:val="4"/>
        </w:numPr>
        <w:spacing w:after="120"/>
        <w:jc w:val="both"/>
        <w:rPr>
          <w:lang w:eastAsia="pl-PL"/>
        </w:rPr>
      </w:pPr>
      <w:r>
        <w:rPr>
          <w:lang w:eastAsia="pl-PL"/>
        </w:rPr>
        <w:t xml:space="preserve">dokona </w:t>
      </w:r>
      <w:r w:rsidR="00576573">
        <w:rPr>
          <w:lang w:eastAsia="pl-PL"/>
        </w:rPr>
        <w:t>wstępn</w:t>
      </w:r>
      <w:r>
        <w:rPr>
          <w:lang w:eastAsia="pl-PL"/>
        </w:rPr>
        <w:t>ej</w:t>
      </w:r>
      <w:r w:rsidR="00576573">
        <w:rPr>
          <w:lang w:eastAsia="pl-PL"/>
        </w:rPr>
        <w:t xml:space="preserve"> ocen</w:t>
      </w:r>
      <w:r>
        <w:rPr>
          <w:lang w:eastAsia="pl-PL"/>
        </w:rPr>
        <w:t>y</w:t>
      </w:r>
      <w:r w:rsidR="00576573">
        <w:rPr>
          <w:lang w:eastAsia="pl-PL"/>
        </w:rPr>
        <w:t xml:space="preserve"> potrzeb zdrowotnych,</w:t>
      </w:r>
    </w:p>
    <w:p w14:paraId="5C4C2585" w14:textId="38C6F9E7" w:rsidR="00576573" w:rsidRDefault="006513BB" w:rsidP="00F72842">
      <w:pPr>
        <w:pStyle w:val="Akapitzlist"/>
        <w:numPr>
          <w:ilvl w:val="0"/>
          <w:numId w:val="4"/>
        </w:numPr>
        <w:spacing w:after="120"/>
        <w:jc w:val="both"/>
        <w:rPr>
          <w:lang w:eastAsia="pl-PL"/>
        </w:rPr>
      </w:pPr>
      <w:r>
        <w:rPr>
          <w:lang w:eastAsia="pl-PL"/>
        </w:rPr>
        <w:t xml:space="preserve">wskaże </w:t>
      </w:r>
      <w:r w:rsidR="00576573">
        <w:rPr>
          <w:lang w:eastAsia="pl-PL"/>
        </w:rPr>
        <w:t>termin</w:t>
      </w:r>
      <w:r w:rsidR="00E95DD7">
        <w:rPr>
          <w:lang w:eastAsia="pl-PL"/>
        </w:rPr>
        <w:t>,</w:t>
      </w:r>
      <w:r w:rsidR="00576573">
        <w:rPr>
          <w:lang w:eastAsia="pl-PL"/>
        </w:rPr>
        <w:t xml:space="preserve"> </w:t>
      </w:r>
      <w:r w:rsidR="00A91364">
        <w:rPr>
          <w:lang w:eastAsia="pl-PL"/>
        </w:rPr>
        <w:t xml:space="preserve">rodzaj i miejsce </w:t>
      </w:r>
      <w:r w:rsidR="00576573">
        <w:rPr>
          <w:lang w:eastAsia="pl-PL"/>
        </w:rPr>
        <w:t>uzyskania niezbędnego świadczenia</w:t>
      </w:r>
      <w:r>
        <w:rPr>
          <w:lang w:eastAsia="pl-PL"/>
        </w:rPr>
        <w:t xml:space="preserve"> (</w:t>
      </w:r>
      <w:r w:rsidR="00576573">
        <w:rPr>
          <w:lang w:eastAsia="pl-PL"/>
        </w:rPr>
        <w:t>w przypadkach pilnych</w:t>
      </w:r>
      <w:r>
        <w:rPr>
          <w:lang w:eastAsia="pl-PL"/>
        </w:rPr>
        <w:t xml:space="preserve">, </w:t>
      </w:r>
      <w:r w:rsidR="00576573">
        <w:rPr>
          <w:lang w:eastAsia="pl-PL"/>
        </w:rPr>
        <w:t>nie później niż 72 godziny od chwili zgłoszenia),</w:t>
      </w:r>
    </w:p>
    <w:p w14:paraId="5A598C73" w14:textId="4486B597" w:rsidR="00576573" w:rsidRDefault="006513BB" w:rsidP="00F72842">
      <w:pPr>
        <w:pStyle w:val="Akapitzlist"/>
        <w:numPr>
          <w:ilvl w:val="0"/>
          <w:numId w:val="4"/>
        </w:numPr>
        <w:spacing w:after="120"/>
        <w:jc w:val="both"/>
        <w:rPr>
          <w:lang w:eastAsia="pl-PL"/>
        </w:rPr>
      </w:pPr>
      <w:r>
        <w:rPr>
          <w:lang w:eastAsia="pl-PL"/>
        </w:rPr>
        <w:t xml:space="preserve">gdy jest taka potrzeba, udzieli </w:t>
      </w:r>
      <w:r w:rsidR="00576573">
        <w:rPr>
          <w:lang w:eastAsia="pl-PL"/>
        </w:rPr>
        <w:t>informacj</w:t>
      </w:r>
      <w:r>
        <w:rPr>
          <w:lang w:eastAsia="pl-PL"/>
        </w:rPr>
        <w:t>i</w:t>
      </w:r>
      <w:r w:rsidR="00576573">
        <w:rPr>
          <w:lang w:eastAsia="pl-PL"/>
        </w:rPr>
        <w:t xml:space="preserve"> na temat miejsca uzyskania niezbędnego świadczenia z zakresu pomocy społecznej, </w:t>
      </w:r>
      <w:r>
        <w:rPr>
          <w:lang w:eastAsia="pl-PL"/>
        </w:rPr>
        <w:t>gdy jest ona potrzebna</w:t>
      </w:r>
      <w:r>
        <w:rPr>
          <w:strike/>
          <w:lang w:eastAsia="pl-PL"/>
        </w:rPr>
        <w:t>.</w:t>
      </w:r>
    </w:p>
    <w:p w14:paraId="6E9008AF" w14:textId="467E96F7" w:rsidR="006513BB" w:rsidRDefault="006513BB" w:rsidP="000E07C7">
      <w:pPr>
        <w:spacing w:after="120"/>
        <w:jc w:val="both"/>
        <w:rPr>
          <w:lang w:eastAsia="pl-PL"/>
        </w:rPr>
      </w:pPr>
      <w:r>
        <w:rPr>
          <w:lang w:eastAsia="pl-PL"/>
        </w:rPr>
        <w:t xml:space="preserve">PZK stanowi część </w:t>
      </w:r>
      <w:r w:rsidR="00152D87">
        <w:rPr>
          <w:lang w:eastAsia="pl-PL"/>
        </w:rPr>
        <w:t>p</w:t>
      </w:r>
      <w:r>
        <w:rPr>
          <w:lang w:eastAsia="pl-PL"/>
        </w:rPr>
        <w:t xml:space="preserve">oradni </w:t>
      </w:r>
      <w:r w:rsidR="00152D87">
        <w:rPr>
          <w:lang w:eastAsia="pl-PL"/>
        </w:rPr>
        <w:t>z</w:t>
      </w:r>
      <w:r>
        <w:rPr>
          <w:lang w:eastAsia="pl-PL"/>
        </w:rPr>
        <w:t xml:space="preserve">drowia </w:t>
      </w:r>
      <w:r w:rsidR="00152D87">
        <w:rPr>
          <w:lang w:eastAsia="pl-PL"/>
        </w:rPr>
        <w:t>p</w:t>
      </w:r>
      <w:r>
        <w:rPr>
          <w:lang w:eastAsia="pl-PL"/>
        </w:rPr>
        <w:t xml:space="preserve">sychicznego, która </w:t>
      </w:r>
      <w:r w:rsidR="00152D87">
        <w:rPr>
          <w:lang w:eastAsia="pl-PL"/>
        </w:rPr>
        <w:t xml:space="preserve">w </w:t>
      </w:r>
      <w:r w:rsidR="00A313DF">
        <w:rPr>
          <w:lang w:eastAsia="pl-PL"/>
        </w:rPr>
        <w:t>czp</w:t>
      </w:r>
      <w:r w:rsidR="00152D87">
        <w:rPr>
          <w:lang w:eastAsia="pl-PL"/>
        </w:rPr>
        <w:t xml:space="preserve"> </w:t>
      </w:r>
      <w:r>
        <w:rPr>
          <w:lang w:eastAsia="pl-PL"/>
        </w:rPr>
        <w:t xml:space="preserve">funkcjonuje </w:t>
      </w:r>
      <w:r w:rsidRPr="004B49A4">
        <w:rPr>
          <w:lang w:eastAsia="pl-PL"/>
        </w:rPr>
        <w:t>co najmniej od poniedziałku do piątku, poza dniami ustawowo wolnymi od pracy, w godzinach od 8</w:t>
      </w:r>
      <w:r>
        <w:rPr>
          <w:lang w:eastAsia="pl-PL"/>
        </w:rPr>
        <w:t>.</w:t>
      </w:r>
      <w:r w:rsidRPr="004B49A4">
        <w:rPr>
          <w:lang w:eastAsia="pl-PL"/>
        </w:rPr>
        <w:t>00 do 18</w:t>
      </w:r>
      <w:r>
        <w:rPr>
          <w:lang w:eastAsia="pl-PL"/>
        </w:rPr>
        <w:t>.</w:t>
      </w:r>
      <w:r w:rsidRPr="004B49A4">
        <w:rPr>
          <w:lang w:eastAsia="pl-PL"/>
        </w:rPr>
        <w:t>00.</w:t>
      </w:r>
      <w:r w:rsidR="00063ACA">
        <w:rPr>
          <w:lang w:eastAsia="pl-PL"/>
        </w:rPr>
        <w:t xml:space="preserve"> W </w:t>
      </w:r>
      <w:r w:rsidR="009D7457">
        <w:rPr>
          <w:lang w:eastAsia="pl-PL"/>
        </w:rPr>
        <w:t>innym czasie</w:t>
      </w:r>
      <w:r w:rsidR="00485CBB">
        <w:rPr>
          <w:lang w:eastAsia="pl-PL"/>
        </w:rPr>
        <w:t>, jak również w przypadkach naglących</w:t>
      </w:r>
      <w:r w:rsidR="009D7457">
        <w:rPr>
          <w:lang w:eastAsia="pl-PL"/>
        </w:rPr>
        <w:t>,</w:t>
      </w:r>
      <w:r w:rsidR="00063ACA">
        <w:rPr>
          <w:lang w:eastAsia="pl-PL"/>
        </w:rPr>
        <w:t xml:space="preserve"> </w:t>
      </w:r>
      <w:r w:rsidR="009D7457">
        <w:rPr>
          <w:lang w:eastAsia="pl-PL"/>
        </w:rPr>
        <w:t xml:space="preserve">niezbędną </w:t>
      </w:r>
      <w:r w:rsidR="00063ACA">
        <w:rPr>
          <w:lang w:eastAsia="pl-PL"/>
        </w:rPr>
        <w:t>pom</w:t>
      </w:r>
      <w:r w:rsidR="00341E76">
        <w:rPr>
          <w:lang w:eastAsia="pl-PL"/>
        </w:rPr>
        <w:t>oc</w:t>
      </w:r>
      <w:r w:rsidR="009D7457">
        <w:rPr>
          <w:lang w:eastAsia="pl-PL"/>
        </w:rPr>
        <w:t xml:space="preserve"> </w:t>
      </w:r>
      <w:r w:rsidR="00063ACA">
        <w:rPr>
          <w:lang w:eastAsia="pl-PL"/>
        </w:rPr>
        <w:t>świadczy lekarz dyżurny oddziału całodobowego</w:t>
      </w:r>
      <w:r w:rsidR="00152D87" w:rsidRPr="00152D87">
        <w:rPr>
          <w:lang w:eastAsia="pl-PL"/>
        </w:rPr>
        <w:t xml:space="preserve"> </w:t>
      </w:r>
      <w:r w:rsidR="00152D87">
        <w:rPr>
          <w:lang w:eastAsia="pl-PL"/>
        </w:rPr>
        <w:t>bez pośrednictwa PZK</w:t>
      </w:r>
      <w:r w:rsidR="00485CBB">
        <w:rPr>
          <w:lang w:eastAsia="pl-PL"/>
        </w:rPr>
        <w:t>.</w:t>
      </w:r>
    </w:p>
    <w:p w14:paraId="113FB825" w14:textId="05353899" w:rsidR="00E74D62" w:rsidRDefault="00341E76" w:rsidP="00E74D62">
      <w:pPr>
        <w:spacing w:after="120"/>
        <w:jc w:val="both"/>
        <w:rPr>
          <w:lang w:eastAsia="pl-PL"/>
        </w:rPr>
      </w:pPr>
      <w:r>
        <w:rPr>
          <w:lang w:eastAsia="pl-PL"/>
        </w:rPr>
        <w:t xml:space="preserve">W poradni </w:t>
      </w:r>
      <w:r w:rsidR="00A313DF">
        <w:rPr>
          <w:lang w:eastAsia="pl-PL"/>
        </w:rPr>
        <w:t>czp</w:t>
      </w:r>
      <w:r>
        <w:rPr>
          <w:lang w:eastAsia="pl-PL"/>
        </w:rPr>
        <w:t xml:space="preserve"> p</w:t>
      </w:r>
      <w:r w:rsidR="00E74D62">
        <w:rPr>
          <w:lang w:eastAsia="pl-PL"/>
        </w:rPr>
        <w:t>acjent może uzyskać</w:t>
      </w:r>
      <w:r w:rsidR="00C65400">
        <w:rPr>
          <w:lang w:eastAsia="pl-PL"/>
        </w:rPr>
        <w:t xml:space="preserve"> pomoc w trybie</w:t>
      </w:r>
      <w:r w:rsidR="00152D87">
        <w:rPr>
          <w:lang w:eastAsia="pl-PL"/>
        </w:rPr>
        <w:t xml:space="preserve"> zwykłym (tj. </w:t>
      </w:r>
      <w:r w:rsidR="00C65400">
        <w:rPr>
          <w:lang w:eastAsia="pl-PL"/>
        </w:rPr>
        <w:t>wyczekującym</w:t>
      </w:r>
      <w:r w:rsidR="00152D87">
        <w:rPr>
          <w:lang w:eastAsia="pl-PL"/>
        </w:rPr>
        <w:t>)</w:t>
      </w:r>
      <w:r w:rsidR="00C65400">
        <w:rPr>
          <w:lang w:eastAsia="pl-PL"/>
        </w:rPr>
        <w:t xml:space="preserve"> lub czynnym (</w:t>
      </w:r>
      <w:r w:rsidR="00152D87">
        <w:rPr>
          <w:lang w:eastAsia="pl-PL"/>
        </w:rPr>
        <w:t xml:space="preserve">tj. </w:t>
      </w:r>
      <w:r w:rsidR="00C65400">
        <w:rPr>
          <w:lang w:eastAsia="pl-PL"/>
        </w:rPr>
        <w:t xml:space="preserve">zapewniającym ciągłość opieki zgodnie z indywidualnym planem terapii i zdrowienia), w formie porad </w:t>
      </w:r>
      <w:r w:rsidR="00485CBB">
        <w:rPr>
          <w:lang w:eastAsia="pl-PL"/>
        </w:rPr>
        <w:t>lub wizyt</w:t>
      </w:r>
      <w:r w:rsidR="00E74D62">
        <w:rPr>
          <w:lang w:eastAsia="pl-PL"/>
        </w:rPr>
        <w:t xml:space="preserve"> lekarza i psychologa, </w:t>
      </w:r>
      <w:r w:rsidR="00C65400">
        <w:rPr>
          <w:lang w:eastAsia="pl-PL"/>
        </w:rPr>
        <w:t xml:space="preserve">wizyt </w:t>
      </w:r>
      <w:r w:rsidR="00E74D62">
        <w:rPr>
          <w:lang w:eastAsia="pl-PL"/>
        </w:rPr>
        <w:t>terapeuty środowiskowego</w:t>
      </w:r>
      <w:r w:rsidR="00485CBB">
        <w:rPr>
          <w:lang w:eastAsia="pl-PL"/>
        </w:rPr>
        <w:t xml:space="preserve">, </w:t>
      </w:r>
      <w:r w:rsidR="00C65400">
        <w:rPr>
          <w:lang w:eastAsia="pl-PL"/>
        </w:rPr>
        <w:t xml:space="preserve">sesji </w:t>
      </w:r>
      <w:r>
        <w:rPr>
          <w:lang w:eastAsia="pl-PL"/>
        </w:rPr>
        <w:t>wsparcia psychospołecznego lub</w:t>
      </w:r>
      <w:r w:rsidR="00E74D62">
        <w:rPr>
          <w:lang w:eastAsia="pl-PL"/>
        </w:rPr>
        <w:t xml:space="preserve"> psychoterapii.</w:t>
      </w:r>
      <w:r>
        <w:rPr>
          <w:lang w:eastAsia="pl-PL"/>
        </w:rPr>
        <w:t xml:space="preserve"> </w:t>
      </w:r>
      <w:r w:rsidR="00485CBB">
        <w:rPr>
          <w:lang w:eastAsia="pl-PL"/>
        </w:rPr>
        <w:t xml:space="preserve">Zespół leczenia środowiskowego zajmuje się pacjentami wymagającymi </w:t>
      </w:r>
      <w:r w:rsidR="00C65400">
        <w:rPr>
          <w:lang w:eastAsia="pl-PL"/>
        </w:rPr>
        <w:t xml:space="preserve">środowiskowej </w:t>
      </w:r>
      <w:r w:rsidR="00485CBB">
        <w:rPr>
          <w:lang w:eastAsia="pl-PL"/>
        </w:rPr>
        <w:t xml:space="preserve">opieki czynnej, </w:t>
      </w:r>
      <w:r w:rsidR="00C65400">
        <w:rPr>
          <w:lang w:eastAsia="pl-PL"/>
        </w:rPr>
        <w:t xml:space="preserve">tj. </w:t>
      </w:r>
      <w:r w:rsidR="00485CBB">
        <w:rPr>
          <w:lang w:eastAsia="pl-PL"/>
        </w:rPr>
        <w:t>dążącej do podtrzymania ciągłości leczenia</w:t>
      </w:r>
      <w:r w:rsidR="00C65400">
        <w:rPr>
          <w:lang w:eastAsia="pl-PL"/>
        </w:rPr>
        <w:t xml:space="preserve"> i</w:t>
      </w:r>
      <w:r w:rsidR="00485CBB">
        <w:rPr>
          <w:lang w:eastAsia="pl-PL"/>
        </w:rPr>
        <w:t xml:space="preserve"> wyprzedzania</w:t>
      </w:r>
      <w:r w:rsidR="00C65400">
        <w:rPr>
          <w:lang w:eastAsia="pl-PL"/>
        </w:rPr>
        <w:t>/ograniczania</w:t>
      </w:r>
      <w:r w:rsidR="00485CBB">
        <w:rPr>
          <w:lang w:eastAsia="pl-PL"/>
        </w:rPr>
        <w:t xml:space="preserve"> ryzyka nawrotów, świadczonej w razie potrzeby w miejscu zamieszkania, z intensywnością zależną od aktualnego stanu zdrowia chorego</w:t>
      </w:r>
      <w:r w:rsidR="00C65400">
        <w:rPr>
          <w:lang w:eastAsia="pl-PL"/>
        </w:rPr>
        <w:t>, zgodnie z indywidualnym planem terapii i zdrowienia</w:t>
      </w:r>
      <w:r w:rsidR="00714C6C">
        <w:rPr>
          <w:lang w:eastAsia="pl-PL"/>
        </w:rPr>
        <w:t>.</w:t>
      </w:r>
      <w:r w:rsidR="00485CBB">
        <w:rPr>
          <w:lang w:eastAsia="pl-PL"/>
        </w:rPr>
        <w:t xml:space="preserve"> W opiece </w:t>
      </w:r>
      <w:r w:rsidR="00500840">
        <w:rPr>
          <w:lang w:eastAsia="pl-PL"/>
        </w:rPr>
        <w:t xml:space="preserve">dziennej </w:t>
      </w:r>
      <w:r w:rsidR="00E74D62" w:rsidRPr="00830161">
        <w:rPr>
          <w:lang w:eastAsia="pl-PL"/>
        </w:rPr>
        <w:t xml:space="preserve">pacjent </w:t>
      </w:r>
      <w:r w:rsidR="00E74D62">
        <w:rPr>
          <w:lang w:eastAsia="pl-PL"/>
        </w:rPr>
        <w:t>ma</w:t>
      </w:r>
      <w:r w:rsidR="00E74D62" w:rsidRPr="00830161">
        <w:rPr>
          <w:lang w:eastAsia="pl-PL"/>
        </w:rPr>
        <w:t xml:space="preserve"> zagwarantowane świadczenia terapeutyczne, programy terapeutyczne, niezbędne badania diagnostyczne, leki, wsparcie edukacyjno-konsultacyjne dla rodzin, bezpłatny jed</w:t>
      </w:r>
      <w:r w:rsidR="00E74D62">
        <w:rPr>
          <w:lang w:eastAsia="pl-PL"/>
        </w:rPr>
        <w:t xml:space="preserve">en posiłek każdego dnia pobytu. </w:t>
      </w:r>
      <w:r w:rsidR="00500840">
        <w:rPr>
          <w:lang w:eastAsia="pl-PL"/>
        </w:rPr>
        <w:t xml:space="preserve">W warunkach całodobowej opieki szpitalnej </w:t>
      </w:r>
      <w:r w:rsidR="00E74D62" w:rsidRPr="00830161">
        <w:rPr>
          <w:lang w:eastAsia="pl-PL"/>
        </w:rPr>
        <w:t xml:space="preserve">zapewnione </w:t>
      </w:r>
      <w:r w:rsidR="00E74D62">
        <w:rPr>
          <w:lang w:eastAsia="pl-PL"/>
        </w:rPr>
        <w:t xml:space="preserve">są </w:t>
      </w:r>
      <w:r w:rsidR="00500840">
        <w:rPr>
          <w:lang w:eastAsia="pl-PL"/>
        </w:rPr>
        <w:t xml:space="preserve">ponadto </w:t>
      </w:r>
      <w:r w:rsidR="00E74D62" w:rsidRPr="00830161">
        <w:rPr>
          <w:lang w:eastAsia="pl-PL"/>
        </w:rPr>
        <w:t>konsultacje specjalistyczne, wyroby medyczne, w tym przedmioty ortopedyczne oraz bezpłatne zakwaterowanie i wyżywienie</w:t>
      </w:r>
      <w:r w:rsidR="00E74D62">
        <w:rPr>
          <w:lang w:eastAsia="pl-PL"/>
        </w:rPr>
        <w:t>.</w:t>
      </w:r>
    </w:p>
    <w:p w14:paraId="60928721" w14:textId="1BA87C48" w:rsidR="009D7457" w:rsidRDefault="009D7457" w:rsidP="00E74D62">
      <w:pPr>
        <w:spacing w:after="120"/>
        <w:jc w:val="both"/>
        <w:rPr>
          <w:lang w:eastAsia="pl-PL"/>
        </w:rPr>
      </w:pPr>
      <w:r>
        <w:rPr>
          <w:lang w:eastAsia="pl-PL"/>
        </w:rPr>
        <w:t>C</w:t>
      </w:r>
      <w:r w:rsidR="00A313DF">
        <w:rPr>
          <w:lang w:eastAsia="pl-PL"/>
        </w:rPr>
        <w:t>zp</w:t>
      </w:r>
      <w:r>
        <w:rPr>
          <w:lang w:eastAsia="pl-PL"/>
        </w:rPr>
        <w:t xml:space="preserve"> zatrudniają asystentów zdrowienia oferujących aktualnie chorującym wsparcie możliwe dzięki przebytemu i przepracowanemu własnemu doświadczeniu poważn</w:t>
      </w:r>
      <w:r w:rsidR="00C65400">
        <w:rPr>
          <w:lang w:eastAsia="pl-PL"/>
        </w:rPr>
        <w:t>ego</w:t>
      </w:r>
      <w:r>
        <w:rPr>
          <w:lang w:eastAsia="pl-PL"/>
        </w:rPr>
        <w:t xml:space="preserve"> kryzys</w:t>
      </w:r>
      <w:r w:rsidR="00C65400">
        <w:rPr>
          <w:lang w:eastAsia="pl-PL"/>
        </w:rPr>
        <w:t>u</w:t>
      </w:r>
      <w:r>
        <w:rPr>
          <w:lang w:eastAsia="pl-PL"/>
        </w:rPr>
        <w:t xml:space="preserve"> psychiczn</w:t>
      </w:r>
      <w:r w:rsidR="00C65400">
        <w:rPr>
          <w:lang w:eastAsia="pl-PL"/>
        </w:rPr>
        <w:t>ego</w:t>
      </w:r>
      <w:r>
        <w:rPr>
          <w:lang w:eastAsia="pl-PL"/>
        </w:rPr>
        <w:t xml:space="preserve">. </w:t>
      </w:r>
    </w:p>
    <w:p w14:paraId="25D16B9D" w14:textId="10CE4979" w:rsidR="00500840" w:rsidRDefault="00500840" w:rsidP="00E74D62">
      <w:pPr>
        <w:spacing w:after="120"/>
        <w:jc w:val="both"/>
        <w:rPr>
          <w:lang w:eastAsia="pl-PL"/>
        </w:rPr>
      </w:pPr>
      <w:r>
        <w:rPr>
          <w:lang w:eastAsia="pl-PL"/>
        </w:rPr>
        <w:t>C</w:t>
      </w:r>
      <w:r w:rsidR="00A313DF">
        <w:rPr>
          <w:lang w:eastAsia="pl-PL"/>
        </w:rPr>
        <w:t>zp</w:t>
      </w:r>
      <w:r>
        <w:rPr>
          <w:lang w:eastAsia="pl-PL"/>
        </w:rPr>
        <w:t xml:space="preserve"> współpracuje z podmiotami pomocy społecznej oraz innymi organizacjami pomocowymi w zapewnieniu niezbędnego oparcia społecznego oraz przywracaniu gotowości i zdolności do </w:t>
      </w:r>
      <w:r>
        <w:rPr>
          <w:lang w:eastAsia="pl-PL"/>
        </w:rPr>
        <w:lastRenderedPageBreak/>
        <w:t xml:space="preserve">uczestnictwa w życiu społecznym. Współpracuje też z organizacjami samopomocowymi funkcjonującymi na obszarze odpowiedzialności </w:t>
      </w:r>
      <w:r w:rsidR="00A313DF">
        <w:rPr>
          <w:lang w:eastAsia="pl-PL"/>
        </w:rPr>
        <w:t>czp</w:t>
      </w:r>
      <w:r>
        <w:rPr>
          <w:lang w:eastAsia="pl-PL"/>
        </w:rPr>
        <w:t>.</w:t>
      </w:r>
    </w:p>
    <w:p w14:paraId="54881EB5" w14:textId="77777777" w:rsidR="00CD096E" w:rsidRPr="005509DA" w:rsidRDefault="00CD096E" w:rsidP="00CD096E">
      <w:pPr>
        <w:pStyle w:val="Nagwek7"/>
        <w:rPr>
          <w:color w:val="0070C0"/>
        </w:rPr>
      </w:pPr>
      <w:r w:rsidRPr="005509DA">
        <w:rPr>
          <w:color w:val="0070C0"/>
          <w:lang w:eastAsia="pl-PL"/>
        </w:rPr>
        <w:t xml:space="preserve">Grupa docelowa </w:t>
      </w:r>
      <w:r w:rsidRPr="005509DA">
        <w:rPr>
          <w:color w:val="0070C0"/>
        </w:rPr>
        <w:t>oferowanego wsparcia</w:t>
      </w:r>
    </w:p>
    <w:p w14:paraId="050EF999" w14:textId="42802B63" w:rsidR="00F5315D" w:rsidRDefault="00125842" w:rsidP="008A0F0C">
      <w:pPr>
        <w:jc w:val="both"/>
      </w:pPr>
      <w:r>
        <w:t>C</w:t>
      </w:r>
      <w:r w:rsidR="00A313DF">
        <w:t>zp</w:t>
      </w:r>
      <w:r w:rsidR="00F5315D">
        <w:t xml:space="preserve"> powstały w ramach pilotażowego programu psychiatrii środowiskowej w ramach Narodowego Programu Ochrony Zdrowia Psychicznego. Od 2018 r.</w:t>
      </w:r>
      <w:r w:rsidR="00714C6C">
        <w:t xml:space="preserve"> utworzono w pilotażu</w:t>
      </w:r>
      <w:r w:rsidR="00F5315D">
        <w:t xml:space="preserve"> 2</w:t>
      </w:r>
      <w:r w:rsidR="002E66BA">
        <w:t>9</w:t>
      </w:r>
      <w:r w:rsidR="00F5315D">
        <w:t xml:space="preserve"> </w:t>
      </w:r>
      <w:r w:rsidR="00A313DF">
        <w:t>c</w:t>
      </w:r>
      <w:r w:rsidR="00F5315D">
        <w:t>entrów</w:t>
      </w:r>
      <w:r w:rsidR="00FA61AB">
        <w:t xml:space="preserve"> </w:t>
      </w:r>
      <w:r w:rsidR="00F5315D">
        <w:t>zlokalizowan</w:t>
      </w:r>
      <w:r w:rsidR="00FA61AB">
        <w:t>ych</w:t>
      </w:r>
      <w:r w:rsidR="00F5315D">
        <w:t xml:space="preserve"> w </w:t>
      </w:r>
      <w:r w:rsidR="002E66BA">
        <w:t>15</w:t>
      </w:r>
      <w:r w:rsidR="00F5315D">
        <w:t xml:space="preserve"> województwach</w:t>
      </w:r>
      <w:r w:rsidR="00714C6C">
        <w:t xml:space="preserve">, </w:t>
      </w:r>
      <w:r w:rsidR="00F5315D">
        <w:t xml:space="preserve">zarówno w dużych miastach, jak i powiatach, gdzie dominuje ludność wiejska. </w:t>
      </w:r>
    </w:p>
    <w:p w14:paraId="2A8A0F04" w14:textId="1B3A9D62" w:rsidR="00DB6E97" w:rsidRDefault="00DB6E97" w:rsidP="00DB6E97">
      <w:pPr>
        <w:spacing w:after="120"/>
        <w:jc w:val="both"/>
        <w:rPr>
          <w:lang w:eastAsia="pl-PL"/>
        </w:rPr>
      </w:pPr>
      <w:r w:rsidRPr="00A224C3">
        <w:rPr>
          <w:lang w:eastAsia="pl-PL"/>
        </w:rPr>
        <w:t xml:space="preserve">Świadczenia gwarantowane opieki psychiatrycznej realizowane w </w:t>
      </w:r>
      <w:r>
        <w:rPr>
          <w:lang w:eastAsia="pl-PL"/>
        </w:rPr>
        <w:t xml:space="preserve">ramach </w:t>
      </w:r>
      <w:r w:rsidR="00A313DF">
        <w:rPr>
          <w:lang w:eastAsia="pl-PL"/>
        </w:rPr>
        <w:t>czp</w:t>
      </w:r>
      <w:r w:rsidRPr="00A224C3">
        <w:rPr>
          <w:lang w:eastAsia="pl-PL"/>
        </w:rPr>
        <w:t xml:space="preserve"> udzielane są </w:t>
      </w:r>
      <w:r>
        <w:rPr>
          <w:lang w:eastAsia="pl-PL"/>
        </w:rPr>
        <w:t xml:space="preserve">osobom dorosłym cierpiącym na zaburzenia psychiczne. </w:t>
      </w:r>
      <w:r w:rsidRPr="00830161">
        <w:rPr>
          <w:lang w:eastAsia="pl-PL"/>
        </w:rPr>
        <w:t>Centrum nie udziela świadczeń opieki zdrowotnej dzieciom i młodzieży poniżej 18 r.</w:t>
      </w:r>
      <w:r w:rsidR="00FB298C">
        <w:rPr>
          <w:lang w:eastAsia="pl-PL"/>
        </w:rPr>
        <w:t xml:space="preserve"> </w:t>
      </w:r>
      <w:r w:rsidRPr="00830161">
        <w:rPr>
          <w:lang w:eastAsia="pl-PL"/>
        </w:rPr>
        <w:t xml:space="preserve">ż., </w:t>
      </w:r>
      <w:r w:rsidR="00F17FF0">
        <w:rPr>
          <w:lang w:eastAsia="pl-PL"/>
        </w:rPr>
        <w:t>nie zajmuje się leczeniem uzależnień</w:t>
      </w:r>
      <w:r w:rsidR="00FA61AB">
        <w:rPr>
          <w:lang w:eastAsia="pl-PL"/>
        </w:rPr>
        <w:t xml:space="preserve"> </w:t>
      </w:r>
      <w:r w:rsidRPr="00830161">
        <w:rPr>
          <w:lang w:eastAsia="pl-PL"/>
        </w:rPr>
        <w:t>oraz</w:t>
      </w:r>
      <w:r w:rsidR="00F17FF0">
        <w:rPr>
          <w:lang w:eastAsia="pl-PL"/>
        </w:rPr>
        <w:t xml:space="preserve"> nie udziela świadczeń zdrowotnych</w:t>
      </w:r>
      <w:r w:rsidRPr="00830161">
        <w:rPr>
          <w:lang w:eastAsia="pl-PL"/>
        </w:rPr>
        <w:t xml:space="preserve"> pacjentom, wobec których zastosowano środek zabezpieczający w postaci detencji psychiatrycznej.</w:t>
      </w:r>
    </w:p>
    <w:p w14:paraId="5BC13B14" w14:textId="61A15BC0" w:rsidR="00A313DF" w:rsidRDefault="00A313DF" w:rsidP="00DB6E97">
      <w:pPr>
        <w:spacing w:after="120"/>
        <w:jc w:val="both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5F903828" wp14:editId="33A1CF7A">
            <wp:extent cx="5273675" cy="484695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84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2D7F6" w14:textId="14D115F2" w:rsidR="00A313DF" w:rsidRDefault="00A313DF" w:rsidP="00DB6E97">
      <w:pPr>
        <w:spacing w:after="120"/>
        <w:jc w:val="both"/>
        <w:rPr>
          <w:lang w:eastAsia="pl-PL"/>
        </w:rPr>
      </w:pPr>
      <w:r w:rsidRPr="003169A2">
        <w:rPr>
          <w:color w:val="1F4E79" w:themeColor="accent1" w:themeShade="80"/>
          <w:lang w:eastAsia="pl-PL"/>
        </w:rPr>
        <w:t>Rysunek 1. Obszary objęte pilotażem</w:t>
      </w:r>
      <w:r>
        <w:rPr>
          <w:color w:val="1F4E79" w:themeColor="accent1" w:themeShade="80"/>
          <w:lang w:eastAsia="pl-PL"/>
        </w:rPr>
        <w:t xml:space="preserve"> w 2020 r. Stan na dzień 8.05.2020 r.</w:t>
      </w:r>
    </w:p>
    <w:p w14:paraId="70DF0FED" w14:textId="13D8A964" w:rsidR="00CD096E" w:rsidRDefault="00CD096E" w:rsidP="00CD096E">
      <w:pPr>
        <w:pStyle w:val="Nagwek7"/>
        <w:rPr>
          <w:color w:val="0070C0"/>
          <w:lang w:eastAsia="pl-PL"/>
        </w:rPr>
      </w:pPr>
      <w:r w:rsidRPr="005509DA">
        <w:rPr>
          <w:color w:val="0070C0"/>
          <w:lang w:eastAsia="pl-PL"/>
        </w:rPr>
        <w:t>Finansowanie</w:t>
      </w:r>
    </w:p>
    <w:p w14:paraId="76AFD384" w14:textId="69493133" w:rsidR="00F72842" w:rsidRDefault="00196F65" w:rsidP="00196F65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Finansowanie świadczeń zdrowotnych udzielanych przez </w:t>
      </w:r>
      <w:r w:rsidR="00A313DF">
        <w:rPr>
          <w:lang w:eastAsia="pl-PL"/>
        </w:rPr>
        <w:t>czp</w:t>
      </w:r>
      <w:r>
        <w:rPr>
          <w:lang w:eastAsia="pl-PL"/>
        </w:rPr>
        <w:t xml:space="preserve"> opiera się na ryczałcie na populację</w:t>
      </w:r>
      <w:r w:rsidR="00F81BE5">
        <w:rPr>
          <w:lang w:eastAsia="pl-PL"/>
        </w:rPr>
        <w:t>,</w:t>
      </w:r>
      <w:r>
        <w:rPr>
          <w:lang w:eastAsia="pl-PL"/>
        </w:rPr>
        <w:t xml:space="preserve"> czyli </w:t>
      </w:r>
      <w:r w:rsidRPr="00196F65">
        <w:rPr>
          <w:lang w:eastAsia="pl-PL"/>
        </w:rPr>
        <w:t>sposobie finansowania świadczeń opieki zdrowotnej objętych pilotażem określony</w:t>
      </w:r>
      <w:r>
        <w:rPr>
          <w:lang w:eastAsia="pl-PL"/>
        </w:rPr>
        <w:t>m</w:t>
      </w:r>
      <w:r w:rsidRPr="00196F65">
        <w:rPr>
          <w:lang w:eastAsia="pl-PL"/>
        </w:rPr>
        <w:t xml:space="preserve"> jako iloczyn</w:t>
      </w:r>
      <w:r>
        <w:rPr>
          <w:lang w:eastAsia="pl-PL"/>
        </w:rPr>
        <w:t xml:space="preserve"> </w:t>
      </w:r>
      <w:r w:rsidRPr="00196F65">
        <w:rPr>
          <w:lang w:eastAsia="pl-PL"/>
        </w:rPr>
        <w:t>liczby osób powyżej 18. roku życia zamieszkujących obszar działania centrum i stawki rocznej na osobę.</w:t>
      </w:r>
    </w:p>
    <w:p w14:paraId="05A60F24" w14:textId="3728C935" w:rsidR="00F72842" w:rsidRDefault="00F72842">
      <w:pPr>
        <w:rPr>
          <w:lang w:eastAsia="pl-PL"/>
        </w:rPr>
      </w:pPr>
      <w:r>
        <w:rPr>
          <w:lang w:eastAsia="pl-PL"/>
        </w:rPr>
        <w:br w:type="page"/>
      </w:r>
    </w:p>
    <w:p w14:paraId="636F56EB" w14:textId="3C161DC9" w:rsidR="00BC026D" w:rsidRDefault="0047439D" w:rsidP="00BC026D">
      <w:pPr>
        <w:pStyle w:val="Nagwek6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lastRenderedPageBreak/>
        <w:t>Główne założenia</w:t>
      </w:r>
      <w:r w:rsidR="00BC026D">
        <w:rPr>
          <w:lang w:eastAsia="pl-PL"/>
        </w:rPr>
        <w:t xml:space="preserve"> rozwoju systemu</w:t>
      </w:r>
    </w:p>
    <w:p w14:paraId="416662C4" w14:textId="77777777" w:rsidR="00BC026D" w:rsidRDefault="00BC026D" w:rsidP="00BC026D">
      <w:pPr>
        <w:jc w:val="both"/>
        <w:rPr>
          <w:lang w:eastAsia="pl-PL"/>
        </w:rPr>
      </w:pPr>
      <w:r>
        <w:rPr>
          <w:lang w:eastAsia="pl-PL"/>
        </w:rPr>
        <w:t xml:space="preserve">Mając na uwadze informacje przedstawione w ww. rozdziałach należy podkreślić, iż działania zaplanowane w niniejszym dokumencie mają na celu </w:t>
      </w:r>
      <w:r w:rsidRPr="008A06B1">
        <w:rPr>
          <w:lang w:eastAsia="pl-PL"/>
        </w:rPr>
        <w:t>rozwój systemu ochrony zdrowia psychicznego w</w:t>
      </w:r>
      <w:r>
        <w:rPr>
          <w:lang w:eastAsia="pl-PL"/>
        </w:rPr>
        <w:t> </w:t>
      </w:r>
      <w:r w:rsidRPr="008A06B1">
        <w:rPr>
          <w:lang w:eastAsia="pl-PL"/>
        </w:rPr>
        <w:t>Polsce</w:t>
      </w:r>
      <w:r>
        <w:rPr>
          <w:lang w:eastAsia="pl-PL"/>
        </w:rPr>
        <w:t xml:space="preserve"> w kierunku modelu psychiatrii środowiskowej opartej na centrach zdrowia psychicznego. Poza rozwojem centrów zdrowia psychicznego oraz położeniem nacisku na rozwój </w:t>
      </w:r>
      <w:r w:rsidRPr="008A06B1">
        <w:rPr>
          <w:lang w:eastAsia="pl-PL"/>
        </w:rPr>
        <w:t>świadczeń ambulatoryjnych</w:t>
      </w:r>
      <w:r>
        <w:rPr>
          <w:lang w:eastAsia="pl-PL"/>
        </w:rPr>
        <w:t xml:space="preserve"> kluczowe jest również zmiana struktury łóżek szpital w opiece psychiatrycznej. Celem zaplanowanych działań jest systematyczne likwidowanie łóżek w dużych szpitalach psychiatrycznych przy jednoczesnym ich rozwoju w oddziałach psychiatrycznych funkcjonujących przy szpitalach wielospecjalistycznych.</w:t>
      </w:r>
    </w:p>
    <w:p w14:paraId="32BBD33E" w14:textId="77777777" w:rsidR="00BC026D" w:rsidRDefault="00BC026D">
      <w:pPr>
        <w:rPr>
          <w:lang w:eastAsia="pl-PL"/>
        </w:rPr>
      </w:pPr>
    </w:p>
    <w:p w14:paraId="4E9F7AFF" w14:textId="1D2FCDFC" w:rsidR="00F72842" w:rsidRPr="004A1CB0" w:rsidRDefault="00173229" w:rsidP="001F584D">
      <w:pPr>
        <w:pStyle w:val="Nagwek1"/>
        <w:jc w:val="both"/>
        <w:rPr>
          <w:sz w:val="28"/>
          <w:szCs w:val="28"/>
        </w:rPr>
      </w:pPr>
      <w:r w:rsidRPr="004A1CB0">
        <w:rPr>
          <w:sz w:val="28"/>
          <w:szCs w:val="28"/>
        </w:rPr>
        <w:lastRenderedPageBreak/>
        <w:t>KIERUNKI ROZWOJU WSPARCIA ZDROWOTNEGO W RAMACH PROCESU DEINSTYTUCJONALIZACJI</w:t>
      </w:r>
    </w:p>
    <w:p w14:paraId="573E54D6" w14:textId="77777777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Dokumentem określającym strategię działań w obszarze ochrony zdrowia psychicznego jest Narodowy Programu Ochrony Zdrowia Psychicznego na lata 2017-2022, zwany dalej „Programem”. W Programie znajdują się zadania polegające przede wszystkim na zapewnieniu osobom z zaburzeniami psychicznymi wielostronnej i powszechnie dostępnej opieki zdrowotnej oraz innych form opieki </w:t>
      </w:r>
      <w:r>
        <w:rPr>
          <w:lang w:eastAsia="pl-PL"/>
        </w:rPr>
        <w:br/>
        <w:t xml:space="preserve">i pomocy niezbędnych do życia w środowisku rodzinnym i społecznym oraz kształtowaniu wobec osób z zaburzeniami psychicznymi właściwych postaw społecznych, a zwłaszcza zrozumienia, tolerancji, życzliwości, a także przeciwdziałania ich dyskryminacji. Wśród zadań wymienionych w Programie, </w:t>
      </w:r>
      <w:r>
        <w:rPr>
          <w:lang w:eastAsia="pl-PL"/>
        </w:rPr>
        <w:br/>
        <w:t xml:space="preserve">za kluczowe uznaje się upowszechnienie środowiskowego modelu psychiatrycznej opieki zdrowotnej w duchu procesu deinstytucjonalizacji m.in. przez tworzenie warunków do rozwoju Centrów Zdrowia Psychicznego. Stopniowe przechodzenie z modelu „azylowego", opierającego się na izolowaniu osób </w:t>
      </w:r>
      <w:r>
        <w:rPr>
          <w:lang w:eastAsia="pl-PL"/>
        </w:rPr>
        <w:br/>
        <w:t>z zaburzeniami zdrowia psychicznego w dużych szpitalach psychiatrycznych na model środowiskowy, jest zgodne z kierunkami reform psychiatrii dokonującymi się w państwach rozwiniętych.</w:t>
      </w:r>
    </w:p>
    <w:p w14:paraId="0D498B88" w14:textId="77777777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Należy również zaznaczyć, że deinstytucjonalizacja psychiatrycznej opieki zdrowotnej jest rekomendowanym kierunkiem zmian postulowanym przez WHO, UE i OECD, ale również przez wiele organizacji pozarządowych w tym organizacji pacjenckich. Przeniesienie opieki psychiatrycznej </w:t>
      </w:r>
      <w:r>
        <w:rPr>
          <w:lang w:eastAsia="pl-PL"/>
        </w:rPr>
        <w:br/>
        <w:t>do środowiska lokalnego umożliwia przede wszystkim przeciwdziałania stygmatyzacji osób cierpiących na zaburzenia psychiczne oraz przy odpowiedniej koordynacji daje szansę na osiąganie lepszych efektów terapeutycznych.</w:t>
      </w:r>
    </w:p>
    <w:p w14:paraId="597AA890" w14:textId="4DFDF3FE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>Mając na uwadze powyższe proponuje się realizacj</w:t>
      </w:r>
      <w:r w:rsidR="00C3553D">
        <w:rPr>
          <w:lang w:eastAsia="pl-PL"/>
        </w:rPr>
        <w:t>ę</w:t>
      </w:r>
      <w:r>
        <w:rPr>
          <w:lang w:eastAsia="pl-PL"/>
        </w:rPr>
        <w:t xml:space="preserve"> działań z zakresu deinstytucjonalizacji </w:t>
      </w:r>
      <w:r>
        <w:rPr>
          <w:lang w:eastAsia="pl-PL"/>
        </w:rPr>
        <w:br/>
        <w:t>w następujących obszarach:</w:t>
      </w:r>
    </w:p>
    <w:p w14:paraId="51A17314" w14:textId="77777777" w:rsidR="00F72842" w:rsidRPr="001F584D" w:rsidRDefault="00F72842" w:rsidP="00F72842">
      <w:pPr>
        <w:jc w:val="both"/>
        <w:rPr>
          <w:b/>
          <w:bCs/>
          <w:lang w:eastAsia="pl-PL"/>
        </w:rPr>
      </w:pPr>
      <w:r w:rsidRPr="001F584D">
        <w:rPr>
          <w:b/>
          <w:bCs/>
          <w:lang w:eastAsia="pl-PL"/>
        </w:rPr>
        <w:t>Cel główny: Poprawa jakości życia związanej ze zdrowiem psychicznym populacji oraz zapewnienie odpowiednich warunków opieki w ramach systemu ochrony zdrowia psychicznego</w:t>
      </w:r>
    </w:p>
    <w:p w14:paraId="39C8AD25" w14:textId="22864100" w:rsidR="00F72842" w:rsidRPr="00D627C7" w:rsidRDefault="00F72842" w:rsidP="00F72842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D627C7">
        <w:t>Inwestycje w kadry - poprawa sytuacji kadrowej i jakości kształcenia w dziedzinie psychiatrii, jak również kadr innych specjali</w:t>
      </w:r>
      <w:r w:rsidR="00C3553D">
        <w:t>zacji</w:t>
      </w:r>
      <w:r w:rsidRPr="00D627C7">
        <w:t xml:space="preserve"> zajmujących się ochroną zdrowia psychicznego;</w:t>
      </w:r>
    </w:p>
    <w:p w14:paraId="62A726FA" w14:textId="13785BCB" w:rsidR="00F72842" w:rsidRPr="00D627C7" w:rsidRDefault="00F72842" w:rsidP="00F72842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D627C7">
        <w:t>Inwestycje w system - zmiana organizacji udzielania świadczeń zdrowotnych z zakresu opieki psychiatrycznej</w:t>
      </w:r>
      <w:r w:rsidR="00294A93">
        <w:t>;</w:t>
      </w:r>
    </w:p>
    <w:p w14:paraId="418F2A0C" w14:textId="6B444427" w:rsidR="00F72842" w:rsidRPr="00D627C7" w:rsidRDefault="00F72842" w:rsidP="00F72842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D627C7">
        <w:t>Inwestycje w system - zwiększenie dostępności do świadczeń zdrowotnych z zakresu opieki psychiatrycznej</w:t>
      </w:r>
      <w:r w:rsidR="00294A93">
        <w:t>;</w:t>
      </w:r>
    </w:p>
    <w:p w14:paraId="2C4CF769" w14:textId="34F76C9A" w:rsidR="00F72842" w:rsidRDefault="00F72842" w:rsidP="00F72842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D627C7">
        <w:t>Inwestycje infrastrukturalne - dostosowanie podmiotów leczniczych do środowiskowego modelu psychiatrycznej opieki zdrowotnej</w:t>
      </w:r>
      <w:r w:rsidR="00294A93">
        <w:t>;</w:t>
      </w:r>
    </w:p>
    <w:p w14:paraId="1FBC43F3" w14:textId="59659719" w:rsidR="00F72842" w:rsidRPr="00464027" w:rsidRDefault="00F72842" w:rsidP="004A1CB0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464027">
        <w:rPr>
          <w:lang w:eastAsia="pl-PL"/>
        </w:rPr>
        <w:t xml:space="preserve">Inwestycje w </w:t>
      </w:r>
      <w:r>
        <w:rPr>
          <w:lang w:eastAsia="pl-PL"/>
        </w:rPr>
        <w:t>zdrowie populacji</w:t>
      </w:r>
      <w:r w:rsidRPr="00464027">
        <w:rPr>
          <w:lang w:eastAsia="pl-PL"/>
        </w:rPr>
        <w:t xml:space="preserve"> – promocja zdrowia psychicznego, prewencja samobójstw </w:t>
      </w:r>
      <w:r w:rsidR="004A1CB0">
        <w:rPr>
          <w:lang w:eastAsia="pl-PL"/>
        </w:rPr>
        <w:br/>
      </w:r>
      <w:r w:rsidRPr="00464027">
        <w:rPr>
          <w:lang w:eastAsia="pl-PL"/>
        </w:rPr>
        <w:t>i zachowań autoagresywnych</w:t>
      </w:r>
      <w:r>
        <w:rPr>
          <w:lang w:eastAsia="pl-PL"/>
        </w:rPr>
        <w:t>.</w:t>
      </w:r>
    </w:p>
    <w:p w14:paraId="14877BB9" w14:textId="77777777" w:rsidR="00F72842" w:rsidRPr="00D627C7" w:rsidRDefault="00F72842" w:rsidP="00F72842">
      <w:pPr>
        <w:pStyle w:val="Akapitzlist"/>
        <w:ind w:left="786"/>
        <w:jc w:val="both"/>
        <w:rPr>
          <w:lang w:eastAsia="pl-PL"/>
        </w:rPr>
      </w:pPr>
    </w:p>
    <w:p w14:paraId="2CA235C2" w14:textId="77777777" w:rsidR="00F72842" w:rsidRDefault="00F72842" w:rsidP="00F72842">
      <w:pPr>
        <w:rPr>
          <w:lang w:eastAsia="pl-PL"/>
        </w:rPr>
      </w:pPr>
    </w:p>
    <w:p w14:paraId="65F52D3D" w14:textId="77777777" w:rsidR="00F72842" w:rsidRDefault="00F72842" w:rsidP="00F72842">
      <w:pPr>
        <w:rPr>
          <w:lang w:eastAsia="pl-PL"/>
        </w:rPr>
      </w:pPr>
    </w:p>
    <w:p w14:paraId="5B0E34A2" w14:textId="77777777" w:rsidR="00173229" w:rsidRDefault="00173229" w:rsidP="00F72842">
      <w:pPr>
        <w:rPr>
          <w:lang w:eastAsia="pl-PL"/>
        </w:rPr>
      </w:pPr>
    </w:p>
    <w:p w14:paraId="71969C00" w14:textId="77777777" w:rsidR="00F72842" w:rsidRDefault="00F72842" w:rsidP="00F72842">
      <w:pPr>
        <w:pStyle w:val="Nagwek6"/>
        <w:rPr>
          <w:color w:val="0070C0"/>
          <w:spacing w:val="-10"/>
          <w:kern w:val="28"/>
          <w:sz w:val="28"/>
          <w:szCs w:val="56"/>
        </w:rPr>
      </w:pPr>
      <w:r>
        <w:rPr>
          <w:color w:val="0070C0"/>
          <w:spacing w:val="-10"/>
          <w:kern w:val="28"/>
          <w:sz w:val="28"/>
          <w:szCs w:val="56"/>
        </w:rPr>
        <w:lastRenderedPageBreak/>
        <w:t>Psychiatria Dorosłych</w:t>
      </w:r>
    </w:p>
    <w:p w14:paraId="39EBAF6D" w14:textId="77777777" w:rsidR="00F72842" w:rsidRPr="00EE788F" w:rsidRDefault="00F72842" w:rsidP="004A1CB0">
      <w:pPr>
        <w:pStyle w:val="Nagwek6"/>
        <w:rPr>
          <w:color w:val="0070C0"/>
          <w:spacing w:val="-10"/>
          <w:kern w:val="28"/>
          <w:sz w:val="28"/>
          <w:szCs w:val="56"/>
        </w:rPr>
      </w:pPr>
      <w:r w:rsidRPr="00EE788F">
        <w:rPr>
          <w:color w:val="0070C0"/>
          <w:spacing w:val="-10"/>
          <w:kern w:val="28"/>
          <w:sz w:val="28"/>
          <w:szCs w:val="56"/>
        </w:rPr>
        <w:t>1.</w:t>
      </w:r>
      <w:r w:rsidRPr="00EE788F">
        <w:rPr>
          <w:color w:val="0070C0"/>
          <w:spacing w:val="-10"/>
          <w:kern w:val="28"/>
          <w:sz w:val="28"/>
          <w:szCs w:val="56"/>
        </w:rPr>
        <w:tab/>
        <w:t>Inwestycje w kadry – Poprawa sytuacji kadrowej w dziedzinie psychiatrii</w:t>
      </w:r>
      <w:r>
        <w:rPr>
          <w:color w:val="0070C0"/>
          <w:spacing w:val="-10"/>
          <w:kern w:val="28"/>
          <w:sz w:val="28"/>
          <w:szCs w:val="56"/>
        </w:rPr>
        <w:t xml:space="preserve"> dorosłych</w:t>
      </w:r>
    </w:p>
    <w:p w14:paraId="21B5B327" w14:textId="77777777" w:rsidR="00F72842" w:rsidRPr="00A3118C" w:rsidRDefault="00F72842" w:rsidP="00F72842">
      <w:pPr>
        <w:rPr>
          <w:b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Cel</w:t>
      </w:r>
      <w:r>
        <w:rPr>
          <w:b/>
          <w:color w:val="1F4E79" w:themeColor="accent1" w:themeShade="80"/>
          <w:lang w:eastAsia="pl-PL"/>
        </w:rPr>
        <w:t xml:space="preserve"> szczegółowy</w:t>
      </w:r>
      <w:r w:rsidRPr="00A3118C">
        <w:rPr>
          <w:b/>
          <w:color w:val="1F4E79" w:themeColor="accent1" w:themeShade="80"/>
          <w:lang w:eastAsia="pl-PL"/>
        </w:rPr>
        <w:t>:</w:t>
      </w:r>
      <w:r w:rsidRPr="00A3118C">
        <w:rPr>
          <w:b/>
          <w:lang w:eastAsia="pl-PL"/>
        </w:rPr>
        <w:t xml:space="preserve"> </w:t>
      </w:r>
    </w:p>
    <w:p w14:paraId="52A6AEBE" w14:textId="77777777" w:rsidR="00F72842" w:rsidRDefault="00F72842" w:rsidP="00F72842">
      <w:pPr>
        <w:rPr>
          <w:lang w:eastAsia="pl-PL"/>
        </w:rPr>
      </w:pPr>
      <w:r>
        <w:rPr>
          <w:lang w:eastAsia="pl-PL"/>
        </w:rPr>
        <w:t>Poprawa sytuacji kadrowej w opiece psychiatrycznej dorosłych</w:t>
      </w:r>
    </w:p>
    <w:p w14:paraId="5F8A851D" w14:textId="1F96F552" w:rsidR="00F72842" w:rsidRDefault="00F72842" w:rsidP="004A1CB0">
      <w:pPr>
        <w:spacing w:after="0"/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Diagnoza:</w:t>
      </w:r>
    </w:p>
    <w:p w14:paraId="7D4E1F3B" w14:textId="216070DB" w:rsidR="00C3553D" w:rsidRPr="004A1CB0" w:rsidRDefault="00C3553D" w:rsidP="004A1CB0">
      <w:pPr>
        <w:spacing w:after="0"/>
        <w:jc w:val="both"/>
      </w:pPr>
      <w:r w:rsidRPr="008C5744">
        <w:t>Z uwagi na specyfikę udzielania świadczeń w rodzaju opieka psych</w:t>
      </w:r>
      <w:r>
        <w:t>iatryczna i leczenie uzależnień,</w:t>
      </w:r>
      <w:r w:rsidRPr="008C5744">
        <w:t xml:space="preserve"> kadry specjalistów zajmujących się udzielaniem tego rodzaju świadczeń stanowią najistotniejszy zasób warunkujący dostępność i jakość udzielanych świadczeń. Z tego powodu istotna</w:t>
      </w:r>
      <w:r>
        <w:t xml:space="preserve"> jest</w:t>
      </w:r>
      <w:r w:rsidRPr="008C5744">
        <w:t xml:space="preserve"> ocena liczby zarówno lekarzy psychiatrów</w:t>
      </w:r>
      <w:r>
        <w:t>,</w:t>
      </w:r>
      <w:r w:rsidRPr="008C5744">
        <w:t xml:space="preserve"> jak i innych specjalistów zajmujących się ochroną zdrowia psychicznego. W poniższej tabeli zestawiono informacje dotyczące liczby przedstawicieli </w:t>
      </w:r>
      <w:r>
        <w:t>wybranych</w:t>
      </w:r>
      <w:r w:rsidRPr="008C5744">
        <w:t xml:space="preserve"> grup zawodowych</w:t>
      </w:r>
      <w:r>
        <w:t xml:space="preserve"> zaangażowanych w udzielanie świadczeń</w:t>
      </w:r>
      <w:r w:rsidRPr="008C5744">
        <w:t>:</w:t>
      </w:r>
      <w:r>
        <w:t xml:space="preserve"> 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03"/>
        <w:gridCol w:w="1088"/>
        <w:gridCol w:w="1214"/>
        <w:gridCol w:w="1120"/>
        <w:gridCol w:w="1113"/>
        <w:gridCol w:w="1118"/>
        <w:gridCol w:w="1487"/>
      </w:tblGrid>
      <w:tr w:rsidR="00F72842" w:rsidRPr="000E7D5B" w14:paraId="3C544DFA" w14:textId="77777777" w:rsidTr="00C3553D">
        <w:trPr>
          <w:trHeight w:val="222"/>
        </w:trPr>
        <w:tc>
          <w:tcPr>
            <w:tcW w:w="1300" w:type="dxa"/>
            <w:vMerge w:val="restart"/>
            <w:shd w:val="clear" w:color="auto" w:fill="DEEAF6" w:themeFill="accent1" w:themeFillTint="33"/>
            <w:vAlign w:val="center"/>
            <w:hideMark/>
          </w:tcPr>
          <w:p w14:paraId="60219E6C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17123B">
              <w:rPr>
                <w:rFonts w:cs="Arial"/>
                <w:sz w:val="20"/>
                <w:szCs w:val="20"/>
                <w:lang w:eastAsia="pl-PL"/>
              </w:rPr>
              <w:t>OW NFZ</w:t>
            </w:r>
          </w:p>
        </w:tc>
        <w:tc>
          <w:tcPr>
            <w:tcW w:w="603" w:type="dxa"/>
            <w:vMerge w:val="restart"/>
            <w:shd w:val="clear" w:color="auto" w:fill="DEEAF6" w:themeFill="accent1" w:themeFillTint="33"/>
            <w:vAlign w:val="center"/>
            <w:hideMark/>
          </w:tcPr>
          <w:p w14:paraId="04C77CDD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17123B">
              <w:rPr>
                <w:rFonts w:cs="Arial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3422" w:type="dxa"/>
            <w:gridSpan w:val="3"/>
            <w:shd w:val="clear" w:color="auto" w:fill="DEEAF6" w:themeFill="accent1" w:themeFillTint="33"/>
            <w:vAlign w:val="center"/>
            <w:hideMark/>
          </w:tcPr>
          <w:p w14:paraId="740DE5C6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17123B">
              <w:rPr>
                <w:rFonts w:cs="Arial"/>
                <w:sz w:val="20"/>
                <w:szCs w:val="20"/>
                <w:lang w:eastAsia="pl-PL"/>
              </w:rPr>
              <w:t>Liczba lekarzy psychiatrów</w:t>
            </w:r>
          </w:p>
        </w:tc>
        <w:tc>
          <w:tcPr>
            <w:tcW w:w="2231" w:type="dxa"/>
            <w:gridSpan w:val="2"/>
            <w:shd w:val="clear" w:color="auto" w:fill="DEEAF6" w:themeFill="accent1" w:themeFillTint="33"/>
            <w:vAlign w:val="center"/>
            <w:hideMark/>
          </w:tcPr>
          <w:p w14:paraId="5434E5AC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17123B">
              <w:rPr>
                <w:rFonts w:cs="Arial"/>
                <w:sz w:val="20"/>
                <w:szCs w:val="20"/>
                <w:lang w:eastAsia="pl-PL"/>
              </w:rPr>
              <w:t>Liczba psychologów</w:t>
            </w:r>
          </w:p>
        </w:tc>
        <w:tc>
          <w:tcPr>
            <w:tcW w:w="1487" w:type="dxa"/>
            <w:vMerge w:val="restart"/>
            <w:shd w:val="clear" w:color="auto" w:fill="DEEAF6" w:themeFill="accent1" w:themeFillTint="33"/>
            <w:vAlign w:val="center"/>
            <w:hideMark/>
          </w:tcPr>
          <w:p w14:paraId="0C5BE45C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17123B">
              <w:rPr>
                <w:rFonts w:cs="Arial"/>
                <w:sz w:val="20"/>
                <w:szCs w:val="20"/>
                <w:lang w:eastAsia="pl-PL"/>
              </w:rPr>
              <w:t>Liczba pielęgniarek psychiatrycznych</w:t>
            </w:r>
          </w:p>
        </w:tc>
      </w:tr>
      <w:tr w:rsidR="00F72842" w:rsidRPr="000E7D5B" w14:paraId="7D9F5FC8" w14:textId="77777777" w:rsidTr="00C3553D">
        <w:trPr>
          <w:trHeight w:val="335"/>
        </w:trPr>
        <w:tc>
          <w:tcPr>
            <w:tcW w:w="1300" w:type="dxa"/>
            <w:vMerge/>
            <w:vAlign w:val="center"/>
            <w:hideMark/>
          </w:tcPr>
          <w:p w14:paraId="09403E46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14:paraId="00A1BDBA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DEEAF6" w:themeFill="accent1" w:themeFillTint="33"/>
            <w:vAlign w:val="center"/>
            <w:hideMark/>
          </w:tcPr>
          <w:p w14:paraId="57F8482F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W</w:t>
            </w:r>
            <w:r w:rsidRPr="0017123B">
              <w:rPr>
                <w:rFonts w:cs="Arial"/>
                <w:sz w:val="20"/>
                <w:szCs w:val="20"/>
                <w:lang w:eastAsia="pl-PL"/>
              </w:rPr>
              <w:t xml:space="preserve"> trakcie specjalizacji</w:t>
            </w:r>
          </w:p>
        </w:tc>
        <w:tc>
          <w:tcPr>
            <w:tcW w:w="1214" w:type="dxa"/>
            <w:shd w:val="clear" w:color="auto" w:fill="DEEAF6" w:themeFill="accent1" w:themeFillTint="33"/>
            <w:vAlign w:val="center"/>
            <w:hideMark/>
          </w:tcPr>
          <w:p w14:paraId="6AF61514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Z</w:t>
            </w:r>
            <w:r w:rsidRPr="0017123B">
              <w:rPr>
                <w:rFonts w:cs="Arial"/>
                <w:sz w:val="20"/>
                <w:szCs w:val="20"/>
                <w:lang w:eastAsia="pl-PL"/>
              </w:rPr>
              <w:t>e specjalizacj</w:t>
            </w:r>
            <w:r>
              <w:rPr>
                <w:rFonts w:cs="Arial"/>
                <w:sz w:val="20"/>
                <w:szCs w:val="20"/>
                <w:lang w:eastAsia="pl-PL"/>
              </w:rPr>
              <w:t>ą</w:t>
            </w:r>
            <w:r w:rsidRPr="0017123B">
              <w:rPr>
                <w:rFonts w:cs="Arial"/>
                <w:sz w:val="20"/>
                <w:szCs w:val="20"/>
                <w:lang w:eastAsia="pl-PL"/>
              </w:rPr>
              <w:t xml:space="preserve"> I stopnia</w:t>
            </w:r>
          </w:p>
        </w:tc>
        <w:tc>
          <w:tcPr>
            <w:tcW w:w="1120" w:type="dxa"/>
            <w:shd w:val="clear" w:color="auto" w:fill="DEEAF6" w:themeFill="accent1" w:themeFillTint="33"/>
            <w:vAlign w:val="center"/>
            <w:hideMark/>
          </w:tcPr>
          <w:p w14:paraId="7D939C0B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S</w:t>
            </w:r>
            <w:r w:rsidRPr="0017123B">
              <w:rPr>
                <w:rFonts w:cs="Arial"/>
                <w:sz w:val="20"/>
                <w:szCs w:val="20"/>
                <w:lang w:eastAsia="pl-PL"/>
              </w:rPr>
              <w:t>pecjalistów</w:t>
            </w:r>
          </w:p>
        </w:tc>
        <w:tc>
          <w:tcPr>
            <w:tcW w:w="1113" w:type="dxa"/>
            <w:shd w:val="clear" w:color="auto" w:fill="DEEAF6" w:themeFill="accent1" w:themeFillTint="33"/>
            <w:vAlign w:val="center"/>
            <w:hideMark/>
          </w:tcPr>
          <w:p w14:paraId="22D654E6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B</w:t>
            </w:r>
            <w:r w:rsidRPr="0017123B">
              <w:rPr>
                <w:rFonts w:cs="Arial"/>
                <w:sz w:val="20"/>
                <w:szCs w:val="20"/>
                <w:lang w:eastAsia="pl-PL"/>
              </w:rPr>
              <w:t>ez specjalizacji</w:t>
            </w:r>
          </w:p>
        </w:tc>
        <w:tc>
          <w:tcPr>
            <w:tcW w:w="1118" w:type="dxa"/>
            <w:shd w:val="clear" w:color="auto" w:fill="DEEAF6" w:themeFill="accent1" w:themeFillTint="33"/>
            <w:vAlign w:val="center"/>
            <w:hideMark/>
          </w:tcPr>
          <w:p w14:paraId="1383BB9F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K</w:t>
            </w:r>
            <w:r w:rsidRPr="0017123B">
              <w:rPr>
                <w:rFonts w:cs="Arial"/>
                <w:sz w:val="20"/>
                <w:szCs w:val="20"/>
                <w:lang w:eastAsia="pl-PL"/>
              </w:rPr>
              <w:t>linicznych</w:t>
            </w:r>
          </w:p>
        </w:tc>
        <w:tc>
          <w:tcPr>
            <w:tcW w:w="1487" w:type="dxa"/>
            <w:vMerge/>
            <w:shd w:val="clear" w:color="auto" w:fill="DEEAF6" w:themeFill="accent1" w:themeFillTint="33"/>
            <w:vAlign w:val="center"/>
            <w:hideMark/>
          </w:tcPr>
          <w:p w14:paraId="3FC181DA" w14:textId="77777777" w:rsidR="00F72842" w:rsidRPr="0017123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F72842" w:rsidRPr="000E7D5B" w14:paraId="3964A8CF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662A88D2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 xml:space="preserve">Dolnośląski </w:t>
            </w:r>
          </w:p>
          <w:p w14:paraId="08CFC239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255AC7B2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26ABB9F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250A7C2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E49667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00EDBB7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3B3D162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18794CF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71</w:t>
            </w:r>
          </w:p>
        </w:tc>
      </w:tr>
      <w:tr w:rsidR="00F72842" w:rsidRPr="000E7D5B" w14:paraId="411A612A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65ACDE58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33DACB4F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6BB65A6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4DB7374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8D05D10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3C8EE01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5038A64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850DC2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107</w:t>
            </w:r>
          </w:p>
        </w:tc>
      </w:tr>
      <w:tr w:rsidR="00F72842" w:rsidRPr="000E7D5B" w14:paraId="34A16362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2C0E6D6A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Kujawsko-Pomorski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4088373A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44BB7CF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67B6FCB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2097CD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7106990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2529441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B25CFC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64</w:t>
            </w:r>
          </w:p>
        </w:tc>
      </w:tr>
      <w:tr w:rsidR="00F72842" w:rsidRPr="000E7D5B" w14:paraId="21863B61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2E6E68C4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5CB5E997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49CF1D2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299E05BC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E4EC95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1F8F432F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56113279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CCA21F9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64</w:t>
            </w:r>
          </w:p>
        </w:tc>
      </w:tr>
      <w:tr w:rsidR="00F72842" w:rsidRPr="000E7D5B" w14:paraId="341B9CA4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35A0BDB3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 xml:space="preserve"> Lubelski 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729A3E1D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224DC052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1BD7BEE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EC3E88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7CBC74D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64DBF26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4EEB17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67</w:t>
            </w:r>
          </w:p>
        </w:tc>
      </w:tr>
      <w:tr w:rsidR="00F72842" w:rsidRPr="000E7D5B" w14:paraId="3630C845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22551B11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35FC2CB3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264B9A7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3D723727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1BA9E2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4F52D101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3728F71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99C247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79</w:t>
            </w:r>
          </w:p>
        </w:tc>
      </w:tr>
      <w:tr w:rsidR="00F72842" w:rsidRPr="000E7D5B" w14:paraId="7B99657C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087FD862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Lubuski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2B9CEEDC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3E843DCC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724386B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393D88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79E64F70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138275D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EEED621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26</w:t>
            </w:r>
          </w:p>
        </w:tc>
      </w:tr>
      <w:tr w:rsidR="00F72842" w:rsidRPr="000E7D5B" w14:paraId="134EA2EA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46D73A69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49E8AB6E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7E057A4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333084B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75FCCEC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61456A4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3F0AF8E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2FB072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39</w:t>
            </w:r>
          </w:p>
        </w:tc>
      </w:tr>
      <w:tr w:rsidR="00F72842" w:rsidRPr="000E7D5B" w14:paraId="61CF9535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4ACC9784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Łódzki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25DD78BF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3C6E1067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6578112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A37589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484F6F81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2A7573F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6EF9FB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62</w:t>
            </w:r>
          </w:p>
        </w:tc>
      </w:tr>
      <w:tr w:rsidR="00F72842" w:rsidRPr="000E7D5B" w14:paraId="3BE5C7F3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739C0F28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44FE69DE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6F3038B2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27FBF6B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83442E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57F7D79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5A16616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7A3399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86</w:t>
            </w:r>
          </w:p>
        </w:tc>
      </w:tr>
      <w:tr w:rsidR="00F72842" w:rsidRPr="000E7D5B" w14:paraId="59A057AF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79348A8B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 xml:space="preserve">Małopolski 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6FB3EB75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645CD62C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58913AC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6883071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41B7449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2ECEC05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CB512D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77</w:t>
            </w:r>
          </w:p>
        </w:tc>
      </w:tr>
      <w:tr w:rsidR="00F72842" w:rsidRPr="000E7D5B" w14:paraId="714A5266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7750BA66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6F0BD57C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3409EEC2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7C1953ED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2B5A7ED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3DF8209D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73080811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62A56A2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111</w:t>
            </w:r>
          </w:p>
        </w:tc>
      </w:tr>
      <w:tr w:rsidR="00F72842" w:rsidRPr="000E7D5B" w14:paraId="445304FB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4B48132F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Mazowiecki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2714BCEE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61A0BB8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6E47AF77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F235E9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1AF1ACF1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44844F59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2E4F33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106</w:t>
            </w:r>
          </w:p>
        </w:tc>
      </w:tr>
      <w:tr w:rsidR="00F72842" w:rsidRPr="000E7D5B" w14:paraId="0B33A334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3FF2EB06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652F16D9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5A8C829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5B7A82B7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5F5989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39EBF18F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2B9EDBD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08644EE7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130</w:t>
            </w:r>
          </w:p>
        </w:tc>
      </w:tr>
      <w:tr w:rsidR="00F72842" w:rsidRPr="000E7D5B" w14:paraId="269F94A7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5708A69B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 xml:space="preserve">Opolski 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01EC624D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6483DD37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31CA7E7F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0638DC0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4641E0C2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68583C6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C132C8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30</w:t>
            </w:r>
          </w:p>
        </w:tc>
      </w:tr>
      <w:tr w:rsidR="00F72842" w:rsidRPr="000E7D5B" w14:paraId="0BF876CD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53169632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248CD99A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4A84AFD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5F5A2B69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1403B5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3831CE3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69C15B70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9DDC5C2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53</w:t>
            </w:r>
          </w:p>
        </w:tc>
      </w:tr>
      <w:tr w:rsidR="00F72842" w:rsidRPr="000E7D5B" w14:paraId="49641FDE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55F24959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 xml:space="preserve">Podkarpacki 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4AF4C1FC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2AC2B48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0A9503B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1BCB82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0FF0C7B9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232AAFB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37A4D3F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38</w:t>
            </w:r>
          </w:p>
        </w:tc>
      </w:tr>
      <w:tr w:rsidR="00F72842" w:rsidRPr="000E7D5B" w14:paraId="12BE4117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21275487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7CE28074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1866D1F0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3B9097F7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522A5E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0D43CAE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7CCC42B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328E3F7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53</w:t>
            </w:r>
          </w:p>
        </w:tc>
      </w:tr>
      <w:tr w:rsidR="00F72842" w:rsidRPr="000E7D5B" w14:paraId="0143FC88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27D3D856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 xml:space="preserve">Podlaski 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051F31F0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18CB7DBC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51A35BF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30B8480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6BE6C25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0EBA8B62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581D7E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73</w:t>
            </w:r>
          </w:p>
        </w:tc>
      </w:tr>
      <w:tr w:rsidR="00F72842" w:rsidRPr="000E7D5B" w14:paraId="4BB21804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283B9173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1047AA6B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28618E59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419EA26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DC8C56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1A4A1EA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2887519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A514AD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59</w:t>
            </w:r>
          </w:p>
        </w:tc>
      </w:tr>
      <w:tr w:rsidR="00F72842" w:rsidRPr="000E7D5B" w14:paraId="080A96FE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0A50247A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Pomorski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3F9419B0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2FAA45B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3241299D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8E6455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04FF54F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526AE48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69CD678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40</w:t>
            </w:r>
          </w:p>
        </w:tc>
      </w:tr>
      <w:tr w:rsidR="00F72842" w:rsidRPr="000E7D5B" w14:paraId="3E243CEF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194F510A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12E49A0B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66F64E51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12276DB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DA8DBB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220224AC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47459381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53389E7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78</w:t>
            </w:r>
          </w:p>
        </w:tc>
      </w:tr>
      <w:tr w:rsidR="00F72842" w:rsidRPr="000E7D5B" w14:paraId="62DBEF45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0F42606A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Śląski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00796FD8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4DC460D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01C350B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CFBC45C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21A8D56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650F313F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12E1288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88</w:t>
            </w:r>
          </w:p>
        </w:tc>
      </w:tr>
      <w:tr w:rsidR="00F72842" w:rsidRPr="000E7D5B" w14:paraId="1DD97581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2A77276C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38302FA7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2BA0F63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59120F3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4DF9C0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3170D471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5092B31D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26EE44FD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79</w:t>
            </w:r>
          </w:p>
        </w:tc>
      </w:tr>
      <w:tr w:rsidR="00F72842" w:rsidRPr="000E7D5B" w14:paraId="72B25CF9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3A7D964D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 xml:space="preserve">Świętokrzyski 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7EFBE9E7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21492C4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0F34158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C2ABA4D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6E3A092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437D9CD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44F7D4F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45</w:t>
            </w:r>
          </w:p>
        </w:tc>
      </w:tr>
      <w:tr w:rsidR="00F72842" w:rsidRPr="000E7D5B" w14:paraId="2BD658E4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3FA5BAB6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53F8B481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14:paraId="0731914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14:paraId="139F378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E21C447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14:paraId="5073C54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046383A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87" w:type="dxa"/>
            <w:shd w:val="clear" w:color="auto" w:fill="auto"/>
            <w:vAlign w:val="bottom"/>
            <w:hideMark/>
          </w:tcPr>
          <w:p w14:paraId="78BDFE6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45</w:t>
            </w:r>
          </w:p>
        </w:tc>
      </w:tr>
      <w:tr w:rsidR="00F72842" w:rsidRPr="000E7D5B" w14:paraId="50228DFF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591CECC8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Warmińsko-Mazurski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45B49936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C667D51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2E257F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055091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594A0B2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89A843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2ACE8720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57</w:t>
            </w:r>
          </w:p>
        </w:tc>
      </w:tr>
      <w:tr w:rsidR="00F72842" w:rsidRPr="000E7D5B" w14:paraId="663EBC17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58AE5264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329BAF9B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9AC88A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B03431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327E3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0720ACD2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B92A78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4323C4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70</w:t>
            </w:r>
          </w:p>
        </w:tc>
      </w:tr>
      <w:tr w:rsidR="00F72842" w:rsidRPr="000E7D5B" w14:paraId="0B53AABB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0FC2B1D3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Wielkopolski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3B2C9B9B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95A6CBD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D0A69EC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38E65B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38E0F54C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292F39F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3CF1B36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56</w:t>
            </w:r>
          </w:p>
        </w:tc>
      </w:tr>
      <w:tr w:rsidR="00F72842" w:rsidRPr="000E7D5B" w14:paraId="7B1223EF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23C97FAF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04341573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D278B1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10F883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BE9427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1EA736E2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FF12E4F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328A34A3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157</w:t>
            </w:r>
          </w:p>
        </w:tc>
      </w:tr>
      <w:tr w:rsidR="00F72842" w:rsidRPr="000E7D5B" w14:paraId="20C8B28D" w14:textId="77777777" w:rsidTr="00C3553D">
        <w:trPr>
          <w:trHeight w:val="115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14:paraId="01F9760C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Zachodniopomorski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5A326554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A661F7C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AD2ABF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1C0D5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123921BF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34D04D04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362767DF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33</w:t>
            </w:r>
          </w:p>
        </w:tc>
      </w:tr>
      <w:tr w:rsidR="00F72842" w:rsidRPr="000E7D5B" w14:paraId="5F4C633C" w14:textId="77777777" w:rsidTr="00C3553D">
        <w:trPr>
          <w:trHeight w:val="115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14:paraId="4E768B36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34C7751A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2E4422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9CADEF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D8427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14:paraId="517A5A18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5DDF318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67B9D3F" w14:textId="77777777" w:rsidR="00F72842" w:rsidRPr="000E7D5B" w:rsidRDefault="00F72842" w:rsidP="00C3553D">
            <w:pPr>
              <w:keepNext/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E7D5B">
              <w:rPr>
                <w:rFonts w:cs="Arial"/>
                <w:sz w:val="20"/>
                <w:szCs w:val="20"/>
                <w:lang w:eastAsia="pl-PL"/>
              </w:rPr>
              <w:t>39</w:t>
            </w:r>
          </w:p>
        </w:tc>
      </w:tr>
      <w:tr w:rsidR="00F72842" w:rsidRPr="000E7D5B" w14:paraId="5551FCE8" w14:textId="77777777" w:rsidTr="00C3553D">
        <w:trPr>
          <w:trHeight w:val="115"/>
        </w:trPr>
        <w:tc>
          <w:tcPr>
            <w:tcW w:w="1300" w:type="dxa"/>
            <w:shd w:val="clear" w:color="auto" w:fill="auto"/>
            <w:noWrap/>
            <w:vAlign w:val="bottom"/>
          </w:tcPr>
          <w:p w14:paraId="1087DD7A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47483B48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088" w:type="dxa"/>
            <w:shd w:val="clear" w:color="auto" w:fill="auto"/>
            <w:noWrap/>
          </w:tcPr>
          <w:p w14:paraId="3917083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114FBE">
              <w:t>1072</w:t>
            </w:r>
          </w:p>
        </w:tc>
        <w:tc>
          <w:tcPr>
            <w:tcW w:w="1214" w:type="dxa"/>
            <w:shd w:val="clear" w:color="auto" w:fill="auto"/>
            <w:noWrap/>
          </w:tcPr>
          <w:p w14:paraId="43A2A4EE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114FBE">
              <w:t>369</w:t>
            </w:r>
          </w:p>
        </w:tc>
        <w:tc>
          <w:tcPr>
            <w:tcW w:w="1120" w:type="dxa"/>
            <w:shd w:val="clear" w:color="auto" w:fill="auto"/>
            <w:noWrap/>
          </w:tcPr>
          <w:p w14:paraId="519E29D5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114FBE">
              <w:t>3267</w:t>
            </w:r>
          </w:p>
        </w:tc>
        <w:tc>
          <w:tcPr>
            <w:tcW w:w="1113" w:type="dxa"/>
            <w:shd w:val="clear" w:color="auto" w:fill="auto"/>
            <w:noWrap/>
          </w:tcPr>
          <w:p w14:paraId="3BB7B562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114FBE">
              <w:t>4622</w:t>
            </w:r>
          </w:p>
        </w:tc>
        <w:tc>
          <w:tcPr>
            <w:tcW w:w="1118" w:type="dxa"/>
            <w:shd w:val="clear" w:color="auto" w:fill="auto"/>
            <w:noWrap/>
          </w:tcPr>
          <w:p w14:paraId="11B644C0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114FBE">
              <w:t>1199</w:t>
            </w:r>
          </w:p>
        </w:tc>
        <w:tc>
          <w:tcPr>
            <w:tcW w:w="1487" w:type="dxa"/>
            <w:shd w:val="clear" w:color="auto" w:fill="auto"/>
            <w:noWrap/>
          </w:tcPr>
          <w:p w14:paraId="18782C8E" w14:textId="77777777" w:rsidR="00F72842" w:rsidRPr="000E7D5B" w:rsidRDefault="00F72842" w:rsidP="00C3553D">
            <w:pPr>
              <w:keepNext/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114FBE">
              <w:t>933</w:t>
            </w:r>
          </w:p>
        </w:tc>
      </w:tr>
      <w:tr w:rsidR="00F72842" w:rsidRPr="000E7D5B" w14:paraId="6F1E9BF0" w14:textId="77777777" w:rsidTr="00C3553D">
        <w:trPr>
          <w:trHeight w:val="115"/>
        </w:trPr>
        <w:tc>
          <w:tcPr>
            <w:tcW w:w="1300" w:type="dxa"/>
            <w:shd w:val="clear" w:color="auto" w:fill="auto"/>
            <w:noWrap/>
            <w:vAlign w:val="bottom"/>
          </w:tcPr>
          <w:p w14:paraId="45602866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14FA9BE9" w14:textId="77777777" w:rsidR="00F72842" w:rsidRPr="000E7D5B" w:rsidRDefault="00F72842" w:rsidP="00C3553D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88" w:type="dxa"/>
            <w:shd w:val="clear" w:color="auto" w:fill="auto"/>
            <w:noWrap/>
          </w:tcPr>
          <w:p w14:paraId="6D3BFEB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915837">
              <w:t>1197</w:t>
            </w:r>
          </w:p>
        </w:tc>
        <w:tc>
          <w:tcPr>
            <w:tcW w:w="1214" w:type="dxa"/>
            <w:shd w:val="clear" w:color="auto" w:fill="auto"/>
            <w:noWrap/>
          </w:tcPr>
          <w:p w14:paraId="31A8118B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915837">
              <w:t>356</w:t>
            </w:r>
          </w:p>
        </w:tc>
        <w:tc>
          <w:tcPr>
            <w:tcW w:w="1120" w:type="dxa"/>
            <w:shd w:val="clear" w:color="auto" w:fill="auto"/>
            <w:noWrap/>
          </w:tcPr>
          <w:p w14:paraId="17B5D199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915837">
              <w:t>3370</w:t>
            </w:r>
          </w:p>
        </w:tc>
        <w:tc>
          <w:tcPr>
            <w:tcW w:w="1113" w:type="dxa"/>
            <w:shd w:val="clear" w:color="auto" w:fill="auto"/>
            <w:noWrap/>
          </w:tcPr>
          <w:p w14:paraId="353694BA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915837">
              <w:t>5062</w:t>
            </w:r>
          </w:p>
        </w:tc>
        <w:tc>
          <w:tcPr>
            <w:tcW w:w="1118" w:type="dxa"/>
            <w:shd w:val="clear" w:color="auto" w:fill="auto"/>
            <w:noWrap/>
          </w:tcPr>
          <w:p w14:paraId="09F47B9D" w14:textId="77777777" w:rsidR="00F72842" w:rsidRPr="000E7D5B" w:rsidRDefault="00F72842" w:rsidP="00C3553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915837">
              <w:t>1342</w:t>
            </w:r>
          </w:p>
        </w:tc>
        <w:tc>
          <w:tcPr>
            <w:tcW w:w="1487" w:type="dxa"/>
            <w:shd w:val="clear" w:color="auto" w:fill="auto"/>
            <w:noWrap/>
          </w:tcPr>
          <w:p w14:paraId="0336F9ED" w14:textId="77777777" w:rsidR="00F72842" w:rsidRPr="000E7D5B" w:rsidRDefault="00F72842" w:rsidP="00C3553D">
            <w:pPr>
              <w:keepNext/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915837">
              <w:t>1249</w:t>
            </w:r>
          </w:p>
        </w:tc>
      </w:tr>
    </w:tbl>
    <w:p w14:paraId="40EAFA1E" w14:textId="062C72B6" w:rsidR="00F72842" w:rsidRDefault="004A1CB0" w:rsidP="004A1CB0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1CB0">
        <w:rPr>
          <w:i/>
          <w:iCs/>
          <w:sz w:val="18"/>
          <w:szCs w:val="18"/>
        </w:rPr>
        <w:lastRenderedPageBreak/>
        <w:t>Tabela 5. Ogólna liczba personelu udzielającego świadczeń w rodzaju opieka psychiatryczna i leczenie uzależnień – lekarze, psycholodzy, pielęgniarki psychiatryczne (niepowtarzające się PESELE) w latach 2017-2018. Dane na podstawie informacji NFZ.</w:t>
      </w:r>
    </w:p>
    <w:p w14:paraId="72397593" w14:textId="77777777" w:rsidR="004A1CB0" w:rsidRDefault="004A1CB0" w:rsidP="00F72842">
      <w:pPr>
        <w:spacing w:after="0" w:line="240" w:lineRule="auto"/>
        <w:jc w:val="both"/>
        <w:rPr>
          <w:i/>
          <w:iCs/>
          <w:sz w:val="18"/>
          <w:szCs w:val="18"/>
        </w:rPr>
      </w:pPr>
    </w:p>
    <w:tbl>
      <w:tblPr>
        <w:tblW w:w="91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590"/>
        <w:gridCol w:w="1604"/>
        <w:gridCol w:w="1374"/>
        <w:gridCol w:w="1546"/>
        <w:gridCol w:w="1664"/>
        <w:gridCol w:w="1074"/>
      </w:tblGrid>
      <w:tr w:rsidR="00F72842" w:rsidRPr="008A2603" w14:paraId="349648C3" w14:textId="77777777" w:rsidTr="009D7EFA">
        <w:trPr>
          <w:trHeight w:hRule="exact" w:val="156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18A2652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OW NFZ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BECCDF5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6A63CB8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Liczba</w:t>
            </w:r>
          </w:p>
          <w:p w14:paraId="72743D7A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psychoterapeutów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bottom"/>
          </w:tcPr>
          <w:p w14:paraId="70675AF7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Liczba osób ubiegających się o otrzymanie certyfikatu psychoterapeuty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819BA6E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Liczba</w:t>
            </w:r>
          </w:p>
          <w:p w14:paraId="1E11DBD0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psychoterapeutów</w:t>
            </w:r>
          </w:p>
          <w:p w14:paraId="2E2A89D7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uzależnień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30F6B753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Liczba osób ubiegających się o otrzymanie certyfikatu psychoterapeuty uzależnień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E3CA2A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Liczba</w:t>
            </w:r>
          </w:p>
          <w:p w14:paraId="54CF6D05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instruktorów</w:t>
            </w:r>
          </w:p>
        </w:tc>
      </w:tr>
      <w:tr w:rsidR="00F72842" w:rsidRPr="008A2603" w14:paraId="42B32E71" w14:textId="77777777" w:rsidTr="009D7EFA">
        <w:trPr>
          <w:trHeight w:hRule="exact" w:val="24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2228E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Dolnośląski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46087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7E4B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D6FB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353EF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7E837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4718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63</w:t>
            </w:r>
          </w:p>
        </w:tc>
      </w:tr>
      <w:tr w:rsidR="00F72842" w:rsidRPr="008A2603" w14:paraId="507C4E69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970F3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Dolnośląski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F1A8E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A923B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89057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62834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1417D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A0FC8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59</w:t>
            </w:r>
          </w:p>
        </w:tc>
      </w:tr>
      <w:tr w:rsidR="00F72842" w:rsidRPr="008A2603" w14:paraId="442B733D" w14:textId="77777777" w:rsidTr="009D7EFA">
        <w:trPr>
          <w:trHeight w:hRule="exact" w:val="242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8FB6B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Kujawsko-Pomorski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21993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C173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3414B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CA972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D5408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D73A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41</w:t>
            </w:r>
          </w:p>
        </w:tc>
      </w:tr>
      <w:tr w:rsidR="00F72842" w:rsidRPr="008A2603" w14:paraId="0712817B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0B843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Kujawsko-Pomorski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9B8A9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DE87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BD22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91EF9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5E7E9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EAAF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44</w:t>
            </w:r>
          </w:p>
        </w:tc>
      </w:tr>
      <w:tr w:rsidR="00F72842" w:rsidRPr="008A2603" w14:paraId="497AC225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E0FCB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Lubelski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BCDC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9FCC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3CC69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5E23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50F0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D9930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19</w:t>
            </w:r>
          </w:p>
        </w:tc>
      </w:tr>
      <w:tr w:rsidR="00F72842" w:rsidRPr="008A2603" w14:paraId="2A704CA9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6DB17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Lubelski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FA612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2DA87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4CA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773D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2E7F9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A2D80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26</w:t>
            </w:r>
          </w:p>
        </w:tc>
      </w:tr>
      <w:tr w:rsidR="00F72842" w:rsidRPr="008A2603" w14:paraId="0CF0A3F1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9BBF9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Lubuski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D0B5D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9A25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595E2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3D45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70F1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B93C4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34</w:t>
            </w:r>
          </w:p>
        </w:tc>
      </w:tr>
      <w:tr w:rsidR="00F72842" w:rsidRPr="008A2603" w14:paraId="041A60D5" w14:textId="77777777" w:rsidTr="009D7EFA">
        <w:trPr>
          <w:trHeight w:hRule="exact" w:val="233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E10F2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Lubuski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CD6D4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A3E5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723DD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7CA52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9A15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FD350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31</w:t>
            </w:r>
          </w:p>
        </w:tc>
      </w:tr>
      <w:tr w:rsidR="00F72842" w:rsidRPr="008A2603" w14:paraId="04818294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18AC6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Łódzki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574AA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99A7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6B53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21855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C2E5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AF26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53</w:t>
            </w:r>
          </w:p>
        </w:tc>
      </w:tr>
      <w:tr w:rsidR="00F72842" w:rsidRPr="008A2603" w14:paraId="4FD84CA2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B2D99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Łódzki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12B83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F0DD8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2D55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0059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40DA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DCE8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54</w:t>
            </w:r>
          </w:p>
        </w:tc>
      </w:tr>
      <w:tr w:rsidR="00F72842" w:rsidRPr="008A2603" w14:paraId="33CF578B" w14:textId="77777777" w:rsidTr="009D7EFA">
        <w:trPr>
          <w:trHeight w:hRule="exact" w:val="233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0C2E9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Małopolski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2393E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AB5C5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C33E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F65D4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2521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4925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29</w:t>
            </w:r>
          </w:p>
        </w:tc>
      </w:tr>
      <w:tr w:rsidR="00F72842" w:rsidRPr="008A2603" w14:paraId="148C2EA1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E48F6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Małopolski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1DA90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A8DF2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4494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B931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5B33D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A109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35</w:t>
            </w:r>
          </w:p>
        </w:tc>
      </w:tr>
      <w:tr w:rsidR="00F72842" w:rsidRPr="008A2603" w14:paraId="6672733C" w14:textId="77777777" w:rsidTr="009D7EFA">
        <w:trPr>
          <w:trHeight w:hRule="exact" w:val="233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596ED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Mazowiecki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BE407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7C9E5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91882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DDD2F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B497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F0C29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52</w:t>
            </w:r>
          </w:p>
        </w:tc>
      </w:tr>
      <w:tr w:rsidR="00F72842" w:rsidRPr="008A2603" w14:paraId="5077241F" w14:textId="77777777" w:rsidTr="009D7EFA">
        <w:trPr>
          <w:trHeight w:hRule="exact" w:val="242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BA5AE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Mazowiecki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FD8BA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A539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51FE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65B68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D60E0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A3EC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47</w:t>
            </w:r>
          </w:p>
        </w:tc>
      </w:tr>
      <w:tr w:rsidR="00F72842" w:rsidRPr="008A2603" w14:paraId="498A8981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18C36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Opolski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CAA05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3305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2987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F76F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430C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F577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18</w:t>
            </w:r>
          </w:p>
        </w:tc>
      </w:tr>
      <w:tr w:rsidR="00F72842" w:rsidRPr="008A2603" w14:paraId="1C0C4411" w14:textId="77777777" w:rsidTr="009D7EFA">
        <w:trPr>
          <w:trHeight w:hRule="exact" w:val="233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9F294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Opolski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BF400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C94D7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6EB3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AD1DB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1AAD5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372E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19</w:t>
            </w:r>
          </w:p>
        </w:tc>
      </w:tr>
      <w:tr w:rsidR="00F72842" w:rsidRPr="008A2603" w14:paraId="6E8B262E" w14:textId="77777777" w:rsidTr="009D7EFA">
        <w:trPr>
          <w:trHeight w:hRule="exact" w:val="242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BF77A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Podkarpacki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1B8C0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93E6B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C7035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952DB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C7ED7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ACB6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27</w:t>
            </w:r>
          </w:p>
        </w:tc>
      </w:tr>
      <w:tr w:rsidR="00F72842" w:rsidRPr="008A2603" w14:paraId="7FC8FEB0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4B037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Podkarpacki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91169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DC47B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78CA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AF68D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12E9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4C150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27</w:t>
            </w:r>
          </w:p>
        </w:tc>
      </w:tr>
      <w:tr w:rsidR="00F72842" w:rsidRPr="008A2603" w14:paraId="47F3B3C5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FA3F7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Podlaski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228A7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E540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B583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3A8C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F4EC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E432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14</w:t>
            </w:r>
          </w:p>
        </w:tc>
      </w:tr>
      <w:tr w:rsidR="00F72842" w:rsidRPr="008A2603" w14:paraId="6DE7D598" w14:textId="77777777" w:rsidTr="009D7EFA">
        <w:trPr>
          <w:trHeight w:hRule="exact" w:val="242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4682A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Podlaski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D0274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3E4E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10D57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9AEE0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6B35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B2D5B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13</w:t>
            </w:r>
          </w:p>
        </w:tc>
      </w:tr>
      <w:tr w:rsidR="00F72842" w:rsidRPr="008A2603" w14:paraId="3D648619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A2ABE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Pomorski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6A50D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6981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5CFA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BE19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ACA07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55CC4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</w:t>
            </w:r>
          </w:p>
        </w:tc>
      </w:tr>
      <w:tr w:rsidR="00F72842" w:rsidRPr="008A2603" w14:paraId="5D8C1DD6" w14:textId="77777777" w:rsidTr="009D7EFA">
        <w:trPr>
          <w:trHeight w:hRule="exact" w:val="242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93E14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Pomorski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F6CAB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8A912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B0649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CE3D4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D1687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62312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</w:t>
            </w:r>
          </w:p>
        </w:tc>
      </w:tr>
      <w:tr w:rsidR="00F72842" w:rsidRPr="008A2603" w14:paraId="1A0643B8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192B3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Śląski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5D5D0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85EE8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DDC0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EA1A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D5F5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F38E4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61</w:t>
            </w:r>
          </w:p>
        </w:tc>
      </w:tr>
      <w:tr w:rsidR="00F72842" w:rsidRPr="008A2603" w14:paraId="5F139038" w14:textId="77777777" w:rsidTr="009D7EFA">
        <w:trPr>
          <w:trHeight w:hRule="exact" w:val="233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0A8DB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Śląski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AD08D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F4F6B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69D6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259D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DF8A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A080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63</w:t>
            </w:r>
          </w:p>
        </w:tc>
      </w:tr>
      <w:tr w:rsidR="00F72842" w:rsidRPr="008A2603" w14:paraId="5622C0CD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0A8B6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Świętokrzyski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504F7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C5012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8A24B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71CB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49F78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6B175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19</w:t>
            </w:r>
          </w:p>
        </w:tc>
      </w:tr>
      <w:tr w:rsidR="00F72842" w:rsidRPr="008A2603" w14:paraId="2E9628FA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B5683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Świętokrzyski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2917D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46790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5E298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2AE8B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EF5B7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56AF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17</w:t>
            </w:r>
          </w:p>
        </w:tc>
      </w:tr>
      <w:tr w:rsidR="00F72842" w:rsidRPr="008A2603" w14:paraId="79CDEFCE" w14:textId="77777777" w:rsidTr="009D7EFA">
        <w:trPr>
          <w:trHeight w:hRule="exact" w:val="233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EDA15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Warmińsko-Mazurski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13A9C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24A7D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072C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F2BA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B9CA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6C3B0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36</w:t>
            </w:r>
          </w:p>
        </w:tc>
      </w:tr>
      <w:tr w:rsidR="00F72842" w:rsidRPr="008A2603" w14:paraId="3A7FDD1E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5ACDE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Warmińsko-Mazurski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5A460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FEE1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D9B89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48C9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1808D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6DF3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37</w:t>
            </w:r>
          </w:p>
        </w:tc>
      </w:tr>
      <w:tr w:rsidR="00F72842" w:rsidRPr="008A2603" w14:paraId="1C74244B" w14:textId="77777777" w:rsidTr="009D7EFA">
        <w:trPr>
          <w:trHeight w:hRule="exact" w:val="22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29992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Wielkopolski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A4F6E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5FD3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EE630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1B1C7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E002E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992DD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46</w:t>
            </w:r>
          </w:p>
        </w:tc>
      </w:tr>
      <w:tr w:rsidR="00F72842" w:rsidRPr="008A2603" w14:paraId="0917D287" w14:textId="77777777" w:rsidTr="009D7EFA">
        <w:trPr>
          <w:trHeight w:hRule="exact" w:val="2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11C67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Wielkopolski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B5602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F8C95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0DB5D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C5134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4309A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94F6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49</w:t>
            </w:r>
          </w:p>
        </w:tc>
      </w:tr>
      <w:tr w:rsidR="00F72842" w:rsidRPr="008A2603" w14:paraId="11CA1C8B" w14:textId="77777777" w:rsidTr="009D7EFA">
        <w:trPr>
          <w:trHeight w:hRule="exact" w:val="491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429AE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Zachodniopomorsk</w:t>
            </w:r>
            <w:r>
              <w:rPr>
                <w:rFonts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FF198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437F4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3360D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D6339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434A8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4FEA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165</w:t>
            </w:r>
          </w:p>
        </w:tc>
      </w:tr>
      <w:tr w:rsidR="00F72842" w:rsidRPr="008A2603" w14:paraId="27994913" w14:textId="77777777" w:rsidTr="009D7EFA">
        <w:trPr>
          <w:trHeight w:hRule="exact" w:val="441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5CC1A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Zachodniopomorsk</w:t>
            </w:r>
            <w:r>
              <w:rPr>
                <w:rFonts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3BF7D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5E12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C28C1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450C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C9666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29D4C" w14:textId="77777777" w:rsidR="00F72842" w:rsidRPr="0074202B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74202B">
              <w:rPr>
                <w:rFonts w:cs="Arial"/>
                <w:sz w:val="20"/>
                <w:szCs w:val="20"/>
                <w:lang w:eastAsia="pl-PL"/>
              </w:rPr>
              <w:t>175</w:t>
            </w:r>
          </w:p>
        </w:tc>
      </w:tr>
      <w:tr w:rsidR="00F72842" w:rsidRPr="008A2603" w14:paraId="6F305D0A" w14:textId="77777777" w:rsidTr="009D7EFA">
        <w:trPr>
          <w:trHeight w:hRule="exact" w:val="27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516EC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Suma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D3E56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D6AF1" w14:textId="77777777" w:rsidR="00F72842" w:rsidRPr="0000617D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0617D">
              <w:rPr>
                <w:sz w:val="20"/>
                <w:szCs w:val="20"/>
              </w:rPr>
              <w:t>1040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C8993" w14:textId="77777777" w:rsidR="00F72842" w:rsidRPr="0000617D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0617D">
              <w:rPr>
                <w:sz w:val="20"/>
                <w:szCs w:val="20"/>
              </w:rPr>
              <w:t>1607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6A712" w14:textId="77777777" w:rsidR="00F72842" w:rsidRPr="0000617D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0617D">
              <w:rPr>
                <w:sz w:val="20"/>
                <w:szCs w:val="20"/>
              </w:rPr>
              <w:t>1730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408C7" w14:textId="77777777" w:rsidR="00F72842" w:rsidRPr="0000617D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0617D">
              <w:rPr>
                <w:sz w:val="20"/>
                <w:szCs w:val="20"/>
              </w:rPr>
              <w:t>793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665A" w14:textId="77777777" w:rsidR="00F72842" w:rsidRPr="0000617D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0617D">
              <w:rPr>
                <w:sz w:val="20"/>
                <w:szCs w:val="20"/>
              </w:rPr>
              <w:t>684</w:t>
            </w:r>
          </w:p>
        </w:tc>
      </w:tr>
      <w:tr w:rsidR="00F72842" w:rsidRPr="008A2603" w14:paraId="3A1001D9" w14:textId="77777777" w:rsidTr="009D7EFA">
        <w:trPr>
          <w:trHeight w:hRule="exact" w:val="281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E3A60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Suma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24485" w14:textId="77777777" w:rsidR="00F72842" w:rsidRPr="0074202B" w:rsidRDefault="00F72842" w:rsidP="009D7EFA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BA5BD" w14:textId="77777777" w:rsidR="00F72842" w:rsidRPr="0000617D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0617D">
              <w:rPr>
                <w:sz w:val="20"/>
                <w:szCs w:val="20"/>
              </w:rPr>
              <w:t>1207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23494" w14:textId="77777777" w:rsidR="00F72842" w:rsidRPr="0000617D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0617D">
              <w:rPr>
                <w:sz w:val="20"/>
                <w:szCs w:val="20"/>
              </w:rPr>
              <w:t>1833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7E157" w14:textId="77777777" w:rsidR="00F72842" w:rsidRPr="0000617D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0617D">
              <w:rPr>
                <w:sz w:val="20"/>
                <w:szCs w:val="20"/>
              </w:rPr>
              <w:t>1878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C9CB3" w14:textId="77777777" w:rsidR="00F72842" w:rsidRPr="0000617D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0617D">
              <w:rPr>
                <w:sz w:val="20"/>
                <w:szCs w:val="20"/>
              </w:rPr>
              <w:t>901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4D8D" w14:textId="77777777" w:rsidR="00F72842" w:rsidRPr="0000617D" w:rsidRDefault="00F72842" w:rsidP="009D7EFA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eastAsia="pl-PL"/>
              </w:rPr>
            </w:pPr>
            <w:r w:rsidRPr="0000617D">
              <w:rPr>
                <w:sz w:val="20"/>
                <w:szCs w:val="20"/>
              </w:rPr>
              <w:t>703</w:t>
            </w:r>
          </w:p>
        </w:tc>
      </w:tr>
    </w:tbl>
    <w:p w14:paraId="5E171951" w14:textId="68A16E08" w:rsidR="00F72842" w:rsidRPr="00850CEC" w:rsidRDefault="00F72842" w:rsidP="00F72842">
      <w:pPr>
        <w:spacing w:after="0" w:line="240" w:lineRule="auto"/>
        <w:jc w:val="both"/>
        <w:rPr>
          <w:i/>
          <w:iCs/>
          <w:sz w:val="18"/>
          <w:szCs w:val="18"/>
        </w:rPr>
      </w:pPr>
      <w:r w:rsidRPr="00850CEC">
        <w:rPr>
          <w:i/>
          <w:iCs/>
          <w:sz w:val="18"/>
          <w:szCs w:val="18"/>
        </w:rPr>
        <w:t>Tabela</w:t>
      </w:r>
      <w:r w:rsidR="001F584D">
        <w:rPr>
          <w:i/>
          <w:iCs/>
          <w:sz w:val="18"/>
          <w:szCs w:val="18"/>
        </w:rPr>
        <w:t xml:space="preserve"> 6.</w:t>
      </w:r>
      <w:r w:rsidRPr="00850CEC">
        <w:rPr>
          <w:i/>
          <w:iCs/>
          <w:sz w:val="18"/>
          <w:szCs w:val="18"/>
        </w:rPr>
        <w:t xml:space="preserve"> Ogólna liczba personelu udzielającego świadczeń w rodzaju opieka psychiatryczna i leczenie uzależnień – psychoterapeuci i instruktorzy uzależnień (niepowtarzające się PESELE) w latach 2017-2018. Dane na podstawie informacji NFZ.</w:t>
      </w:r>
    </w:p>
    <w:p w14:paraId="37332539" w14:textId="77777777" w:rsidR="00F72842" w:rsidRDefault="00F72842" w:rsidP="00F72842">
      <w:pPr>
        <w:spacing w:after="0" w:line="240" w:lineRule="auto"/>
        <w:jc w:val="both"/>
      </w:pPr>
    </w:p>
    <w:p w14:paraId="5CAB6A04" w14:textId="6F8C8404" w:rsidR="000504BC" w:rsidRDefault="000504BC" w:rsidP="000504BC">
      <w:pPr>
        <w:spacing w:after="0" w:line="240" w:lineRule="auto"/>
        <w:jc w:val="both"/>
      </w:pPr>
      <w:r>
        <w:t xml:space="preserve">Zgodnie z danymi w tabeli 6, w 2018 </w:t>
      </w:r>
      <w:r w:rsidR="004A1CB0">
        <w:t xml:space="preserve">r. </w:t>
      </w:r>
      <w:r>
        <w:t xml:space="preserve">świadczeń w rodzaju opieka psychiatryczna udzielało 1207 psychoterapeutów oraz 1833 osób ubiegających się o wykonywanie zawodu psychoterapeuty. </w:t>
      </w:r>
      <w:r w:rsidR="00A467BA">
        <w:t xml:space="preserve">Analizując dane zamieszczone w tabeli 6 </w:t>
      </w:r>
      <w:r>
        <w:t>zauważalny</w:t>
      </w:r>
      <w:r w:rsidR="00A467BA">
        <w:t xml:space="preserve"> jest </w:t>
      </w:r>
      <w:r>
        <w:t xml:space="preserve">dość wyraźnie wzrost liczby osób ubiegających się o otrzymanie </w:t>
      </w:r>
      <w:r w:rsidR="009A16A6">
        <w:t xml:space="preserve">certyfikatu </w:t>
      </w:r>
      <w:r>
        <w:t xml:space="preserve">psychoterapeutów. Jest to dość istotne mając na uwadze, </w:t>
      </w:r>
      <w:r w:rsidR="004A1CB0">
        <w:br/>
      </w:r>
      <w:r>
        <w:t>iż</w:t>
      </w:r>
      <w:r w:rsidR="004A1CB0">
        <w:t xml:space="preserve"> </w:t>
      </w:r>
      <w:r>
        <w:t xml:space="preserve">psychoterapia stanowi istotny element w postępowaniu leczniczym. </w:t>
      </w:r>
      <w:r w:rsidR="009A16A6">
        <w:t>Np. w zaburzeniach depresyjnych</w:t>
      </w:r>
      <w:r w:rsidR="004A1CB0">
        <w:t xml:space="preserve"> na</w:t>
      </w:r>
      <w:r w:rsidRPr="000504BC">
        <w:t xml:space="preserve"> każdym etapie leczenia wskazane jest</w:t>
      </w:r>
      <w:r>
        <w:t xml:space="preserve"> </w:t>
      </w:r>
      <w:r w:rsidRPr="000504BC">
        <w:t xml:space="preserve">rozważenie zalecenia </w:t>
      </w:r>
      <w:r>
        <w:t xml:space="preserve">wdrożenia </w:t>
      </w:r>
      <w:r w:rsidRPr="000504BC">
        <w:t xml:space="preserve">oddziaływań </w:t>
      </w:r>
      <w:r w:rsidRPr="000504BC">
        <w:lastRenderedPageBreak/>
        <w:t>psychoterapeutycznych (w depresji o niewielkim nasileniu – jako jedyna forma leczenia, przy zintensyfikowaniu objawów – jako leczenie wspomagające obok farmakoterapii)</w:t>
      </w:r>
      <w:r>
        <w:rPr>
          <w:rStyle w:val="Odwoanieprzypisudolnego"/>
        </w:rPr>
        <w:footnoteReference w:id="13"/>
      </w:r>
      <w:r w:rsidRPr="000504BC">
        <w:t>.</w:t>
      </w:r>
      <w:r w:rsidR="009A16A6" w:rsidRPr="009A16A6">
        <w:t xml:space="preserve"> </w:t>
      </w:r>
    </w:p>
    <w:p w14:paraId="58153FAE" w14:textId="77777777" w:rsidR="000504BC" w:rsidRDefault="000504BC" w:rsidP="000504BC">
      <w:pPr>
        <w:spacing w:after="0" w:line="240" w:lineRule="auto"/>
        <w:jc w:val="both"/>
      </w:pPr>
    </w:p>
    <w:p w14:paraId="4027CBA8" w14:textId="2CA7576D" w:rsidR="00F72842" w:rsidRPr="00850CEC" w:rsidRDefault="00F72842" w:rsidP="00F72842">
      <w:pPr>
        <w:spacing w:after="0" w:line="240" w:lineRule="auto"/>
        <w:jc w:val="both"/>
      </w:pPr>
      <w:r w:rsidRPr="00850CEC">
        <w:t>Warte zaznaczenia jest, iż w</w:t>
      </w:r>
      <w:r>
        <w:t>e wdrażanym</w:t>
      </w:r>
      <w:r w:rsidRPr="00850CEC">
        <w:t xml:space="preserve"> modelu psychiatrii środowiskowej n</w:t>
      </w:r>
      <w:r>
        <w:t>a znaczeniu będą zyskiwali asystenci zdrowienia. Wymóg zatrudniania asystentów zdrowienia w centrach zdrowia psychicznego wynika z przepisów rozporządzeniu Ministra Zdrowia w sprawie programu pilotażowego w centrach zdrowia psychicznego.</w:t>
      </w:r>
    </w:p>
    <w:p w14:paraId="3455ED4A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</w:p>
    <w:p w14:paraId="5F7CF7F6" w14:textId="77777777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Oczekiwany rezultat:</w:t>
      </w:r>
    </w:p>
    <w:p w14:paraId="58418E87" w14:textId="77777777" w:rsidR="00F72842" w:rsidRPr="004301C1" w:rsidRDefault="00F72842" w:rsidP="00F72842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4301C1">
        <w:rPr>
          <w:b/>
          <w:lang w:eastAsia="pl-PL"/>
        </w:rPr>
        <w:t>Do</w:t>
      </w:r>
      <w:r>
        <w:rPr>
          <w:b/>
          <w:lang w:eastAsia="pl-PL"/>
        </w:rPr>
        <w:t xml:space="preserve"> końca</w:t>
      </w:r>
      <w:r w:rsidRPr="004301C1">
        <w:rPr>
          <w:b/>
          <w:lang w:eastAsia="pl-PL"/>
        </w:rPr>
        <w:t xml:space="preserve"> 2025 r. zwiększenie liczby psychiatrów dorosłych o</w:t>
      </w:r>
      <w:r>
        <w:rPr>
          <w:b/>
          <w:lang w:eastAsia="pl-PL"/>
        </w:rPr>
        <w:t xml:space="preserve"> co najmniej</w:t>
      </w:r>
      <w:r w:rsidRPr="004301C1">
        <w:rPr>
          <w:b/>
          <w:lang w:eastAsia="pl-PL"/>
        </w:rPr>
        <w:t xml:space="preserve"> 600 specjalistów</w:t>
      </w:r>
      <w:r>
        <w:rPr>
          <w:b/>
          <w:lang w:eastAsia="pl-PL"/>
        </w:rPr>
        <w:t>.</w:t>
      </w:r>
    </w:p>
    <w:p w14:paraId="00C03378" w14:textId="6F654400" w:rsidR="00173229" w:rsidRDefault="00F72842" w:rsidP="00F72842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>
        <w:rPr>
          <w:b/>
          <w:lang w:eastAsia="pl-PL"/>
        </w:rPr>
        <w:t>D</w:t>
      </w:r>
      <w:r w:rsidRPr="004301C1">
        <w:rPr>
          <w:b/>
          <w:lang w:eastAsia="pl-PL"/>
        </w:rPr>
        <w:t xml:space="preserve">o </w:t>
      </w:r>
      <w:r>
        <w:rPr>
          <w:b/>
          <w:lang w:eastAsia="pl-PL"/>
        </w:rPr>
        <w:t xml:space="preserve">końca </w:t>
      </w:r>
      <w:r w:rsidRPr="004301C1">
        <w:rPr>
          <w:b/>
          <w:lang w:eastAsia="pl-PL"/>
        </w:rPr>
        <w:t>202</w:t>
      </w:r>
      <w:r>
        <w:rPr>
          <w:b/>
          <w:lang w:eastAsia="pl-PL"/>
        </w:rPr>
        <w:t>1 r.</w:t>
      </w:r>
      <w:r w:rsidRPr="004301C1">
        <w:rPr>
          <w:b/>
          <w:lang w:eastAsia="pl-PL"/>
        </w:rPr>
        <w:t xml:space="preserve"> zwiększenie licz</w:t>
      </w:r>
      <w:r>
        <w:rPr>
          <w:b/>
          <w:lang w:eastAsia="pl-PL"/>
        </w:rPr>
        <w:t>b</w:t>
      </w:r>
      <w:r w:rsidRPr="004301C1">
        <w:rPr>
          <w:b/>
          <w:lang w:eastAsia="pl-PL"/>
        </w:rPr>
        <w:t xml:space="preserve">y asystentów zdrowienia w centrach zdrowia psychicznego </w:t>
      </w:r>
      <w:r w:rsidRPr="004301C1">
        <w:rPr>
          <w:b/>
          <w:lang w:eastAsia="pl-PL"/>
        </w:rPr>
        <w:br/>
        <w:t>(</w:t>
      </w:r>
      <w:r w:rsidR="00173229">
        <w:rPr>
          <w:b/>
          <w:lang w:eastAsia="pl-PL"/>
        </w:rPr>
        <w:t>docelowo</w:t>
      </w:r>
      <w:r w:rsidRPr="00A636CC">
        <w:rPr>
          <w:b/>
          <w:lang w:eastAsia="pl-PL"/>
        </w:rPr>
        <w:t xml:space="preserve"> po dwóch asystentów w</w:t>
      </w:r>
      <w:r w:rsidR="00173229">
        <w:rPr>
          <w:b/>
          <w:lang w:eastAsia="pl-PL"/>
        </w:rPr>
        <w:t xml:space="preserve"> każdym</w:t>
      </w:r>
      <w:r w:rsidRPr="00A636CC">
        <w:rPr>
          <w:b/>
          <w:lang w:eastAsia="pl-PL"/>
        </w:rPr>
        <w:t xml:space="preserve"> centr</w:t>
      </w:r>
      <w:r w:rsidR="00173229">
        <w:rPr>
          <w:b/>
          <w:lang w:eastAsia="pl-PL"/>
        </w:rPr>
        <w:t>um</w:t>
      </w:r>
      <w:r w:rsidRPr="00A636CC">
        <w:rPr>
          <w:b/>
          <w:lang w:eastAsia="pl-PL"/>
        </w:rPr>
        <w:t xml:space="preserve"> zdrowia psychicznego, a co najmniej jeden asystent w każdym centrum</w:t>
      </w:r>
      <w:r w:rsidRPr="004301C1">
        <w:rPr>
          <w:b/>
          <w:lang w:eastAsia="pl-PL"/>
        </w:rPr>
        <w:t>)</w:t>
      </w:r>
      <w:r>
        <w:rPr>
          <w:b/>
          <w:lang w:eastAsia="pl-PL"/>
        </w:rPr>
        <w:t xml:space="preserve">. </w:t>
      </w:r>
    </w:p>
    <w:p w14:paraId="6605BC0A" w14:textId="5E305F2D" w:rsidR="00F72842" w:rsidRDefault="00F72842" w:rsidP="00F72842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>
        <w:rPr>
          <w:b/>
          <w:lang w:eastAsia="pl-PL"/>
        </w:rPr>
        <w:t xml:space="preserve">Od 2022 r. możliwość </w:t>
      </w:r>
      <w:r w:rsidRPr="00CA3FAB">
        <w:rPr>
          <w:b/>
          <w:bCs/>
        </w:rPr>
        <w:t>wspierani</w:t>
      </w:r>
      <w:r>
        <w:rPr>
          <w:b/>
          <w:bCs/>
        </w:rPr>
        <w:t>a</w:t>
      </w:r>
      <w:r w:rsidRPr="00CA3FAB">
        <w:rPr>
          <w:b/>
          <w:bCs/>
        </w:rPr>
        <w:t xml:space="preserve"> przygotowania zawodowego do pełnienia funkcji przez asystentów zdrowienia</w:t>
      </w:r>
      <w:r>
        <w:rPr>
          <w:b/>
          <w:bCs/>
        </w:rPr>
        <w:t>.</w:t>
      </w:r>
    </w:p>
    <w:p w14:paraId="050BB429" w14:textId="454D0C0B" w:rsidR="00F72842" w:rsidRPr="004301C1" w:rsidRDefault="00F72842" w:rsidP="00F72842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>
        <w:rPr>
          <w:b/>
          <w:lang w:eastAsia="pl-PL"/>
        </w:rPr>
        <w:t>Do końca 2025 r. zwiększenie łącznej liczby terapeutów środowiskowych (</w:t>
      </w:r>
      <w:bookmarkStart w:id="12" w:name="_Hlk40435256"/>
      <w:r>
        <w:rPr>
          <w:b/>
          <w:lang w:eastAsia="pl-PL"/>
        </w:rPr>
        <w:t xml:space="preserve">proponowane uruchomienie studiów licencjackich </w:t>
      </w:r>
      <w:bookmarkEnd w:id="12"/>
      <w:r>
        <w:rPr>
          <w:b/>
          <w:lang w:eastAsia="pl-PL"/>
        </w:rPr>
        <w:t>od 2022 r., z zachowaniem uprawnień przez osoby</w:t>
      </w:r>
      <w:r w:rsidR="008356DF">
        <w:rPr>
          <w:b/>
          <w:lang w:eastAsia="pl-PL"/>
        </w:rPr>
        <w:t>,</w:t>
      </w:r>
      <w:r>
        <w:rPr>
          <w:b/>
          <w:lang w:eastAsia="pl-PL"/>
        </w:rPr>
        <w:t xml:space="preserve"> które nabyły uprawnienia w oparciu o dotychczasowe rozwiązania), psychoterapeutów, terapeutów zajęciowych oraz pielęgniarek psychiatrycznych zatrudnionych w podmiotach finansowanych przez Narodowy Fundusz Zdrowia.</w:t>
      </w:r>
    </w:p>
    <w:p w14:paraId="2D0B4B48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651A7A">
        <w:rPr>
          <w:b/>
          <w:color w:val="1F4E79" w:themeColor="accent1" w:themeShade="80"/>
          <w:lang w:eastAsia="pl-PL"/>
        </w:rPr>
        <w:t>Działania</w:t>
      </w:r>
    </w:p>
    <w:p w14:paraId="2553E073" w14:textId="1C010BAB" w:rsidR="00F72842" w:rsidRDefault="00F72842" w:rsidP="00F72842">
      <w:pPr>
        <w:jc w:val="both"/>
        <w:rPr>
          <w:bCs/>
          <w:lang w:eastAsia="pl-PL"/>
        </w:rPr>
      </w:pPr>
      <w:r w:rsidRPr="00D627C7">
        <w:rPr>
          <w:bCs/>
          <w:lang w:eastAsia="pl-PL"/>
        </w:rPr>
        <w:t xml:space="preserve">Ministerstwo Zdrowia podejmuje działania dążące do wzrostu liczby specjalistów psychiatrii dorosłych m.in. </w:t>
      </w:r>
      <w:r>
        <w:rPr>
          <w:bCs/>
          <w:lang w:eastAsia="pl-PL"/>
        </w:rPr>
        <w:t xml:space="preserve">poprzez </w:t>
      </w:r>
      <w:r w:rsidRPr="00D627C7">
        <w:rPr>
          <w:bCs/>
          <w:lang w:eastAsia="pl-PL"/>
        </w:rPr>
        <w:t>wpisanie psychiatrii jako dziedziny priorytetowej (a więc podjęcie kształcenia w tej dziedzinie jest premiowane finansowo oraz przewidziane są dodatkowe miejsca na rezydentury). Ponadto Ministerstwo Zdrowia corocznie zwiększa limit liczby osób studiujących na kierunku lekarskim oraz wprowadza zmiany w systemie szkolenia specjalizacyjnego lekarzy. Ważny jest również rozwój</w:t>
      </w:r>
      <w:r w:rsidRPr="00235B5C">
        <w:t xml:space="preserve"> </w:t>
      </w:r>
      <w:r w:rsidRPr="00D627C7">
        <w:rPr>
          <w:bCs/>
          <w:lang w:eastAsia="pl-PL"/>
        </w:rPr>
        <w:t>nowych zawod</w:t>
      </w:r>
      <w:r>
        <w:rPr>
          <w:bCs/>
          <w:lang w:eastAsia="pl-PL"/>
        </w:rPr>
        <w:t>ów</w:t>
      </w:r>
      <w:r w:rsidRPr="00D627C7">
        <w:rPr>
          <w:bCs/>
          <w:lang w:eastAsia="pl-PL"/>
        </w:rPr>
        <w:t xml:space="preserve"> uczestniczących w opiece psychiatrycznej takich jak. m.in.: asystenci zdrowienia.</w:t>
      </w:r>
      <w:r>
        <w:rPr>
          <w:bCs/>
          <w:lang w:eastAsia="pl-PL"/>
        </w:rPr>
        <w:t xml:space="preserve"> Dla tej grupy osób niezbędne będzie </w:t>
      </w:r>
      <w:r>
        <w:t>wspieranie przygotowania zawodowego do pełnienia funkcji przez asystentów zdrowienia.</w:t>
      </w:r>
      <w:r w:rsidRPr="00D627C7">
        <w:rPr>
          <w:bCs/>
          <w:lang w:eastAsia="pl-PL"/>
        </w:rPr>
        <w:t xml:space="preserve"> Planuje się włączenie asystentów zdrowienia do zintegrowanego systemu kwalifikacji. W chwili obecnej</w:t>
      </w:r>
      <w:r>
        <w:rPr>
          <w:bCs/>
          <w:lang w:eastAsia="pl-PL"/>
        </w:rPr>
        <w:t xml:space="preserve"> zatrudnianie</w:t>
      </w:r>
      <w:r w:rsidRPr="00D627C7">
        <w:rPr>
          <w:bCs/>
          <w:lang w:eastAsia="pl-PL"/>
        </w:rPr>
        <w:t xml:space="preserve"> asysten</w:t>
      </w:r>
      <w:r>
        <w:rPr>
          <w:bCs/>
          <w:lang w:eastAsia="pl-PL"/>
        </w:rPr>
        <w:t>tów</w:t>
      </w:r>
      <w:r w:rsidRPr="00D627C7">
        <w:rPr>
          <w:bCs/>
          <w:lang w:eastAsia="pl-PL"/>
        </w:rPr>
        <w:t xml:space="preserve"> zdrowienia</w:t>
      </w:r>
      <w:r>
        <w:rPr>
          <w:bCs/>
          <w:lang w:eastAsia="pl-PL"/>
        </w:rPr>
        <w:t xml:space="preserve"> wynika</w:t>
      </w:r>
      <w:r w:rsidRPr="00D627C7">
        <w:rPr>
          <w:bCs/>
          <w:lang w:eastAsia="pl-PL"/>
        </w:rPr>
        <w:t xml:space="preserve"> </w:t>
      </w:r>
      <w:r>
        <w:rPr>
          <w:bCs/>
          <w:lang w:eastAsia="pl-PL"/>
        </w:rPr>
        <w:t xml:space="preserve">z przepisów </w:t>
      </w:r>
      <w:r w:rsidRPr="00D627C7">
        <w:rPr>
          <w:bCs/>
          <w:lang w:eastAsia="pl-PL"/>
        </w:rPr>
        <w:t xml:space="preserve">rozporządzenia Ministra </w:t>
      </w:r>
      <w:r>
        <w:rPr>
          <w:bCs/>
          <w:lang w:eastAsia="pl-PL"/>
        </w:rPr>
        <w:t>Z</w:t>
      </w:r>
      <w:r w:rsidRPr="00D627C7">
        <w:rPr>
          <w:bCs/>
          <w:lang w:eastAsia="pl-PL"/>
        </w:rPr>
        <w:t>drowia w sprawie programu pilotażowego</w:t>
      </w:r>
      <w:r>
        <w:rPr>
          <w:bCs/>
          <w:lang w:eastAsia="pl-PL"/>
        </w:rPr>
        <w:t xml:space="preserve">. Istotne jest również podjęcie działań umożliwiających </w:t>
      </w:r>
      <w:r w:rsidRPr="00134288">
        <w:rPr>
          <w:bCs/>
          <w:lang w:eastAsia="pl-PL"/>
        </w:rPr>
        <w:t>uruchomienie studiów licencjackich</w:t>
      </w:r>
      <w:r>
        <w:rPr>
          <w:bCs/>
          <w:lang w:eastAsia="pl-PL"/>
        </w:rPr>
        <w:t xml:space="preserve"> kształcących terapeutów środowiskow</w:t>
      </w:r>
      <w:r w:rsidR="0014733E">
        <w:rPr>
          <w:bCs/>
          <w:lang w:eastAsia="pl-PL"/>
        </w:rPr>
        <w:t>ych</w:t>
      </w:r>
      <w:r>
        <w:rPr>
          <w:bCs/>
          <w:lang w:eastAsia="pl-PL"/>
        </w:rPr>
        <w:t>, którzy stanowią bardzo ważny element modelu środowiskowego.</w:t>
      </w:r>
    </w:p>
    <w:p w14:paraId="1DD666B5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  <w:bookmarkStart w:id="13" w:name="_Hlk39649961"/>
      <w:r w:rsidRPr="00D702DB">
        <w:rPr>
          <w:b/>
          <w:color w:val="1F4E79" w:themeColor="accent1" w:themeShade="80"/>
          <w:lang w:eastAsia="pl-PL"/>
        </w:rPr>
        <w:t>Finansowani</w:t>
      </w:r>
      <w:r>
        <w:rPr>
          <w:b/>
          <w:color w:val="1F4E79" w:themeColor="accent1" w:themeShade="80"/>
          <w:lang w:eastAsia="pl-PL"/>
        </w:rPr>
        <w:t>e</w:t>
      </w:r>
    </w:p>
    <w:bookmarkEnd w:id="13"/>
    <w:p w14:paraId="36323BB0" w14:textId="1315BC4B" w:rsidR="00F72842" w:rsidRDefault="00F72842" w:rsidP="00F72842">
      <w:pPr>
        <w:jc w:val="both"/>
        <w:rPr>
          <w:bCs/>
          <w:lang w:eastAsia="pl-PL"/>
        </w:rPr>
      </w:pPr>
      <w:r w:rsidRPr="004F445D">
        <w:rPr>
          <w:bCs/>
          <w:lang w:eastAsia="pl-PL"/>
        </w:rPr>
        <w:t>Finansowanie kadr medycznych</w:t>
      </w:r>
      <w:r>
        <w:rPr>
          <w:bCs/>
          <w:lang w:eastAsia="pl-PL"/>
        </w:rPr>
        <w:t xml:space="preserve"> w ramach niniejszej strategii</w:t>
      </w:r>
      <w:r w:rsidR="00ED0BFC">
        <w:rPr>
          <w:bCs/>
          <w:lang w:eastAsia="pl-PL"/>
        </w:rPr>
        <w:t xml:space="preserve"> (rezultat 1, 2, 4)</w:t>
      </w:r>
      <w:r>
        <w:rPr>
          <w:bCs/>
          <w:lang w:eastAsia="pl-PL"/>
        </w:rPr>
        <w:t xml:space="preserve"> odbywa się przede wszystkim na podstawie przepisów ustawy z dnia 27 lipca 2005 r.  </w:t>
      </w:r>
      <w:r w:rsidRPr="001F584D">
        <w:rPr>
          <w:bCs/>
          <w:i/>
          <w:iCs/>
          <w:lang w:eastAsia="pl-PL"/>
        </w:rPr>
        <w:t>prawo o szkolnictwie wyższym</w:t>
      </w:r>
      <w:r>
        <w:rPr>
          <w:bCs/>
          <w:lang w:eastAsia="pl-PL"/>
        </w:rPr>
        <w:t xml:space="preserve">, ustawy z dnia 5 grudnia 1996 r. </w:t>
      </w:r>
      <w:r w:rsidRPr="001F584D">
        <w:rPr>
          <w:bCs/>
          <w:i/>
          <w:iCs/>
          <w:lang w:eastAsia="pl-PL"/>
        </w:rPr>
        <w:t>o zawodach lekarza i lekarza dentysty</w:t>
      </w:r>
      <w:r>
        <w:rPr>
          <w:bCs/>
          <w:lang w:eastAsia="pl-PL"/>
        </w:rPr>
        <w:t xml:space="preserve"> oraz ustawy z dnia 15 lipca 2011 r. </w:t>
      </w:r>
      <w:r w:rsidRPr="001F584D">
        <w:rPr>
          <w:bCs/>
          <w:i/>
          <w:iCs/>
          <w:lang w:eastAsia="pl-PL"/>
        </w:rPr>
        <w:t>o zawodach pielęgniarki i położnej</w:t>
      </w:r>
      <w:r w:rsidR="00ED0BFC">
        <w:rPr>
          <w:bCs/>
          <w:i/>
          <w:iCs/>
          <w:lang w:eastAsia="pl-PL"/>
        </w:rPr>
        <w:t xml:space="preserve"> a także innych aktów prawnych z przedmiotowego zakresu</w:t>
      </w:r>
      <w:r w:rsidRPr="001F584D">
        <w:rPr>
          <w:bCs/>
          <w:i/>
          <w:iCs/>
          <w:lang w:eastAsia="pl-PL"/>
        </w:rPr>
        <w:t>.</w:t>
      </w:r>
      <w:r>
        <w:rPr>
          <w:bCs/>
          <w:lang w:eastAsia="pl-PL"/>
        </w:rPr>
        <w:t xml:space="preserve"> Istotnym aktem prawnym dotyczącym finansowania kształcenia kadr medycznych jest również rozporządzenie Ministra Zdrowia z dnia 28 czerwca 2019 r. </w:t>
      </w:r>
      <w:r w:rsidRPr="001F584D">
        <w:rPr>
          <w:bCs/>
          <w:i/>
          <w:iCs/>
          <w:lang w:eastAsia="pl-PL"/>
        </w:rPr>
        <w:t>w sprawie sposobu podziału środków finansowych dla uczelni medycznych nadzorowanych przez ministra właściwego do spraw zdrowia</w:t>
      </w:r>
      <w:r>
        <w:rPr>
          <w:bCs/>
          <w:lang w:eastAsia="pl-PL"/>
        </w:rPr>
        <w:t xml:space="preserve">. Jednocześnie w ramach strategii deinstytucjonalizacji przewiduje się możliwość finansowego </w:t>
      </w:r>
      <w:r w:rsidRPr="00CA3FAB">
        <w:t>wspierania przygotowania zawodowego do pełnienia funkcji przez asystentów zdrowienia</w:t>
      </w:r>
    </w:p>
    <w:tbl>
      <w:tblPr>
        <w:tblW w:w="9114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1299"/>
        <w:gridCol w:w="617"/>
        <w:gridCol w:w="710"/>
        <w:gridCol w:w="800"/>
        <w:gridCol w:w="906"/>
        <w:gridCol w:w="1076"/>
        <w:gridCol w:w="737"/>
        <w:gridCol w:w="686"/>
        <w:gridCol w:w="711"/>
        <w:gridCol w:w="161"/>
      </w:tblGrid>
      <w:tr w:rsidR="00F72842" w:rsidRPr="00113B3E" w14:paraId="71757C42" w14:textId="77777777" w:rsidTr="004A1CB0">
        <w:trPr>
          <w:gridAfter w:val="1"/>
          <w:wAfter w:w="158" w:type="dxa"/>
          <w:trHeight w:val="315"/>
        </w:trPr>
        <w:tc>
          <w:tcPr>
            <w:tcW w:w="8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A2D9"/>
            <w:vAlign w:val="center"/>
            <w:hideMark/>
          </w:tcPr>
          <w:p w14:paraId="40289F56" w14:textId="43E539A6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0B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Cel</w:t>
            </w:r>
            <w:r w:rsidR="00996D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F40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– </w:t>
            </w:r>
            <w:r w:rsidRPr="00CF40B0">
              <w:rPr>
                <w:rFonts w:ascii="Calibri" w:eastAsia="Times New Roman" w:hAnsi="Calibri" w:cs="Calibri"/>
                <w:color w:val="000000"/>
                <w:lang w:eastAsia="pl-PL"/>
              </w:rPr>
              <w:t>Poprawa sytuacji kadrowej i jakości kształcenia w dziedzinie psychiatrii</w:t>
            </w:r>
          </w:p>
        </w:tc>
      </w:tr>
      <w:tr w:rsidR="004A1CB0" w:rsidRPr="00113B3E" w14:paraId="7580ECEF" w14:textId="77777777" w:rsidTr="004A1CB0">
        <w:trPr>
          <w:gridAfter w:val="1"/>
          <w:wAfter w:w="161" w:type="dxa"/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32CDDE6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Termin realizacji działań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B498604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rezultatu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EA7098A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925D4EA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B65F06C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0C529CB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6E0F9F5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FE2021A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2025</w:t>
            </w:r>
            <w:r w:rsidRPr="00113B3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C77531C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2026</w:t>
            </w:r>
            <w:r w:rsidRPr="00113B3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l-PL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8BC2915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2027</w:t>
            </w:r>
          </w:p>
        </w:tc>
      </w:tr>
      <w:tr w:rsidR="004A1CB0" w:rsidRPr="00113B3E" w14:paraId="633F17D1" w14:textId="77777777" w:rsidTr="00F12492">
        <w:trPr>
          <w:gridAfter w:val="1"/>
          <w:wAfter w:w="161" w:type="dxa"/>
          <w:trHeight w:val="6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72A6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B5144D0" w14:textId="14D28EDB" w:rsidR="00F72842" w:rsidRPr="00113B3E" w:rsidRDefault="00ED0BFC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37C9B8CE" w14:textId="4CC85819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50C37720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75BDDA9E" w14:textId="5555847B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0F78D0FE" w14:textId="2E24D03D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28F661D6" w14:textId="1E57ECD1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0F14261D" w14:textId="095F0BE4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1306D212" w14:textId="522FA879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07B5C479" w14:textId="7B4CF3BE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72842" w:rsidRPr="00113B3E" w14:paraId="798049B2" w14:textId="77777777" w:rsidTr="004A1CB0">
        <w:trPr>
          <w:gridAfter w:val="1"/>
          <w:wAfter w:w="160" w:type="dxa"/>
          <w:trHeight w:val="12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681A02B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Indykatywne źródła finansowania</w:t>
            </w: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5EA5309" w14:textId="7B742ED1" w:rsidR="00F72842" w:rsidRPr="00113B3E" w:rsidRDefault="00ED0BFC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="00F72842" w:rsidRPr="00CF40B0">
              <w:rPr>
                <w:rFonts w:ascii="Calibri" w:eastAsia="Times New Roman" w:hAnsi="Calibri" w:cs="Calibri"/>
                <w:lang w:eastAsia="pl-PL"/>
              </w:rPr>
              <w:t xml:space="preserve"> – Finansowanie ze środków Europejski</w:t>
            </w:r>
            <w:r>
              <w:rPr>
                <w:rFonts w:ascii="Calibri" w:eastAsia="Times New Roman" w:hAnsi="Calibri" w:cs="Calibri"/>
                <w:lang w:eastAsia="pl-PL"/>
              </w:rPr>
              <w:t>ch</w:t>
            </w:r>
          </w:p>
        </w:tc>
      </w:tr>
      <w:tr w:rsidR="00F72842" w:rsidRPr="00113B3E" w14:paraId="3EE3219D" w14:textId="77777777" w:rsidTr="004A1CB0">
        <w:trPr>
          <w:gridAfter w:val="1"/>
          <w:wAfter w:w="160" w:type="dxa"/>
          <w:trHeight w:val="58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998322A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Instytucje koordynujące</w:t>
            </w:r>
          </w:p>
        </w:tc>
        <w:tc>
          <w:tcPr>
            <w:tcW w:w="75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EC962E0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0B0">
              <w:rPr>
                <w:rFonts w:ascii="Calibri" w:eastAsia="Times New Roman" w:hAnsi="Calibri" w:cs="Calibri"/>
                <w:lang w:eastAsia="pl-PL"/>
              </w:rPr>
              <w:t>1- Ministerstwo Zdrowia we współpracy z Ministerstwem Funduszy i Polityki Regionalnej</w:t>
            </w:r>
          </w:p>
        </w:tc>
      </w:tr>
      <w:tr w:rsidR="00F72842" w:rsidRPr="00113B3E" w14:paraId="0FDC2ADC" w14:textId="77777777" w:rsidTr="004A1CB0">
        <w:trPr>
          <w:trHeight w:val="3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4FCA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5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C45D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DE4F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C64E935" w14:textId="77777777" w:rsidR="00F72842" w:rsidRPr="004F445D" w:rsidRDefault="00F72842" w:rsidP="00F72842">
      <w:pPr>
        <w:jc w:val="both"/>
        <w:rPr>
          <w:bCs/>
          <w:lang w:eastAsia="pl-PL"/>
        </w:rPr>
      </w:pPr>
    </w:p>
    <w:p w14:paraId="16533AF9" w14:textId="77777777" w:rsidR="00F72842" w:rsidRPr="00716983" w:rsidRDefault="00F72842" w:rsidP="00F72842">
      <w:pPr>
        <w:jc w:val="both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2</w:t>
      </w:r>
      <w:r w:rsidRPr="00EE788F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.</w:t>
      </w:r>
      <w:r w:rsidRPr="00EE788F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ab/>
        <w:t xml:space="preserve">Inwestycje w system – </w:t>
      </w:r>
      <w:bookmarkStart w:id="14" w:name="_Hlk39651222"/>
      <w:r w:rsidRPr="00EE788F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zmiana organizacji udzielania świadczeń zdrowotnych 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br/>
      </w:r>
      <w:r w:rsidRPr="00EE788F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z zakresu opieki psychiatrycznej</w:t>
      </w:r>
      <w:bookmarkEnd w:id="14"/>
    </w:p>
    <w:p w14:paraId="120A1616" w14:textId="77777777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Cel</w:t>
      </w:r>
      <w:r>
        <w:rPr>
          <w:b/>
          <w:color w:val="1F4E79" w:themeColor="accent1" w:themeShade="80"/>
          <w:lang w:eastAsia="pl-PL"/>
        </w:rPr>
        <w:t xml:space="preserve"> szczegółowy</w:t>
      </w:r>
      <w:r w:rsidRPr="00A3118C">
        <w:rPr>
          <w:b/>
          <w:color w:val="1F4E79" w:themeColor="accent1" w:themeShade="80"/>
          <w:lang w:eastAsia="pl-PL"/>
        </w:rPr>
        <w:t xml:space="preserve">: </w:t>
      </w:r>
    </w:p>
    <w:p w14:paraId="27FE033D" w14:textId="505C3FB8" w:rsidR="00F72842" w:rsidRPr="00012B36" w:rsidRDefault="00F72842" w:rsidP="00F72842">
      <w:pPr>
        <w:jc w:val="both"/>
        <w:rPr>
          <w:color w:val="1F4E79" w:themeColor="accent1" w:themeShade="80"/>
          <w:lang w:eastAsia="pl-PL"/>
        </w:rPr>
      </w:pPr>
      <w:r w:rsidRPr="003D7309">
        <w:rPr>
          <w:lang w:eastAsia="pl-PL"/>
        </w:rPr>
        <w:t>Rozwój oddziałów psychiatrycznych przy szpitalach ogólnych oraz zmiana profilu udzielanych świadczeń przez duże szpitale psychiatryczne</w:t>
      </w:r>
      <w:r>
        <w:rPr>
          <w:lang w:eastAsia="pl-PL"/>
        </w:rPr>
        <w:t xml:space="preserve">. Dążenie do </w:t>
      </w:r>
      <w:r w:rsidR="00996DE4">
        <w:t>z</w:t>
      </w:r>
      <w:r>
        <w:t>akończeni</w:t>
      </w:r>
      <w:r w:rsidR="00996DE4">
        <w:t>a</w:t>
      </w:r>
      <w:r>
        <w:t xml:space="preserve"> przyjęć na oddziały ogólnopsychiatryczne „ostroprzyjęciowe” nie zlokalizowane przy szpitalach wielospecjalistycznych.</w:t>
      </w:r>
    </w:p>
    <w:p w14:paraId="56CF0C4E" w14:textId="77777777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Diagnoza:</w:t>
      </w:r>
    </w:p>
    <w:p w14:paraId="601801AC" w14:textId="77777777" w:rsidR="00F72842" w:rsidRDefault="00F72842" w:rsidP="00F72842">
      <w:pPr>
        <w:spacing w:after="120" w:line="240" w:lineRule="auto"/>
        <w:jc w:val="both"/>
        <w:rPr>
          <w:rFonts w:ascii="Calibri" w:eastAsia="Calibri" w:hAnsi="Calibri" w:cs="Calibri"/>
          <w:lang w:eastAsia="pl-PL"/>
        </w:rPr>
      </w:pPr>
      <w:r w:rsidRPr="00E82CBB">
        <w:rPr>
          <w:rFonts w:ascii="Calibri" w:eastAsia="Calibri" w:hAnsi="Calibri" w:cs="Calibri"/>
          <w:lang w:eastAsia="pl-PL"/>
        </w:rPr>
        <w:t>Świadczenia gwarantowane opieki psychiatrycznej realizowane w formie stacjonarnej (całodobowe</w:t>
      </w:r>
      <w:r>
        <w:rPr>
          <w:rFonts w:ascii="Calibri" w:eastAsia="Calibri" w:hAnsi="Calibri" w:cs="Calibri"/>
          <w:lang w:eastAsia="pl-PL"/>
        </w:rPr>
        <w:t>j</w:t>
      </w:r>
      <w:r w:rsidRPr="00E82CBB">
        <w:rPr>
          <w:rFonts w:ascii="Calibri" w:eastAsia="Calibri" w:hAnsi="Calibri" w:cs="Calibri"/>
          <w:lang w:eastAsia="pl-PL"/>
        </w:rPr>
        <w:t xml:space="preserve">) udzielane są w oddziałach psychiatrycznych, oddziałach leczenia uzależnień oraz w izbach przyjęć osobom powyżej 18 r. ż. w zakresie diagnostyki oraz leczenia wszystkich rodzajów zaburzeń psychicznych i zaburzeń zachowania (F00-F99). Świadczenia całodobowe udzielane są przede wszystkim na oddziałach psychiatrycznych ogólnych stanowiącą najważniejszą część bazy lecznictwa stacjonarnego. </w:t>
      </w:r>
      <w:r>
        <w:rPr>
          <w:rFonts w:ascii="Calibri" w:eastAsia="Calibri" w:hAnsi="Calibri" w:cs="Calibri"/>
          <w:lang w:eastAsia="pl-PL"/>
        </w:rPr>
        <w:t>W chwili obecnej w Polsce funkcjonuje 46 szpitali psychiatrycznych oraz 109 oddziałów psychiatrycznych przy szpitalach wielospecjalistycznych.</w:t>
      </w:r>
    </w:p>
    <w:p w14:paraId="14050E8F" w14:textId="00F25C2C" w:rsidR="00F72842" w:rsidRDefault="00F72842" w:rsidP="00F72842">
      <w:pPr>
        <w:spacing w:after="120" w:line="240" w:lineRule="auto"/>
        <w:jc w:val="both"/>
      </w:pPr>
      <w:r>
        <w:rPr>
          <w:rFonts w:ascii="Calibri" w:eastAsia="Calibri" w:hAnsi="Calibri" w:cs="Calibri"/>
          <w:lang w:eastAsia="pl-PL"/>
        </w:rPr>
        <w:t>Ważnym kierunkiem zmian jest takie przeorganizowanie opieki nad pacjentami doświadczającymi zaburzeń psychicznych, aby w przyszłości udzielana ona była wyłącznie na oddziałach psychiatrycznych funkcjonujących w szpitalach wielospecjalistycznych. Udzielanie świadczeń w taki sposób nie tylko ogranicza stygmatyzację związaną z hospitalizacją psychiatryczną, ale także pozwala na pełniejszą diagnozę i terapię współwystępujących u pacjentów problemów zdrowotnych.</w:t>
      </w:r>
      <w:r w:rsidRPr="007E1A3C">
        <w:t xml:space="preserve"> </w:t>
      </w:r>
    </w:p>
    <w:p w14:paraId="07383697" w14:textId="1292EF90" w:rsidR="004A1CB0" w:rsidRPr="004A1CB0" w:rsidRDefault="00F72842" w:rsidP="00F72842">
      <w:pPr>
        <w:spacing w:after="120" w:line="240" w:lineRule="auto"/>
        <w:jc w:val="both"/>
      </w:pPr>
      <w:r w:rsidRPr="00C7473C">
        <w:t>W przypadku niektórych zaburzeń i chorób psychicznych konieczne jest stworzenie możliwości skorzystania z pomocy wyspecjalizowanych ośrodków</w:t>
      </w:r>
      <w:r>
        <w:t xml:space="preserve">, dysponujących odpowiednio przygotowaną kadrą, </w:t>
      </w:r>
      <w:r w:rsidRPr="00A636CC">
        <w:t>warunkami lokalowymi oraz programem terapeutycznym</w:t>
      </w:r>
      <w:r w:rsidRPr="00C7473C">
        <w:t>.</w:t>
      </w:r>
      <w:r>
        <w:t xml:space="preserve"> T</w:t>
      </w:r>
      <w:r w:rsidRPr="00235B5C">
        <w:t>akie oddziały, obok m. in. oddziałów psychiatrii sądowej</w:t>
      </w:r>
      <w:r>
        <w:t>,</w:t>
      </w:r>
      <w:r w:rsidRPr="00235B5C">
        <w:t xml:space="preserve"> mog</w:t>
      </w:r>
      <w:r>
        <w:t>ł</w:t>
      </w:r>
      <w:r w:rsidR="00246470">
        <w:t>y</w:t>
      </w:r>
      <w:r>
        <w:t>by</w:t>
      </w:r>
      <w:r w:rsidR="00246470">
        <w:t xml:space="preserve"> </w:t>
      </w:r>
      <w:r w:rsidRPr="00235B5C">
        <w:t>być zlokalizowane w szpitalach psychiatrycznych (jednoprofilowych).</w:t>
      </w:r>
      <w:r w:rsidRPr="00E942AA">
        <w:t xml:space="preserve"> Tę rolę powinny pełnić w przyszłości wybrane oddziały referencyjne ośrodków akademickich i instytut</w:t>
      </w:r>
      <w:r w:rsidR="00173229">
        <w:t>y</w:t>
      </w:r>
      <w:r w:rsidRPr="00E942AA">
        <w:t xml:space="preserve"> badawcze.  </w:t>
      </w:r>
      <w:r>
        <w:t xml:space="preserve">  </w:t>
      </w:r>
    </w:p>
    <w:p w14:paraId="462814DC" w14:textId="77777777" w:rsidR="00F72842" w:rsidRPr="00A3118C" w:rsidRDefault="00F72842" w:rsidP="00F72842">
      <w:pPr>
        <w:jc w:val="both"/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Oczekiwany rezultat:</w:t>
      </w:r>
      <w:r w:rsidRPr="00117A8A">
        <w:rPr>
          <w:i/>
          <w:iCs/>
        </w:rPr>
        <w:t xml:space="preserve"> </w:t>
      </w:r>
    </w:p>
    <w:p w14:paraId="0AB5037B" w14:textId="7B097B75" w:rsidR="00F72842" w:rsidRPr="00CA3FAB" w:rsidRDefault="00F72842" w:rsidP="00F72842">
      <w:pPr>
        <w:pStyle w:val="Akapitzlist"/>
        <w:numPr>
          <w:ilvl w:val="0"/>
          <w:numId w:val="13"/>
        </w:numPr>
        <w:jc w:val="both"/>
        <w:rPr>
          <w:b/>
          <w:lang w:eastAsia="pl-PL"/>
        </w:rPr>
      </w:pPr>
      <w:r w:rsidRPr="00F740D3">
        <w:rPr>
          <w:b/>
          <w:lang w:eastAsia="pl-PL"/>
        </w:rPr>
        <w:t xml:space="preserve">do </w:t>
      </w:r>
      <w:r>
        <w:rPr>
          <w:b/>
          <w:lang w:eastAsia="pl-PL"/>
        </w:rPr>
        <w:t xml:space="preserve">końca </w:t>
      </w:r>
      <w:r w:rsidRPr="00F740D3">
        <w:rPr>
          <w:b/>
          <w:lang w:eastAsia="pl-PL"/>
        </w:rPr>
        <w:t>202</w:t>
      </w:r>
      <w:r>
        <w:rPr>
          <w:b/>
          <w:lang w:eastAsia="pl-PL"/>
        </w:rPr>
        <w:t>7</w:t>
      </w:r>
      <w:r w:rsidRPr="00F740D3">
        <w:rPr>
          <w:b/>
          <w:lang w:eastAsia="pl-PL"/>
        </w:rPr>
        <w:t xml:space="preserve"> r. </w:t>
      </w:r>
      <w:r w:rsidRPr="00CA3FAB">
        <w:rPr>
          <w:b/>
          <w:bCs/>
        </w:rPr>
        <w:t xml:space="preserve">zakończenie przyjęć </w:t>
      </w:r>
      <w:bookmarkStart w:id="15" w:name="_Hlk40437158"/>
      <w:r w:rsidRPr="00CA3FAB">
        <w:rPr>
          <w:b/>
          <w:bCs/>
        </w:rPr>
        <w:t>„ostrych” do monoprofilowych szpitali psychiatrycznych</w:t>
      </w:r>
      <w:bookmarkEnd w:id="15"/>
      <w:r w:rsidRPr="00CA3FAB">
        <w:rPr>
          <w:b/>
          <w:bCs/>
        </w:rPr>
        <w:t xml:space="preserve">, z wyjątkiem 5% rezerwy dla miejsc, w których uzasadnione jest wydłużenie okresu przejściowego o 5 lat </w:t>
      </w:r>
    </w:p>
    <w:p w14:paraId="5D534B11" w14:textId="35D22D5E" w:rsidR="00F72842" w:rsidRPr="00CA3FAB" w:rsidRDefault="00F72842" w:rsidP="00F72842">
      <w:pPr>
        <w:pStyle w:val="Akapitzlist"/>
        <w:numPr>
          <w:ilvl w:val="0"/>
          <w:numId w:val="13"/>
        </w:numPr>
        <w:jc w:val="both"/>
        <w:rPr>
          <w:b/>
          <w:lang w:eastAsia="pl-PL"/>
        </w:rPr>
      </w:pPr>
      <w:r w:rsidRPr="004301C1">
        <w:rPr>
          <w:b/>
          <w:lang w:eastAsia="pl-PL"/>
        </w:rPr>
        <w:lastRenderedPageBreak/>
        <w:t xml:space="preserve">do </w:t>
      </w:r>
      <w:r>
        <w:rPr>
          <w:b/>
          <w:lang w:eastAsia="pl-PL"/>
        </w:rPr>
        <w:t xml:space="preserve">końca </w:t>
      </w:r>
      <w:r w:rsidRPr="004301C1">
        <w:rPr>
          <w:b/>
          <w:lang w:eastAsia="pl-PL"/>
        </w:rPr>
        <w:t>202</w:t>
      </w:r>
      <w:r>
        <w:rPr>
          <w:b/>
          <w:lang w:eastAsia="pl-PL"/>
        </w:rPr>
        <w:t>7</w:t>
      </w:r>
      <w:r w:rsidRPr="004301C1">
        <w:rPr>
          <w:b/>
          <w:lang w:eastAsia="pl-PL"/>
        </w:rPr>
        <w:t xml:space="preserve"> r. </w:t>
      </w:r>
      <w:r>
        <w:rPr>
          <w:b/>
          <w:lang w:eastAsia="pl-PL"/>
        </w:rPr>
        <w:t xml:space="preserve">zapewnienie 8 tys. łóżek ogólnopsychiatrycznych przy szpitalach wielospecjalistycznych (2,5 łóżka na 1000 dorosłych mieszkańców). </w:t>
      </w:r>
    </w:p>
    <w:p w14:paraId="5F73ACA8" w14:textId="5B233E59" w:rsidR="00F72842" w:rsidRPr="004301C1" w:rsidRDefault="004E7379" w:rsidP="00F72842">
      <w:pPr>
        <w:pStyle w:val="Akapitzlist"/>
        <w:numPr>
          <w:ilvl w:val="0"/>
          <w:numId w:val="13"/>
        </w:numPr>
        <w:jc w:val="both"/>
        <w:rPr>
          <w:b/>
          <w:lang w:eastAsia="pl-PL"/>
        </w:rPr>
      </w:pPr>
      <w:r>
        <w:rPr>
          <w:b/>
          <w:lang w:eastAsia="pl-PL"/>
        </w:rPr>
        <w:t>St</w:t>
      </w:r>
      <w:r w:rsidR="00F72842">
        <w:rPr>
          <w:b/>
          <w:lang w:eastAsia="pl-PL"/>
        </w:rPr>
        <w:t xml:space="preserve">worzenie </w:t>
      </w:r>
      <w:bookmarkStart w:id="16" w:name="_Hlk40437221"/>
      <w:r w:rsidR="00F72842">
        <w:rPr>
          <w:b/>
          <w:lang w:eastAsia="pl-PL"/>
        </w:rPr>
        <w:t xml:space="preserve">pozaszpitalnych miejsc pobytu kryzysowego przy każdym centrum zdrowia psychicznego </w:t>
      </w:r>
      <w:bookmarkEnd w:id="16"/>
      <w:r w:rsidR="00F72842">
        <w:rPr>
          <w:b/>
          <w:lang w:eastAsia="pl-PL"/>
        </w:rPr>
        <w:t xml:space="preserve">(pobyty krótkoterminowe) – do końca 2027 r. </w:t>
      </w:r>
    </w:p>
    <w:p w14:paraId="4A7F41DD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</w:p>
    <w:p w14:paraId="0F0E8970" w14:textId="08F62B49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Działania</w:t>
      </w:r>
    </w:p>
    <w:p w14:paraId="66E74923" w14:textId="1B0E55BE" w:rsidR="00ED0BFC" w:rsidRPr="00996DE4" w:rsidRDefault="00555209" w:rsidP="00555209">
      <w:pPr>
        <w:jc w:val="both"/>
        <w:rPr>
          <w:bCs/>
          <w:color w:val="000000" w:themeColor="text1"/>
          <w:lang w:eastAsia="pl-PL"/>
        </w:rPr>
      </w:pPr>
      <w:r w:rsidRPr="00996DE4">
        <w:rPr>
          <w:bCs/>
          <w:color w:val="000000" w:themeColor="text1"/>
          <w:lang w:eastAsia="pl-PL"/>
        </w:rPr>
        <w:t>Przedstawione działania w zakresie zmiany organizacji udzielania psychiatrycznych świadczeń zdrowotnych dotyczą przede wszystkim zmiany struktury udzielania świadczeń całodobowych poprzez reorganizacje całodobowych placówek psychiatrycznych oraz oddziałów psychiatrycznych funkcjonujących przy szpitalach ogólnych</w:t>
      </w:r>
    </w:p>
    <w:p w14:paraId="0FFC2C4C" w14:textId="26DAEAAA" w:rsidR="00555209" w:rsidRPr="00996DE4" w:rsidRDefault="00555209" w:rsidP="00555209">
      <w:pPr>
        <w:jc w:val="both"/>
        <w:rPr>
          <w:bCs/>
          <w:color w:val="000000" w:themeColor="text1"/>
          <w:lang w:eastAsia="pl-PL"/>
        </w:rPr>
      </w:pPr>
      <w:r w:rsidRPr="00996DE4">
        <w:rPr>
          <w:bCs/>
          <w:color w:val="000000" w:themeColor="text1"/>
          <w:lang w:eastAsia="pl-PL"/>
        </w:rPr>
        <w:t>Kluczowe w niniejszym działaniu jest dążenie do zakończenia przyjęć ostrych do monoprofilowych szpitali psychiatrycznych, z wyjątkiem 5% rezerwy dla miejsc ze specyficznymi uwarunkowaniami dotyczącymi dostępności do opieki, a także lokalnymi uwarunkowaniami związanymi m.in. z czasem dojazdu, które uzasadniają wydłużenie okresu przejściowego o 5 lat.</w:t>
      </w:r>
    </w:p>
    <w:p w14:paraId="376954A0" w14:textId="5E782968" w:rsidR="00555209" w:rsidRPr="00996DE4" w:rsidRDefault="00555209" w:rsidP="00555209">
      <w:pPr>
        <w:jc w:val="both"/>
        <w:rPr>
          <w:bCs/>
          <w:color w:val="000000" w:themeColor="text1"/>
          <w:lang w:eastAsia="pl-PL"/>
        </w:rPr>
      </w:pPr>
      <w:r w:rsidRPr="00996DE4">
        <w:rPr>
          <w:bCs/>
          <w:color w:val="000000" w:themeColor="text1"/>
          <w:lang w:eastAsia="pl-PL"/>
        </w:rPr>
        <w:t>Ograniczenie ostrych przyjęć w szpitalach psychiatrycznych, a także ograniczanie liczby łóżek w ww. podmiotach wiąże się ze zwiększeniem potencjału łóżkowego oddziałów psychiatrycznych przy szpitalach wielospecjalistycznych. Całodobowe leczenie pacjentów dotkniętych zaburzeniami psychicznymi wymagającymi hospitalizacji w oddziałach psychiatrycznych przy szpitalach wielospecjalistycznych gwarantuje dostęp do specjalistów w związku z występowaniem współistniejących chorób somatycznych oraz w sposób zdecydowany ogranicza stygmatyzację pacjentów z zaburzeniami psychicznymi.</w:t>
      </w:r>
    </w:p>
    <w:p w14:paraId="6CD64597" w14:textId="276D7C9E" w:rsidR="00F72842" w:rsidRPr="00996DE4" w:rsidRDefault="008C0805" w:rsidP="00996DE4">
      <w:pPr>
        <w:jc w:val="both"/>
        <w:rPr>
          <w:bCs/>
          <w:color w:val="000000" w:themeColor="text1"/>
          <w:lang w:eastAsia="pl-PL"/>
        </w:rPr>
      </w:pPr>
      <w:r w:rsidRPr="00996DE4">
        <w:rPr>
          <w:bCs/>
          <w:color w:val="000000" w:themeColor="text1"/>
          <w:lang w:eastAsia="pl-PL"/>
        </w:rPr>
        <w:t>Zmiana struktury udzielania świadczeń przez monoprofilowe szpitale psychiatryczne ukierunkowana jest na prowadzenie przez te podmioty programów dotyczących wyspecjalizowanych świadczeń psychiatrycznych. Takie ośrodki powinny dysponować odpowiednio przygotowaną kadrą lekarzy, pielęgniarek i innych specjalistów, jak również odpowiednimi warunkami i programami terapeutycznymi.</w:t>
      </w:r>
    </w:p>
    <w:p w14:paraId="7338B042" w14:textId="67B04BB0" w:rsidR="00F72842" w:rsidRDefault="00F72842" w:rsidP="00F72842">
      <w:pPr>
        <w:pStyle w:val="Tekstkomentarza"/>
        <w:jc w:val="both"/>
        <w:rPr>
          <w:sz w:val="22"/>
          <w:szCs w:val="22"/>
          <w:lang w:val="pl-PL"/>
        </w:rPr>
      </w:pPr>
      <w:r w:rsidRPr="00CA3FAB">
        <w:rPr>
          <w:sz w:val="22"/>
          <w:szCs w:val="22"/>
          <w:lang w:val="pl-PL"/>
        </w:rPr>
        <w:t xml:space="preserve">Dlatego podstawą do kształtowania struktury opieki stacjonarnej (wielkość i profile działalności szpitali psychiatrycznych) powinien być plan sieci szpitali psychiatrycznych ustalany na podstawie ustawowej. Analogiczny plan powinien dotyczyć </w:t>
      </w:r>
      <w:r w:rsidR="00A313DF">
        <w:rPr>
          <w:sz w:val="22"/>
          <w:szCs w:val="22"/>
          <w:lang w:val="pl-PL"/>
        </w:rPr>
        <w:t>czp</w:t>
      </w:r>
      <w:r w:rsidRPr="00CA3FAB">
        <w:rPr>
          <w:sz w:val="22"/>
          <w:szCs w:val="22"/>
          <w:lang w:val="pl-PL"/>
        </w:rPr>
        <w:t xml:space="preserve"> i oddziałów przy szpitalach wielospecjalistycznych wraz z określeniem obszarów odpowiedzialności. Umieszczenie placówki w takich planie staje się podstawa do otrzymywania środków publicznych. Proponuje się określenie specjalnych zasad dla ośrodków akademickich – jako miejsc o najwyższym stopniu referencyjności, które muszą dysponować najbardziej wyspecjalizowaną kadrą medyczną.</w:t>
      </w:r>
    </w:p>
    <w:p w14:paraId="60CEBE4C" w14:textId="6BE9B445" w:rsidR="00F72842" w:rsidRPr="00996DE4" w:rsidRDefault="00F72842" w:rsidP="00F72842">
      <w:pPr>
        <w:pStyle w:val="Tekstkomentarza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Istotne jest</w:t>
      </w:r>
      <w:r w:rsidR="00581F4D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aby w procesie ograniczania </w:t>
      </w:r>
      <w:r w:rsidRPr="007813FC">
        <w:rPr>
          <w:sz w:val="22"/>
          <w:szCs w:val="22"/>
          <w:lang w:val="pl-PL"/>
        </w:rPr>
        <w:t xml:space="preserve">„ostrych” </w:t>
      </w:r>
      <w:r>
        <w:rPr>
          <w:sz w:val="22"/>
          <w:szCs w:val="22"/>
          <w:lang w:val="pl-PL"/>
        </w:rPr>
        <w:t xml:space="preserve">przyjęć </w:t>
      </w:r>
      <w:r w:rsidRPr="007813FC">
        <w:rPr>
          <w:sz w:val="22"/>
          <w:szCs w:val="22"/>
          <w:lang w:val="pl-PL"/>
        </w:rPr>
        <w:t>do monoprofilowych szpitali psychiatrycznych</w:t>
      </w:r>
      <w:r>
        <w:rPr>
          <w:sz w:val="22"/>
          <w:szCs w:val="22"/>
          <w:lang w:val="pl-PL"/>
        </w:rPr>
        <w:t xml:space="preserve"> oraz tworzenia łóżek ogólnopsychiatrycznych w szpitalach wielospecjalistycznych jednocześnie tworzyć </w:t>
      </w:r>
      <w:r w:rsidRPr="007813FC">
        <w:rPr>
          <w:sz w:val="22"/>
          <w:szCs w:val="22"/>
          <w:lang w:val="pl-PL"/>
        </w:rPr>
        <w:t>pozaszpitaln</w:t>
      </w:r>
      <w:r>
        <w:rPr>
          <w:sz w:val="22"/>
          <w:szCs w:val="22"/>
          <w:lang w:val="pl-PL"/>
        </w:rPr>
        <w:t xml:space="preserve">e </w:t>
      </w:r>
      <w:r w:rsidRPr="007813FC">
        <w:rPr>
          <w:sz w:val="22"/>
          <w:szCs w:val="22"/>
          <w:lang w:val="pl-PL"/>
        </w:rPr>
        <w:t>miejsc pobytu kryzysowego przy każdym centrum zdrowia psychicznego</w:t>
      </w:r>
      <w:r>
        <w:rPr>
          <w:sz w:val="22"/>
          <w:szCs w:val="22"/>
          <w:lang w:val="pl-PL"/>
        </w:rPr>
        <w:t>. Umożliwi to zapewnienie bezpieczeństwa pacjentom podczas wdrażania założeń strategii.</w:t>
      </w:r>
    </w:p>
    <w:p w14:paraId="76676038" w14:textId="77777777" w:rsidR="00F72842" w:rsidRPr="00887DF4" w:rsidRDefault="00F72842" w:rsidP="00F72842">
      <w:pPr>
        <w:spacing w:before="120" w:after="120" w:line="276" w:lineRule="auto"/>
        <w:jc w:val="both"/>
        <w:rPr>
          <w:b/>
          <w:color w:val="1F4E79" w:themeColor="accent1" w:themeShade="80"/>
          <w:lang w:eastAsia="pl-PL"/>
        </w:rPr>
      </w:pPr>
      <w:bookmarkStart w:id="17" w:name="_Hlk39647577"/>
      <w:r w:rsidRPr="00887DF4">
        <w:rPr>
          <w:b/>
          <w:color w:val="1F4E79" w:themeColor="accent1" w:themeShade="80"/>
          <w:lang w:eastAsia="pl-PL"/>
        </w:rPr>
        <w:t>Finansowanie</w:t>
      </w:r>
    </w:p>
    <w:p w14:paraId="76E332C9" w14:textId="29FD1D56" w:rsidR="00F72842" w:rsidRPr="00BF59B7" w:rsidRDefault="00F72842" w:rsidP="00F72842">
      <w:pPr>
        <w:jc w:val="both"/>
      </w:pPr>
      <w:r w:rsidRPr="00BF59B7">
        <w:t>Realizacja zadań</w:t>
      </w:r>
      <w:r>
        <w:t xml:space="preserve"> w ramach ww. celu ma przede wszystkim charakter zmiany organizacyjnej w sposobie udzielania świadczeń zdrowotnych z zakresu opieki psychiatrycznej. </w:t>
      </w:r>
      <w:bookmarkStart w:id="18" w:name="_Hlk39669900"/>
      <w:r>
        <w:t xml:space="preserve">Finansowanie działalności udzielania świadczeń opieki zdrowotnej wiąże się przede wszystkim z podpisaniem bądź rozwiązaniem umowy z Narodowym Funduszem Zdrowia. Podmiotem odpowiedzialnym za zmianę organizacyjną </w:t>
      </w:r>
      <w:r>
        <w:lastRenderedPageBreak/>
        <w:t>danego pomiotu leczniczego jest organ tworzący.</w:t>
      </w:r>
      <w:r w:rsidR="008C0805">
        <w:t xml:space="preserve"> Realizacja ww. działań będzie opierała się na systematycznym wdrażaniu zmian przygotowywanych przez administrację rządową w oparciu o dokumenty strategiczne tj. m.in.: Narodowy Program Ochrony zdrowia Psychicznego przy współpracy z jednostkami samorządu terytorialnego oraz Narodowym Funduszem Zdrowia</w:t>
      </w:r>
    </w:p>
    <w:bookmarkEnd w:id="17"/>
    <w:bookmarkEnd w:id="18"/>
    <w:p w14:paraId="05203F56" w14:textId="3E65C7C2" w:rsidR="00F72842" w:rsidRDefault="00F72842" w:rsidP="00F72842">
      <w:pPr>
        <w:spacing w:before="120" w:after="120"/>
        <w:jc w:val="both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3</w:t>
      </w:r>
      <w:r w:rsidRPr="00442F17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.</w:t>
      </w:r>
      <w:r w:rsidRPr="00442F17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ab/>
        <w:t>Inwestycje w system</w:t>
      </w:r>
      <w:r w:rsidR="004A1CB0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 </w:t>
      </w:r>
      <w:r w:rsidRPr="00442F17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 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- </w:t>
      </w:r>
      <w:r w:rsidRPr="00442F17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zwiększenie dostępności do opieki świadczeń zdrowotnych z zakresu opieki psychiatrycznej</w:t>
      </w:r>
    </w:p>
    <w:p w14:paraId="412A7286" w14:textId="77777777" w:rsidR="00F72842" w:rsidRPr="00A3118C" w:rsidRDefault="00F72842" w:rsidP="00F72842">
      <w:pPr>
        <w:jc w:val="both"/>
        <w:rPr>
          <w:b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Cel</w:t>
      </w:r>
      <w:r>
        <w:rPr>
          <w:b/>
          <w:color w:val="1F4E79" w:themeColor="accent1" w:themeShade="80"/>
          <w:lang w:eastAsia="pl-PL"/>
        </w:rPr>
        <w:t xml:space="preserve"> szczegółowy</w:t>
      </w:r>
      <w:r w:rsidRPr="00A3118C">
        <w:rPr>
          <w:b/>
          <w:color w:val="1F4E79" w:themeColor="accent1" w:themeShade="80"/>
          <w:lang w:eastAsia="pl-PL"/>
        </w:rPr>
        <w:t>:</w:t>
      </w:r>
      <w:r w:rsidRPr="00A3118C">
        <w:rPr>
          <w:b/>
          <w:lang w:eastAsia="pl-PL"/>
        </w:rPr>
        <w:t xml:space="preserve"> </w:t>
      </w:r>
    </w:p>
    <w:p w14:paraId="147865EF" w14:textId="79519E43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>Rozwój środowiskowego modelu opieki psychiatrycznej dla dorosłych poprzez tworzenie centrów zdrowia psychicznego</w:t>
      </w:r>
    </w:p>
    <w:p w14:paraId="69EB40D6" w14:textId="77777777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Diagnoza:</w:t>
      </w:r>
    </w:p>
    <w:p w14:paraId="012348BC" w14:textId="77777777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Model środowiskowy jest uznawany współcześnie za najlepsze rozwiązanie systemowe poprawiające funkcjonowanie psychiatrycznej opieki zdrowotnej. Sprzyja on uzyskiwaniu lepszych wyników </w:t>
      </w:r>
      <w:r>
        <w:rPr>
          <w:lang w:eastAsia="pl-PL"/>
        </w:rPr>
        <w:br/>
        <w:t>w procesie zdrowienia i przywracania uczestnictwa społecznego osób z problemami zdrowia psychicznego a także wpływa na zwiększenie dostępności do świadczeń zdrowotnych.</w:t>
      </w:r>
    </w:p>
    <w:p w14:paraId="40AE67DA" w14:textId="4C213D8E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>Opieka środowiskowa oznacza dostępność odpowiednich usług w pobliżu miejsca zamieszkania. Istniejące dowody oraz zgromadzone doświadczenie wskazują na potrzebę rozwiązań, w których opieka szpitalna ma charakter ograniczony, podczas gdy najważniejsza część pomocy jest oferowana na poziomie opieki środowiskowej.</w:t>
      </w:r>
    </w:p>
    <w:p w14:paraId="1EABADD3" w14:textId="4D35D392" w:rsidR="00F72842" w:rsidRDefault="00F72842" w:rsidP="00F72842">
      <w:pPr>
        <w:rPr>
          <w:color w:val="1F4E79" w:themeColor="accent1" w:themeShade="80"/>
          <w:lang w:eastAsia="pl-PL"/>
        </w:rPr>
      </w:pPr>
    </w:p>
    <w:p w14:paraId="3B3844E7" w14:textId="77777777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Oczekiwany rezultat:</w:t>
      </w:r>
    </w:p>
    <w:p w14:paraId="78B8362B" w14:textId="10ED37BB" w:rsidR="00F72842" w:rsidRPr="00CA3FAB" w:rsidRDefault="00F72842" w:rsidP="00F72842">
      <w:pPr>
        <w:pStyle w:val="Akapitzlist"/>
        <w:numPr>
          <w:ilvl w:val="0"/>
          <w:numId w:val="20"/>
        </w:numPr>
        <w:jc w:val="both"/>
        <w:rPr>
          <w:b/>
          <w:lang w:eastAsia="pl-PL"/>
        </w:rPr>
      </w:pPr>
      <w:r>
        <w:rPr>
          <w:b/>
          <w:lang w:eastAsia="pl-PL"/>
        </w:rPr>
        <w:t>d</w:t>
      </w:r>
      <w:r w:rsidRPr="006F67EE">
        <w:rPr>
          <w:b/>
          <w:lang w:eastAsia="pl-PL"/>
        </w:rPr>
        <w:t>o końca 2021 r. opracowanie i wdrożenie standardów organizacyjnych w centrach zdrowia psychicznego.</w:t>
      </w:r>
    </w:p>
    <w:p w14:paraId="4E03112C" w14:textId="12CDEF18" w:rsidR="00F72842" w:rsidRPr="00207A09" w:rsidRDefault="00F72842" w:rsidP="00F72842">
      <w:pPr>
        <w:pStyle w:val="Akapitzlist"/>
        <w:numPr>
          <w:ilvl w:val="0"/>
          <w:numId w:val="20"/>
        </w:numPr>
        <w:jc w:val="both"/>
        <w:rPr>
          <w:b/>
          <w:lang w:eastAsia="pl-PL"/>
        </w:rPr>
      </w:pPr>
      <w:r w:rsidRPr="00730AF2">
        <w:rPr>
          <w:b/>
          <w:lang w:eastAsia="pl-PL"/>
        </w:rPr>
        <w:t>do końca 2022 r. przygotowanie i zatwierdzenie docelowej mapy obszarów odpowiedzialności centrów zdrowia psychicznego</w:t>
      </w:r>
      <w:r>
        <w:rPr>
          <w:b/>
          <w:lang w:eastAsia="pl-PL"/>
        </w:rPr>
        <w:t>.</w:t>
      </w:r>
    </w:p>
    <w:p w14:paraId="66B6A112" w14:textId="77777777" w:rsidR="00F72842" w:rsidRPr="00730AF2" w:rsidRDefault="00F72842" w:rsidP="00F72842">
      <w:pPr>
        <w:pStyle w:val="Akapitzlist"/>
        <w:numPr>
          <w:ilvl w:val="0"/>
          <w:numId w:val="20"/>
        </w:numPr>
        <w:rPr>
          <w:b/>
          <w:lang w:eastAsia="pl-PL"/>
        </w:rPr>
      </w:pPr>
      <w:r w:rsidRPr="00730AF2">
        <w:rPr>
          <w:b/>
          <w:lang w:eastAsia="pl-PL"/>
        </w:rPr>
        <w:t>przedłużenie czasu trwania programu pilotażowego do końca 2022 roku i objęcie nim 30% dorosłej populacji Polski</w:t>
      </w:r>
      <w:r>
        <w:rPr>
          <w:b/>
          <w:lang w:eastAsia="pl-PL"/>
        </w:rPr>
        <w:t>.</w:t>
      </w:r>
    </w:p>
    <w:p w14:paraId="074E1273" w14:textId="5B76BEAA" w:rsidR="00F72842" w:rsidRPr="00CA3FAB" w:rsidRDefault="00F72842" w:rsidP="00F72842">
      <w:pPr>
        <w:pStyle w:val="Akapitzlist"/>
        <w:numPr>
          <w:ilvl w:val="0"/>
          <w:numId w:val="20"/>
        </w:numPr>
        <w:rPr>
          <w:b/>
          <w:lang w:eastAsia="pl-PL"/>
        </w:rPr>
      </w:pPr>
      <w:r w:rsidRPr="00730AF2">
        <w:rPr>
          <w:b/>
          <w:lang w:eastAsia="pl-PL"/>
        </w:rPr>
        <w:t xml:space="preserve">do końca 2027 r. zwiększenie liczby centrów zdrowia psychicznego do </w:t>
      </w:r>
      <w:r>
        <w:rPr>
          <w:b/>
          <w:lang w:eastAsia="pl-PL"/>
        </w:rPr>
        <w:t>300</w:t>
      </w:r>
      <w:r w:rsidRPr="00730AF2">
        <w:rPr>
          <w:b/>
          <w:lang w:eastAsia="pl-PL"/>
        </w:rPr>
        <w:t xml:space="preserve"> podmiotów</w:t>
      </w:r>
      <w:r>
        <w:rPr>
          <w:b/>
          <w:lang w:eastAsia="pl-PL"/>
        </w:rPr>
        <w:t xml:space="preserve"> – objęcie działaniem centrów zdrowia psychicznego całej dorosłej ludności Polski</w:t>
      </w:r>
      <w:r w:rsidRPr="00730AF2">
        <w:rPr>
          <w:b/>
          <w:lang w:eastAsia="pl-PL"/>
        </w:rPr>
        <w:t>.</w:t>
      </w:r>
    </w:p>
    <w:p w14:paraId="59267043" w14:textId="77777777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Działania:</w:t>
      </w:r>
    </w:p>
    <w:p w14:paraId="32AD93CE" w14:textId="24AD84BC" w:rsidR="00F72842" w:rsidRDefault="00F72842" w:rsidP="00F72842">
      <w:pPr>
        <w:jc w:val="both"/>
        <w:rPr>
          <w:lang w:eastAsia="pl-PL"/>
        </w:rPr>
      </w:pPr>
      <w:r w:rsidRPr="004301C1">
        <w:rPr>
          <w:lang w:eastAsia="pl-PL"/>
        </w:rPr>
        <w:t>Realizacja przedmiotowe</w:t>
      </w:r>
      <w:r>
        <w:rPr>
          <w:lang w:eastAsia="pl-PL"/>
        </w:rPr>
        <w:t>go</w:t>
      </w:r>
      <w:r w:rsidRPr="004301C1">
        <w:rPr>
          <w:lang w:eastAsia="pl-PL"/>
        </w:rPr>
        <w:t xml:space="preserve"> </w:t>
      </w:r>
      <w:r>
        <w:rPr>
          <w:lang w:eastAsia="pl-PL"/>
        </w:rPr>
        <w:t>celu</w:t>
      </w:r>
      <w:r w:rsidRPr="00235B5C">
        <w:t xml:space="preserve"> </w:t>
      </w:r>
      <w:r w:rsidRPr="004301C1">
        <w:rPr>
          <w:lang w:eastAsia="pl-PL"/>
        </w:rPr>
        <w:t xml:space="preserve">będzie następowała analogicznie do procesu wyłaniania realizatorów programu pilotażowego w centrach zdrowia psychicznego tj. po przeprowadzeniu procesu kwalifikacji w </w:t>
      </w:r>
      <w:r>
        <w:rPr>
          <w:lang w:eastAsia="pl-PL"/>
        </w:rPr>
        <w:t>o</w:t>
      </w:r>
      <w:r w:rsidRPr="004301C1">
        <w:rPr>
          <w:lang w:eastAsia="pl-PL"/>
        </w:rPr>
        <w:t xml:space="preserve">parciu o nadesłane zgłoszenia przez podmioty wyrażające chęć realizacji pilotażu. Niezbędne do rozpoczęcia realizacji świadczeń w ramach centrum zdrowia psychicznego jest podpisanie umowy </w:t>
      </w:r>
      <w:r w:rsidR="004A1CB0">
        <w:rPr>
          <w:lang w:eastAsia="pl-PL"/>
        </w:rPr>
        <w:br/>
      </w:r>
      <w:r w:rsidRPr="004301C1">
        <w:rPr>
          <w:lang w:eastAsia="pl-PL"/>
        </w:rPr>
        <w:t>z właściwym oddziałem wojewódzkim Narodowego Funduszu Zdrowia</w:t>
      </w:r>
      <w:r>
        <w:rPr>
          <w:lang w:eastAsia="pl-PL"/>
        </w:rPr>
        <w:t xml:space="preserve">. Centra Zdrowia psychicznego powstają i są finansowane w oparciu o środki krajowe (na podstawie umów z Narodowym Funduszem Zdrowia). </w:t>
      </w:r>
    </w:p>
    <w:p w14:paraId="480C1B07" w14:textId="77777777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>Opracowanie standardów organizacyjnych wydaje się kluczowe w kontekście ujednolicenia organizacji świadczeń opieki zdrowotnej realizowanej w środowiskowym modelu ochrony zdrowia psychicznego.</w:t>
      </w:r>
    </w:p>
    <w:p w14:paraId="4D5DEE07" w14:textId="77777777" w:rsidR="004A1CB0" w:rsidRDefault="004A1CB0" w:rsidP="00F72842">
      <w:pPr>
        <w:rPr>
          <w:b/>
          <w:color w:val="1F4E79" w:themeColor="accent1" w:themeShade="80"/>
          <w:lang w:eastAsia="pl-PL"/>
        </w:rPr>
      </w:pPr>
    </w:p>
    <w:p w14:paraId="2A4E9B6E" w14:textId="77777777" w:rsidR="004A1CB0" w:rsidRDefault="004A1CB0" w:rsidP="00F72842">
      <w:pPr>
        <w:rPr>
          <w:b/>
          <w:color w:val="1F4E79" w:themeColor="accent1" w:themeShade="80"/>
          <w:lang w:eastAsia="pl-PL"/>
        </w:rPr>
      </w:pPr>
    </w:p>
    <w:p w14:paraId="1375C98A" w14:textId="278166B9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D702DB">
        <w:rPr>
          <w:b/>
          <w:color w:val="1F4E79" w:themeColor="accent1" w:themeShade="80"/>
          <w:lang w:eastAsia="pl-PL"/>
        </w:rPr>
        <w:lastRenderedPageBreak/>
        <w:t>Finansowani</w:t>
      </w:r>
      <w:r>
        <w:rPr>
          <w:b/>
          <w:color w:val="1F4E79" w:themeColor="accent1" w:themeShade="80"/>
          <w:lang w:eastAsia="pl-PL"/>
        </w:rPr>
        <w:t>e</w:t>
      </w:r>
    </w:p>
    <w:p w14:paraId="28C17F7D" w14:textId="55F810A6" w:rsidR="00F72842" w:rsidRPr="00CF40B0" w:rsidRDefault="00F72842" w:rsidP="00F72842">
      <w:pPr>
        <w:jc w:val="both"/>
      </w:pPr>
      <w:r w:rsidRPr="00CF40B0">
        <w:t xml:space="preserve">Poniższa tabela przedstawia w odniesieniu do rezultatu nr 1 szacowany koszt utworzenia </w:t>
      </w:r>
      <w:r>
        <w:t>15</w:t>
      </w:r>
      <w:r w:rsidRPr="00CF40B0">
        <w:t xml:space="preserve"> </w:t>
      </w:r>
      <w:r w:rsidR="00A313DF">
        <w:t>czp</w:t>
      </w:r>
      <w:r w:rsidRPr="00CF40B0">
        <w:t xml:space="preserve"> rocznie</w:t>
      </w:r>
      <w:r>
        <w:t xml:space="preserve"> do 2022 r. umożliwiających objęcie opieką 30% populacji oraz następnie 48 </w:t>
      </w:r>
      <w:r w:rsidR="00A313DF">
        <w:t>czp</w:t>
      </w:r>
      <w:r>
        <w:t xml:space="preserve"> rocznie</w:t>
      </w:r>
      <w:r w:rsidR="00BD3C1C">
        <w:t>,</w:t>
      </w:r>
      <w:r>
        <w:t xml:space="preserve"> co umożliwi osiągni</w:t>
      </w:r>
      <w:r w:rsidR="0032374F">
        <w:t>ę</w:t>
      </w:r>
      <w:r>
        <w:t>cie założonego wskaźnika. Poniższe kwoty są oszacowane</w:t>
      </w:r>
      <w:r w:rsidRPr="00CF40B0">
        <w:t xml:space="preserve"> w oparciu o aktualną stawkę ryczałtu na populację określaną w rozporządzeniu pilotażowym w odniesieniu do populacji możliwej do objęcia opieką tj.: od 50 do 200 tys. mieszkańców danego obszaru</w:t>
      </w:r>
      <w:r>
        <w:t xml:space="preserve"> oraz obecnie obowiązujące kontrakty NFZ na opiekę psychiatryczną</w:t>
      </w:r>
      <w:r w:rsidR="00BD3C1C">
        <w:t>.</w:t>
      </w:r>
      <w:r w:rsidRPr="00CF40B0">
        <w:t xml:space="preserve"> Finansowanie </w:t>
      </w:r>
      <w:r w:rsidR="00A313DF">
        <w:t>czp</w:t>
      </w:r>
      <w:r w:rsidRPr="00CF40B0">
        <w:t xml:space="preserve"> wiąże się również z</w:t>
      </w:r>
      <w:r>
        <w:t xml:space="preserve"> </w:t>
      </w:r>
      <w:r w:rsidRPr="00CF40B0">
        <w:t>przesunięciem do programu pilotażowego środków z bieżących kontraktów podmiotów wchodzących do programu pilotażowego.</w:t>
      </w:r>
    </w:p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948"/>
        <w:gridCol w:w="906"/>
        <w:gridCol w:w="894"/>
        <w:gridCol w:w="877"/>
        <w:gridCol w:w="894"/>
        <w:gridCol w:w="894"/>
        <w:gridCol w:w="897"/>
        <w:gridCol w:w="894"/>
        <w:gridCol w:w="894"/>
        <w:gridCol w:w="146"/>
      </w:tblGrid>
      <w:tr w:rsidR="00F72842" w:rsidRPr="00F97784" w14:paraId="3C249D0F" w14:textId="77777777" w:rsidTr="009D7EFA">
        <w:trPr>
          <w:gridAfter w:val="1"/>
          <w:wAfter w:w="36" w:type="dxa"/>
          <w:trHeight w:val="600"/>
        </w:trPr>
        <w:tc>
          <w:tcPr>
            <w:tcW w:w="9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5A2D9"/>
            <w:vAlign w:val="center"/>
            <w:hideMark/>
          </w:tcPr>
          <w:p w14:paraId="22449569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0B0">
              <w:rPr>
                <w:rFonts w:ascii="Calibri" w:eastAsia="Times New Roman" w:hAnsi="Calibri" w:cs="Calibri"/>
                <w:color w:val="000000"/>
                <w:lang w:eastAsia="pl-PL"/>
              </w:rPr>
              <w:t>Cel - Inwestycje w system  - zwiększenie dostępności do opieki świadczeń zdrowotnych z zakresu opieki psychiatrycznej</w:t>
            </w:r>
          </w:p>
        </w:tc>
      </w:tr>
      <w:tr w:rsidR="00F72842" w:rsidRPr="00F97784" w14:paraId="3336E01E" w14:textId="77777777" w:rsidTr="009D7EFA">
        <w:trPr>
          <w:gridAfter w:val="1"/>
          <w:wAfter w:w="36" w:type="dxa"/>
          <w:trHeight w:val="600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3AA1FF7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Termin realizacji działań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0992691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Nr rezultatu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E69485D" w14:textId="77777777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2020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80A00C3" w14:textId="77777777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2CBFEAD" w14:textId="77777777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6F5F169" w14:textId="77777777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43B3CB1" w14:textId="77777777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F93F9DC" w14:textId="77777777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2025</w:t>
            </w:r>
            <w:r w:rsidRPr="00F9778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AE56988" w14:textId="77777777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eastAsia="pl-PL"/>
              </w:rPr>
              <w:t>2026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E0E3C94" w14:textId="77777777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eastAsia="pl-PL"/>
              </w:rPr>
              <w:t>2027</w:t>
            </w:r>
          </w:p>
        </w:tc>
      </w:tr>
      <w:tr w:rsidR="00F72842" w:rsidRPr="00F97784" w14:paraId="0BDC3ED0" w14:textId="77777777" w:rsidTr="00F12492">
        <w:trPr>
          <w:gridAfter w:val="1"/>
          <w:wAfter w:w="36" w:type="dxa"/>
          <w:trHeight w:val="600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BD88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DB3F40E" w14:textId="7A8AEF72" w:rsidR="00F72842" w:rsidRPr="00F97784" w:rsidRDefault="00277270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5BA69B45" w14:textId="29B741D0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219F8C45" w14:textId="513CEF5A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00D5039E" w14:textId="73564FB6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06F881FE" w14:textId="570198F8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069FAC98" w14:textId="155773C9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36ACEE7E" w14:textId="62D15FDC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23461A80" w14:textId="16DACC03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53735DA4" w14:textId="3CDD74E8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72842" w:rsidRPr="00F97784" w14:paraId="5F5C4581" w14:textId="77777777" w:rsidTr="00F12492">
        <w:trPr>
          <w:gridAfter w:val="1"/>
          <w:wAfter w:w="36" w:type="dxa"/>
          <w:trHeight w:val="600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A10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98B99A4" w14:textId="3F10D523" w:rsidR="00F72842" w:rsidRPr="00F97784" w:rsidRDefault="00277270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6B91FA66" w14:textId="5AE194FC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5A400261" w14:textId="07BF8F1A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64A82FA8" w14:textId="1A31E8E0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233939DE" w14:textId="123F1C6B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656DBA76" w14:textId="11C6C9F9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3D971F47" w14:textId="13B4950D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6997BB89" w14:textId="0BA35305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7D026150" w14:textId="76649489" w:rsidR="00F72842" w:rsidRPr="00F9778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72842" w:rsidRPr="00F97784" w14:paraId="5388E73C" w14:textId="77777777" w:rsidTr="009D7EFA">
        <w:trPr>
          <w:gridAfter w:val="1"/>
          <w:wAfter w:w="36" w:type="dxa"/>
          <w:trHeight w:val="88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71E3410C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Indykatywne źródła finansowania</w:t>
            </w:r>
          </w:p>
        </w:tc>
        <w:tc>
          <w:tcPr>
            <w:tcW w:w="8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36436BBC" w14:textId="03CD68C6" w:rsidR="00F72842" w:rsidRPr="00F97784" w:rsidRDefault="00277270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 w:rsidR="00F72842"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.</w:t>
            </w:r>
            <w:r w:rsidR="00F72842" w:rsidRPr="00F977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pl-PL"/>
              </w:rPr>
              <w:t xml:space="preserve">        </w:t>
            </w:r>
            <w:r w:rsidR="00F72842"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Narodowy Fundusz Zdrowia</w:t>
            </w:r>
          </w:p>
        </w:tc>
      </w:tr>
      <w:tr w:rsidR="00F72842" w:rsidRPr="00F97784" w14:paraId="470ED2F6" w14:textId="77777777" w:rsidTr="009D7EFA">
        <w:trPr>
          <w:gridAfter w:val="1"/>
          <w:wAfter w:w="36" w:type="dxa"/>
          <w:trHeight w:val="450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BDC4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314BE14B" w14:textId="092C8430" w:rsidR="00F72842" w:rsidRPr="00F97784" w:rsidRDefault="00277270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72842" w:rsidRPr="00F97784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F72842" w:rsidRPr="00F977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 </w:t>
            </w:r>
            <w:r w:rsidR="00F72842" w:rsidRPr="00F9778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Budżet Ministra Zdrowia </w:t>
            </w:r>
          </w:p>
        </w:tc>
      </w:tr>
      <w:tr w:rsidR="00F72842" w:rsidRPr="00F97784" w14:paraId="5517B01F" w14:textId="77777777" w:rsidTr="009D7EFA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039B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1BCA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DCFC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72842" w:rsidRPr="00F97784" w14:paraId="19853F4C" w14:textId="77777777" w:rsidTr="009D7EFA">
        <w:trPr>
          <w:trHeight w:val="88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8CC89C7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784">
              <w:rPr>
                <w:rFonts w:ascii="Calibri" w:eastAsia="Times New Roman" w:hAnsi="Calibri" w:cs="Calibri"/>
                <w:color w:val="000000"/>
                <w:lang w:val="en-US" w:eastAsia="pl-PL"/>
              </w:rPr>
              <w:t>Instytucje koordynujące</w:t>
            </w:r>
          </w:p>
        </w:tc>
        <w:tc>
          <w:tcPr>
            <w:tcW w:w="83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29CE5C14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0B0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  <w:r w:rsidRPr="00CF40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CF40B0">
              <w:rPr>
                <w:rFonts w:ascii="Calibri" w:eastAsia="Times New Roman" w:hAnsi="Calibri" w:cs="Calibri"/>
                <w:color w:val="000000"/>
                <w:lang w:eastAsia="pl-PL"/>
              </w:rPr>
              <w:t>Ministerstwo Zdrowia oraz Narodowy Fundusz Zdrowia</w:t>
            </w:r>
          </w:p>
        </w:tc>
        <w:tc>
          <w:tcPr>
            <w:tcW w:w="36" w:type="dxa"/>
            <w:vAlign w:val="center"/>
            <w:hideMark/>
          </w:tcPr>
          <w:p w14:paraId="6CAF3B5D" w14:textId="77777777" w:rsidR="00F72842" w:rsidRPr="00F97784" w:rsidRDefault="00F72842" w:rsidP="009D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2842" w:rsidRPr="00F97784" w14:paraId="41CAC93D" w14:textId="77777777" w:rsidTr="009D7EFA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F84A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F2C4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38C6" w14:textId="77777777" w:rsidR="00F72842" w:rsidRPr="00F9778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B9703AD" w14:textId="77777777" w:rsidR="00F72842" w:rsidRPr="00CF40B0" w:rsidRDefault="00F72842" w:rsidP="00F72842">
      <w:pPr>
        <w:jc w:val="both"/>
      </w:pPr>
    </w:p>
    <w:p w14:paraId="0B74C783" w14:textId="77777777" w:rsidR="00F72842" w:rsidRDefault="00F72842" w:rsidP="00F72842">
      <w:pPr>
        <w:jc w:val="both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</w:pPr>
    </w:p>
    <w:p w14:paraId="1A16A0E4" w14:textId="77777777" w:rsidR="00F72842" w:rsidRPr="00AA6FBA" w:rsidRDefault="00F72842" w:rsidP="00F72842">
      <w:pPr>
        <w:jc w:val="both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4. </w:t>
      </w:r>
      <w:r w:rsidRPr="00442F17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Inwestycje infrastrukturalne – dostosowanie podmiotów leczniczych do środowiskowego modelu psychiatrycznej opieki zdrowotnej</w:t>
      </w:r>
    </w:p>
    <w:p w14:paraId="71271C6C" w14:textId="0BD7DE9C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Cel</w:t>
      </w:r>
      <w:r>
        <w:rPr>
          <w:b/>
          <w:color w:val="1F4E79" w:themeColor="accent1" w:themeShade="80"/>
          <w:lang w:eastAsia="pl-PL"/>
        </w:rPr>
        <w:t xml:space="preserve"> szczegółowy</w:t>
      </w:r>
      <w:r w:rsidRPr="00A3118C">
        <w:rPr>
          <w:b/>
          <w:color w:val="1F4E79" w:themeColor="accent1" w:themeShade="80"/>
          <w:lang w:eastAsia="pl-PL"/>
        </w:rPr>
        <w:t xml:space="preserve">: </w:t>
      </w:r>
    </w:p>
    <w:p w14:paraId="047A5406" w14:textId="77777777" w:rsidR="00F72842" w:rsidRPr="00D627C7" w:rsidRDefault="00F72842" w:rsidP="00F72842">
      <w:pPr>
        <w:jc w:val="both"/>
        <w:rPr>
          <w:lang w:eastAsia="pl-PL"/>
        </w:rPr>
      </w:pPr>
      <w:r w:rsidRPr="00D627C7">
        <w:rPr>
          <w:lang w:eastAsia="pl-PL"/>
        </w:rPr>
        <w:t>Dostosowanie infrastruktury pomiotów leczniczych realizujących środowiskowy model opieki psychiatrycznej</w:t>
      </w:r>
    </w:p>
    <w:p w14:paraId="63F61629" w14:textId="77777777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Diagnoza:</w:t>
      </w:r>
    </w:p>
    <w:p w14:paraId="72BD14A2" w14:textId="7383D0D9" w:rsidR="00F72842" w:rsidRPr="00B17F7C" w:rsidRDefault="00F72842" w:rsidP="00F72842">
      <w:pPr>
        <w:jc w:val="both"/>
        <w:rPr>
          <w:lang w:eastAsia="pl-PL"/>
        </w:rPr>
      </w:pPr>
      <w:r w:rsidRPr="00B17F7C">
        <w:rPr>
          <w:lang w:eastAsia="pl-PL"/>
        </w:rPr>
        <w:t xml:space="preserve">Wieloletnie niedofinansowanie </w:t>
      </w:r>
      <w:r>
        <w:rPr>
          <w:lang w:eastAsia="pl-PL"/>
        </w:rPr>
        <w:t>opieki psychiatrycznej</w:t>
      </w:r>
      <w:r w:rsidRPr="00B17F7C">
        <w:rPr>
          <w:lang w:eastAsia="pl-PL"/>
        </w:rPr>
        <w:t xml:space="preserve"> </w:t>
      </w:r>
      <w:r>
        <w:rPr>
          <w:lang w:eastAsia="pl-PL"/>
        </w:rPr>
        <w:t>skutkuje niedostosowaniem zwłaszcza placówek stacjonarnych do wymagań współczesnej psychiatrii. W wielu przypadkach podmioty stacjonarne wymagają gruntownego infrastrukturalnego wsparcia w celu umożliwienia poprawnej realizacji świadczeń. W chwili obecnej funkcjonuje 46 szpitali psychiatrycznych oraz 109 oddziałów psychiatrycznych przy szpitalach wielospecjalistycznych.</w:t>
      </w:r>
    </w:p>
    <w:p w14:paraId="211AC2D7" w14:textId="77777777" w:rsidR="007F6F30" w:rsidRDefault="007F6F30" w:rsidP="00F72842">
      <w:pPr>
        <w:rPr>
          <w:b/>
          <w:color w:val="1F4E79" w:themeColor="accent1" w:themeShade="80"/>
          <w:lang w:eastAsia="pl-PL"/>
        </w:rPr>
      </w:pPr>
    </w:p>
    <w:p w14:paraId="256FD5D3" w14:textId="77777777" w:rsidR="007F6F30" w:rsidRDefault="007F6F30" w:rsidP="00F72842">
      <w:pPr>
        <w:rPr>
          <w:b/>
          <w:color w:val="1F4E79" w:themeColor="accent1" w:themeShade="80"/>
          <w:lang w:eastAsia="pl-PL"/>
        </w:rPr>
      </w:pPr>
    </w:p>
    <w:p w14:paraId="5ACD80B6" w14:textId="1AB178B1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lastRenderedPageBreak/>
        <w:t>Oczekiwany rezultat:</w:t>
      </w:r>
    </w:p>
    <w:p w14:paraId="18CFBBAF" w14:textId="77777777" w:rsidR="00F72842" w:rsidRPr="00F740D3" w:rsidRDefault="00F72842" w:rsidP="00F72842">
      <w:pPr>
        <w:pStyle w:val="Akapitzlist"/>
        <w:numPr>
          <w:ilvl w:val="0"/>
          <w:numId w:val="15"/>
        </w:numPr>
        <w:jc w:val="both"/>
        <w:rPr>
          <w:color w:val="1F4E79" w:themeColor="accent1" w:themeShade="80"/>
          <w:lang w:eastAsia="pl-PL"/>
        </w:rPr>
      </w:pPr>
      <w:r w:rsidRPr="00F740D3">
        <w:rPr>
          <w:b/>
          <w:lang w:eastAsia="pl-PL"/>
        </w:rPr>
        <w:t>Do</w:t>
      </w:r>
      <w:r>
        <w:rPr>
          <w:b/>
          <w:lang w:eastAsia="pl-PL"/>
        </w:rPr>
        <w:t xml:space="preserve"> końca</w:t>
      </w:r>
      <w:r w:rsidRPr="00F740D3">
        <w:rPr>
          <w:b/>
          <w:lang w:eastAsia="pl-PL"/>
        </w:rPr>
        <w:t xml:space="preserve"> 202</w:t>
      </w:r>
      <w:r>
        <w:rPr>
          <w:b/>
          <w:lang w:eastAsia="pl-PL"/>
        </w:rPr>
        <w:t>7</w:t>
      </w:r>
      <w:r w:rsidRPr="00F740D3">
        <w:rPr>
          <w:b/>
          <w:lang w:eastAsia="pl-PL"/>
        </w:rPr>
        <w:t xml:space="preserve"> r. dofinansowanie infrastrukturalne (utworzenie i dostosowanie) </w:t>
      </w:r>
      <w:r>
        <w:rPr>
          <w:b/>
          <w:lang w:eastAsia="pl-PL"/>
        </w:rPr>
        <w:t xml:space="preserve">nowych </w:t>
      </w:r>
      <w:r w:rsidRPr="00F740D3">
        <w:rPr>
          <w:b/>
        </w:rPr>
        <w:t>oddziałów psychiatrycznych w szpitalach wielospecjalistycznych</w:t>
      </w:r>
      <w:r>
        <w:rPr>
          <w:b/>
        </w:rPr>
        <w:t xml:space="preserve"> (do uzyskania łącznego poziomu 8 tys. łóżek ogólnopsychiatrycznych przy szpitalach wielospecjalistycznych) przy jednoczesnej likwidacji </w:t>
      </w:r>
      <w:r w:rsidRPr="0028036E">
        <w:rPr>
          <w:b/>
        </w:rPr>
        <w:t>dwukrotnie większej liczby łóżek w szpitalach psychiatrycznych</w:t>
      </w:r>
      <w:r>
        <w:rPr>
          <w:b/>
        </w:rPr>
        <w:t xml:space="preserve"> (reorganizacja w stosunku - utworzenie jednego łóżka</w:t>
      </w:r>
      <w:r w:rsidRPr="0028036E">
        <w:rPr>
          <w:b/>
        </w:rPr>
        <w:t xml:space="preserve"> w szpitalu wieloprofilowym </w:t>
      </w:r>
      <w:r>
        <w:rPr>
          <w:b/>
        </w:rPr>
        <w:t>przy likwidacji</w:t>
      </w:r>
      <w:r w:rsidRPr="0028036E">
        <w:rPr>
          <w:b/>
        </w:rPr>
        <w:t xml:space="preserve"> dw</w:t>
      </w:r>
      <w:r>
        <w:rPr>
          <w:b/>
        </w:rPr>
        <w:t>óch w szpitalu psychiatrycznym).</w:t>
      </w:r>
    </w:p>
    <w:p w14:paraId="745FDBD3" w14:textId="73C79E6A" w:rsidR="00F72842" w:rsidRPr="00F740D3" w:rsidRDefault="00F72842" w:rsidP="00F72842">
      <w:pPr>
        <w:pStyle w:val="Akapitzlist"/>
        <w:numPr>
          <w:ilvl w:val="0"/>
          <w:numId w:val="15"/>
        </w:numPr>
        <w:jc w:val="both"/>
        <w:rPr>
          <w:b/>
          <w:color w:val="1F4E79" w:themeColor="accent1" w:themeShade="80"/>
          <w:lang w:eastAsia="pl-PL"/>
        </w:rPr>
      </w:pPr>
      <w:r>
        <w:rPr>
          <w:b/>
          <w:lang w:eastAsia="pl-PL"/>
        </w:rPr>
        <w:t>Do końca 2027</w:t>
      </w:r>
      <w:r w:rsidR="00720966">
        <w:rPr>
          <w:b/>
          <w:lang w:eastAsia="pl-PL"/>
        </w:rPr>
        <w:t xml:space="preserve"> </w:t>
      </w:r>
      <w:r>
        <w:rPr>
          <w:b/>
          <w:lang w:eastAsia="pl-PL"/>
        </w:rPr>
        <w:t>r. wsparcie infrastrukturalne 50 centrów zdrowia psychicznego oraz 250 podmiotów spełniających warunki utworzenia centrum zdrowia psychicznego.</w:t>
      </w:r>
    </w:p>
    <w:p w14:paraId="1C8110C9" w14:textId="77777777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Działania:</w:t>
      </w:r>
    </w:p>
    <w:p w14:paraId="1E6DAE7C" w14:textId="1DD55BA7" w:rsidR="00F72842" w:rsidRDefault="00F72842" w:rsidP="00F72842">
      <w:pPr>
        <w:jc w:val="both"/>
        <w:rPr>
          <w:lang w:eastAsia="pl-PL"/>
        </w:rPr>
      </w:pPr>
      <w:r w:rsidRPr="003169A2">
        <w:rPr>
          <w:lang w:eastAsia="pl-PL"/>
        </w:rPr>
        <w:t>W</w:t>
      </w:r>
      <w:r>
        <w:rPr>
          <w:lang w:eastAsia="pl-PL"/>
        </w:rPr>
        <w:t xml:space="preserve"> ramach realizacji celu </w:t>
      </w:r>
      <w:r w:rsidRPr="003169A2">
        <w:rPr>
          <w:lang w:eastAsia="pl-PL"/>
        </w:rPr>
        <w:t xml:space="preserve">przewiduje się wsparcie dla działających </w:t>
      </w:r>
      <w:r w:rsidR="00A313DF">
        <w:rPr>
          <w:lang w:eastAsia="pl-PL"/>
        </w:rPr>
        <w:t>c</w:t>
      </w:r>
      <w:r w:rsidRPr="003169A2">
        <w:rPr>
          <w:lang w:eastAsia="pl-PL"/>
        </w:rPr>
        <w:t xml:space="preserve">entrów </w:t>
      </w:r>
      <w:r w:rsidR="00A313DF">
        <w:rPr>
          <w:lang w:eastAsia="pl-PL"/>
        </w:rPr>
        <w:t>z</w:t>
      </w:r>
      <w:r w:rsidRPr="003169A2">
        <w:rPr>
          <w:lang w:eastAsia="pl-PL"/>
        </w:rPr>
        <w:t xml:space="preserve">drowia </w:t>
      </w:r>
      <w:r w:rsidR="00A313DF">
        <w:rPr>
          <w:lang w:eastAsia="pl-PL"/>
        </w:rPr>
        <w:t>p</w:t>
      </w:r>
      <w:r w:rsidRPr="003169A2">
        <w:rPr>
          <w:lang w:eastAsia="pl-PL"/>
        </w:rPr>
        <w:t xml:space="preserve">sychicznego oraz nowych podmiotów deklarujących chęć przystąpienia do programu. Wdrażanie programu pilotażowego w centrach zdrowia psychicznego wymaga odpowiedniego dostosowania podmiotów tworzących centra do wymogów współczesnej psychiatrii. W ramach działania niezbędne będzie doposażenie zespołów wyjazdowych stanowiących istotny element modelu środowiskowego oraz wspieranie dostosowania podmiotów pod kątem wyposażenia w sprzęt do sprawowania kompleksowej opieki psychiatrycznej, jak również przeprowadzenie niezbędnych inwestycji infrastrukturalnych (remonty oraz budowa obiektów). Szczególne poprawa infrastruktury wydaje się być kluczowa w nowopowstałych w ramach rozporządzenia Ministra Zdrowia punktach zgłoszeniowo-koordynacyjnych, których zadaniem jest m.in.: udzielanie informacji o zakresie działania centrum </w:t>
      </w:r>
      <w:r>
        <w:rPr>
          <w:lang w:eastAsia="pl-PL"/>
        </w:rPr>
        <w:br/>
      </w:r>
      <w:r w:rsidRPr="003169A2">
        <w:rPr>
          <w:lang w:eastAsia="pl-PL"/>
        </w:rPr>
        <w:t>i możliwości uzyskania świadczeń opieki zdrowotnej, przeprowadzenie wstępnej oceny potrzeb zdrowotnych osób zgłaszających się do PZK, uzgodnienie wstępnego planu postępowania oraz udzielenie możliwego wsparcia w zakresie zdefiniowanych potrzeb czy w przypadkach tego wymagających wskazanie miejsca uzyskania niezbędnego świadczenia z zakresu pomocy społecznej.</w:t>
      </w:r>
    </w:p>
    <w:p w14:paraId="70CB9F1D" w14:textId="71D38337" w:rsidR="00F72842" w:rsidRPr="00887DF4" w:rsidRDefault="00F72842" w:rsidP="00F72842">
      <w:pPr>
        <w:jc w:val="both"/>
        <w:rPr>
          <w:lang w:eastAsia="pl-PL"/>
        </w:rPr>
      </w:pPr>
      <w:r>
        <w:rPr>
          <w:lang w:eastAsia="pl-PL"/>
        </w:rPr>
        <w:t>Kluczowe jest te</w:t>
      </w:r>
      <w:r w:rsidR="007F6F30">
        <w:rPr>
          <w:lang w:eastAsia="pl-PL"/>
        </w:rPr>
        <w:t>ż</w:t>
      </w:r>
      <w:r>
        <w:rPr>
          <w:lang w:eastAsia="pl-PL"/>
        </w:rPr>
        <w:t xml:space="preserve"> wsparcie infrastrukturalne w procesie tworzenia nowych oddziałów psychiatrycznych przy szpitalach wielospecjalistycznych, które gwarantują objęcie kompleksową opieką somatyczną pacjentów z zaburzeniami psychicznymi. Ważne jest również dofinansowanie infrastrukturalne dużych szpitali psychiatrycznych poprzez </w:t>
      </w:r>
      <w:r w:rsidRPr="00E30E8A">
        <w:rPr>
          <w:lang w:eastAsia="pl-PL"/>
        </w:rPr>
        <w:t xml:space="preserve">dostosowanie części oddziałów do nowej oferty </w:t>
      </w:r>
      <w:r>
        <w:rPr>
          <w:lang w:eastAsia="pl-PL"/>
        </w:rPr>
        <w:t>programów specjalistycznych w ramach zmiany organizacji udzielanych świadczeń oraz w sytuacji likwidacji łóżek ogólnopsychiatrycznych na rzecz ich rozwoju w szpitalach wielospecjalistycznych.</w:t>
      </w:r>
    </w:p>
    <w:p w14:paraId="4EA41418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D702DB">
        <w:rPr>
          <w:b/>
          <w:color w:val="1F4E79" w:themeColor="accent1" w:themeShade="80"/>
          <w:lang w:eastAsia="pl-PL"/>
        </w:rPr>
        <w:t>Finansowani</w:t>
      </w:r>
      <w:r>
        <w:rPr>
          <w:b/>
          <w:color w:val="1F4E79" w:themeColor="accent1" w:themeShade="80"/>
          <w:lang w:eastAsia="pl-PL"/>
        </w:rPr>
        <w:t>e</w:t>
      </w:r>
    </w:p>
    <w:p w14:paraId="07A3C09A" w14:textId="5C637E15" w:rsidR="00F72842" w:rsidRPr="001F51B6" w:rsidRDefault="00F72842" w:rsidP="00F72842">
      <w:pPr>
        <w:spacing w:after="0" w:line="276" w:lineRule="auto"/>
        <w:contextualSpacing/>
        <w:jc w:val="both"/>
        <w:rPr>
          <w:lang w:eastAsia="pl-PL"/>
        </w:rPr>
      </w:pPr>
      <w:r>
        <w:rPr>
          <w:bCs/>
          <w:lang w:eastAsia="pl-PL"/>
        </w:rPr>
        <w:t xml:space="preserve">Finansowanie przekształcania szpitali oraz reorganizacja podmiotów udzielających stacjonarnych świadczeń zdrowotnych psychiatrycznych odbywać się będzie </w:t>
      </w:r>
      <w:r w:rsidR="00174F11">
        <w:rPr>
          <w:bCs/>
          <w:lang w:eastAsia="pl-PL"/>
        </w:rPr>
        <w:t>przy wsparciu</w:t>
      </w:r>
      <w:r>
        <w:rPr>
          <w:bCs/>
          <w:lang w:eastAsia="pl-PL"/>
        </w:rPr>
        <w:t xml:space="preserve"> środków europejskich</w:t>
      </w:r>
      <w:r w:rsidR="00174F11">
        <w:rPr>
          <w:bCs/>
          <w:lang w:eastAsia="pl-PL"/>
        </w:rPr>
        <w:t>.</w:t>
      </w:r>
    </w:p>
    <w:p w14:paraId="30208C4B" w14:textId="7AF3855D" w:rsidR="00F72842" w:rsidRPr="001F51B6" w:rsidRDefault="00F72842" w:rsidP="00F72842">
      <w:pPr>
        <w:spacing w:after="0" w:line="276" w:lineRule="auto"/>
        <w:jc w:val="both"/>
        <w:rPr>
          <w:lang w:eastAsia="pl-PL"/>
        </w:rPr>
      </w:pPr>
      <w:r>
        <w:rPr>
          <w:lang w:eastAsia="pl-PL"/>
        </w:rPr>
        <w:t>Przewiduje się, iż w ramach osiągni</w:t>
      </w:r>
      <w:r w:rsidR="0032374F">
        <w:rPr>
          <w:lang w:eastAsia="pl-PL"/>
        </w:rPr>
        <w:t>ęc</w:t>
      </w:r>
      <w:r>
        <w:rPr>
          <w:lang w:eastAsia="pl-PL"/>
        </w:rPr>
        <w:t xml:space="preserve">ia oczekiwanych rezultatów wskazanych w pkt 1 możliwe będzie otrzymanie wsparcia finansowego ze środków europejskich. </w:t>
      </w:r>
    </w:p>
    <w:p w14:paraId="6BB2E37F" w14:textId="77777777" w:rsidR="00F72842" w:rsidRPr="001F51B6" w:rsidRDefault="00F72842" w:rsidP="00F72842">
      <w:pPr>
        <w:spacing w:after="0" w:line="276" w:lineRule="auto"/>
        <w:jc w:val="both"/>
        <w:rPr>
          <w:lang w:eastAsia="pl-PL"/>
        </w:rPr>
      </w:pPr>
      <w:r w:rsidRPr="001F51B6">
        <w:rPr>
          <w:lang w:eastAsia="pl-PL"/>
        </w:rPr>
        <w:t>Celem działania będzie umożliwienie szpitalom wielospecjalistycznym dostosowanie lub utworzenie oddziałów psychiatrycznych. Działanie powinno umożliwić zapewnienie odpowiedniej infrastruktury umożliwiającej prowadzenie oddziałów (dostosowanie budynku, wyposażenie pomieszczeń, zakup sprzętu).</w:t>
      </w:r>
    </w:p>
    <w:p w14:paraId="48CE7F90" w14:textId="5A5DB76F" w:rsidR="00F72842" w:rsidRDefault="00F72842" w:rsidP="00F72842">
      <w:pPr>
        <w:spacing w:after="0" w:line="276" w:lineRule="auto"/>
        <w:jc w:val="both"/>
        <w:rPr>
          <w:lang w:eastAsia="pl-PL"/>
        </w:rPr>
      </w:pPr>
      <w:r w:rsidRPr="001F51B6">
        <w:rPr>
          <w:lang w:eastAsia="pl-PL"/>
        </w:rPr>
        <w:t xml:space="preserve">Wsparcie uzyskać będą mogły podmioty nierealizujące programu pilotażowego w ramach centrów zdrowia psychicznego na podstawie rozporządzenia Ministra Zdrowia z dnia 27 kwietnia 2018 r. </w:t>
      </w:r>
      <w:r w:rsidR="007F6F30">
        <w:rPr>
          <w:lang w:eastAsia="pl-PL"/>
        </w:rPr>
        <w:br/>
      </w:r>
      <w:r w:rsidRPr="001F51B6">
        <w:rPr>
          <w:lang w:eastAsia="pl-PL"/>
        </w:rPr>
        <w:t>w sprawie programu pilotażowego w centrach zdrowia psychicznego.</w:t>
      </w:r>
    </w:p>
    <w:p w14:paraId="036C15EB" w14:textId="77777777" w:rsidR="0047439D" w:rsidRDefault="0047439D" w:rsidP="00F72842">
      <w:pPr>
        <w:spacing w:after="0" w:line="276" w:lineRule="auto"/>
        <w:jc w:val="both"/>
        <w:rPr>
          <w:lang w:eastAsia="pl-PL"/>
        </w:rPr>
      </w:pPr>
    </w:p>
    <w:p w14:paraId="73BBC098" w14:textId="78EFC14F" w:rsidR="00F72842" w:rsidRDefault="0047439D" w:rsidP="00F72842">
      <w:pPr>
        <w:spacing w:after="0" w:line="276" w:lineRule="auto"/>
        <w:jc w:val="both"/>
        <w:rPr>
          <w:bCs/>
          <w:lang w:eastAsia="pl-PL"/>
        </w:rPr>
      </w:pPr>
      <w:r>
        <w:rPr>
          <w:lang w:eastAsia="pl-PL"/>
        </w:rPr>
        <w:lastRenderedPageBreak/>
        <w:t>Finansowanie ze środków europejskich w przedmiotowych działaniach ma na celu przede wszystkim wsparcie infrastrukturalne podmiotów uczestniczących w reformie. Udzielanie świadczeń zdrowotnych oraz funkcjonowanie całego systemu jest oparte wyłącznie na środkach Narodowego Funduszu Zdrowia.</w:t>
      </w:r>
    </w:p>
    <w:p w14:paraId="04D874B1" w14:textId="3AA5E593" w:rsidR="00F72842" w:rsidRDefault="00F72842" w:rsidP="00F72842">
      <w:pPr>
        <w:spacing w:after="0" w:line="276" w:lineRule="auto"/>
        <w:jc w:val="both"/>
        <w:rPr>
          <w:bCs/>
          <w:lang w:eastAsia="pl-PL"/>
        </w:rPr>
      </w:pPr>
      <w:r>
        <w:rPr>
          <w:bCs/>
          <w:lang w:eastAsia="pl-PL"/>
        </w:rPr>
        <w:t>Osiągni</w:t>
      </w:r>
      <w:r w:rsidR="00996DE4">
        <w:rPr>
          <w:bCs/>
          <w:lang w:eastAsia="pl-PL"/>
        </w:rPr>
        <w:t>ę</w:t>
      </w:r>
      <w:r>
        <w:rPr>
          <w:bCs/>
          <w:lang w:eastAsia="pl-PL"/>
        </w:rPr>
        <w:t xml:space="preserve">cie oczekiwanego rezultatu zawartego w </w:t>
      </w:r>
      <w:r w:rsidRPr="007361B9">
        <w:rPr>
          <w:bCs/>
          <w:lang w:eastAsia="pl-PL"/>
        </w:rPr>
        <w:t>zada</w:t>
      </w:r>
      <w:r>
        <w:rPr>
          <w:bCs/>
          <w:lang w:eastAsia="pl-PL"/>
        </w:rPr>
        <w:t>niu</w:t>
      </w:r>
      <w:r w:rsidRPr="007361B9">
        <w:rPr>
          <w:bCs/>
          <w:lang w:eastAsia="pl-PL"/>
        </w:rPr>
        <w:t xml:space="preserve"> w pkt </w:t>
      </w:r>
      <w:r w:rsidR="00174F11">
        <w:rPr>
          <w:bCs/>
          <w:lang w:eastAsia="pl-PL"/>
        </w:rPr>
        <w:t>2</w:t>
      </w:r>
      <w:r>
        <w:rPr>
          <w:bCs/>
          <w:lang w:eastAsia="pl-PL"/>
        </w:rPr>
        <w:t xml:space="preserve"> będzie możliwe dzięki dofinansowaniu ze środków europejskich. D</w:t>
      </w:r>
      <w:r w:rsidRPr="007361B9">
        <w:rPr>
          <w:bCs/>
          <w:lang w:eastAsia="pl-PL"/>
        </w:rPr>
        <w:t>edykowane</w:t>
      </w:r>
      <w:r>
        <w:rPr>
          <w:bCs/>
          <w:lang w:eastAsia="pl-PL"/>
        </w:rPr>
        <w:t xml:space="preserve"> jest</w:t>
      </w:r>
      <w:r w:rsidRPr="007361B9">
        <w:rPr>
          <w:bCs/>
          <w:lang w:eastAsia="pl-PL"/>
        </w:rPr>
        <w:t xml:space="preserve"> następującym podmiotom</w:t>
      </w:r>
      <w:r>
        <w:rPr>
          <w:bCs/>
          <w:lang w:eastAsia="pl-PL"/>
        </w:rPr>
        <w:t>:</w:t>
      </w:r>
    </w:p>
    <w:p w14:paraId="7F016C4F" w14:textId="46CD43DC" w:rsidR="00F72842" w:rsidRDefault="00A313DF" w:rsidP="00F72842">
      <w:pPr>
        <w:pStyle w:val="Akapitzlist"/>
        <w:numPr>
          <w:ilvl w:val="0"/>
          <w:numId w:val="19"/>
        </w:numPr>
        <w:spacing w:after="0" w:line="276" w:lineRule="auto"/>
        <w:jc w:val="both"/>
        <w:rPr>
          <w:bCs/>
          <w:lang w:eastAsia="pl-PL"/>
        </w:rPr>
      </w:pPr>
      <w:r>
        <w:rPr>
          <w:bCs/>
          <w:lang w:eastAsia="pl-PL"/>
        </w:rPr>
        <w:t>c</w:t>
      </w:r>
      <w:r w:rsidR="00F72842" w:rsidRPr="007361B9">
        <w:rPr>
          <w:bCs/>
          <w:lang w:eastAsia="pl-PL"/>
        </w:rPr>
        <w:t xml:space="preserve">entra </w:t>
      </w:r>
      <w:r>
        <w:rPr>
          <w:bCs/>
          <w:lang w:eastAsia="pl-PL"/>
        </w:rPr>
        <w:t>z</w:t>
      </w:r>
      <w:r w:rsidR="00F72842" w:rsidRPr="007361B9">
        <w:rPr>
          <w:bCs/>
          <w:lang w:eastAsia="pl-PL"/>
        </w:rPr>
        <w:t xml:space="preserve">drowia </w:t>
      </w:r>
      <w:r>
        <w:rPr>
          <w:bCs/>
          <w:lang w:eastAsia="pl-PL"/>
        </w:rPr>
        <w:t>p</w:t>
      </w:r>
      <w:r w:rsidR="00F72842" w:rsidRPr="007361B9">
        <w:rPr>
          <w:bCs/>
          <w:lang w:eastAsia="pl-PL"/>
        </w:rPr>
        <w:t>sychicznego</w:t>
      </w:r>
    </w:p>
    <w:p w14:paraId="74A513DF" w14:textId="77777777" w:rsidR="00F72842" w:rsidRPr="008C030B" w:rsidRDefault="00F72842" w:rsidP="00F72842">
      <w:pPr>
        <w:pStyle w:val="Akapitzlist"/>
        <w:numPr>
          <w:ilvl w:val="0"/>
          <w:numId w:val="19"/>
        </w:numPr>
        <w:spacing w:after="0" w:line="276" w:lineRule="auto"/>
        <w:jc w:val="both"/>
        <w:rPr>
          <w:bCs/>
          <w:lang w:eastAsia="pl-PL"/>
        </w:rPr>
      </w:pPr>
      <w:r>
        <w:rPr>
          <w:bCs/>
          <w:lang w:eastAsia="pl-PL"/>
        </w:rPr>
        <w:t xml:space="preserve">Podmioty </w:t>
      </w:r>
      <w:r w:rsidRPr="0001733B">
        <w:rPr>
          <w:bCs/>
          <w:lang w:eastAsia="pl-PL"/>
        </w:rPr>
        <w:t>spełniające kryteria włączenia do pilotażu– zgodnie z rozporządzeniem Ministra Zdrowia w sprawie programu pilotażowego w Centrach Zdrowia Psychicznego</w:t>
      </w:r>
    </w:p>
    <w:p w14:paraId="7BF857E8" w14:textId="4BB11D73" w:rsidR="00F72842" w:rsidRDefault="00F72842" w:rsidP="00F72842">
      <w:pPr>
        <w:spacing w:after="0" w:line="276" w:lineRule="auto"/>
        <w:jc w:val="both"/>
        <w:rPr>
          <w:lang w:eastAsia="pl-PL"/>
        </w:rPr>
      </w:pPr>
      <w:r w:rsidRPr="00536B4F">
        <w:rPr>
          <w:lang w:eastAsia="pl-PL"/>
        </w:rPr>
        <w:t xml:space="preserve">Dzięki dofinansowaniu już istniejących </w:t>
      </w:r>
      <w:r w:rsidR="00A313DF">
        <w:rPr>
          <w:lang w:eastAsia="pl-PL"/>
        </w:rPr>
        <w:t>czp</w:t>
      </w:r>
      <w:r w:rsidRPr="00536B4F">
        <w:rPr>
          <w:lang w:eastAsia="pl-PL"/>
        </w:rPr>
        <w:t xml:space="preserve"> poprawione zostaną warunki udzielania świadczeń a nowo włączane podmioty będą miały możliwość dostosowania do aktualnych rekomendacji dotyczących udzielania świadczeń psychiatrycznych. Dzięki wsparciu nowe podmioty zostaną włączone do programu pilotażowego</w:t>
      </w:r>
      <w:r w:rsidR="00301897">
        <w:rPr>
          <w:lang w:eastAsia="pl-PL"/>
        </w:rPr>
        <w:t>,</w:t>
      </w:r>
      <w:r w:rsidRPr="00536B4F">
        <w:rPr>
          <w:lang w:eastAsia="pl-PL"/>
        </w:rPr>
        <w:t xml:space="preserve"> w ramach którego udzielać będą świadczeń finansowanych przez Narodowy Fundusz Zdrowia co zapewni trwałość działań</w:t>
      </w:r>
      <w:r>
        <w:rPr>
          <w:lang w:eastAsia="pl-PL"/>
        </w:rPr>
        <w:t>.</w:t>
      </w:r>
    </w:p>
    <w:p w14:paraId="01514FE7" w14:textId="607B1CDD" w:rsidR="00F72842" w:rsidRDefault="00F72842" w:rsidP="00F72842">
      <w:pPr>
        <w:spacing w:after="0" w:line="276" w:lineRule="auto"/>
        <w:jc w:val="both"/>
        <w:rPr>
          <w:lang w:eastAsia="pl-PL"/>
        </w:rPr>
      </w:pPr>
      <w:r>
        <w:rPr>
          <w:lang w:eastAsia="pl-PL"/>
        </w:rPr>
        <w:t xml:space="preserve">Szacuje się, iż dofinansowanie w ramach oczekiwanych rezultatów zawartych w pkt 1 powinno wynieść około 795 mln zł na przestrzeni planowanych lat osiągnięcia rezultatów. Jednocześnie szacuje się, </w:t>
      </w:r>
      <w:r w:rsidR="00996DE4">
        <w:rPr>
          <w:lang w:eastAsia="pl-PL"/>
        </w:rPr>
        <w:br/>
      </w:r>
      <w:r>
        <w:rPr>
          <w:lang w:eastAsia="pl-PL"/>
        </w:rPr>
        <w:t xml:space="preserve">iż dofinansowanie oczekiwanych rezultatów zawartych w pkt </w:t>
      </w:r>
      <w:r w:rsidR="00FD6B2F">
        <w:rPr>
          <w:lang w:eastAsia="pl-PL"/>
        </w:rPr>
        <w:t>2</w:t>
      </w:r>
      <w:r w:rsidR="00996DE4">
        <w:rPr>
          <w:lang w:eastAsia="pl-PL"/>
        </w:rPr>
        <w:t xml:space="preserve"> </w:t>
      </w:r>
      <w:r>
        <w:rPr>
          <w:lang w:eastAsia="pl-PL"/>
        </w:rPr>
        <w:t>powinno wynieść około</w:t>
      </w:r>
      <w:r w:rsidR="00301897">
        <w:rPr>
          <w:lang w:eastAsia="pl-PL"/>
        </w:rPr>
        <w:t xml:space="preserve"> </w:t>
      </w:r>
      <w:r>
        <w:rPr>
          <w:lang w:eastAsia="pl-PL"/>
        </w:rPr>
        <w:t>1, 5 mld zł na przestrzeni planowanych lat osiągni</w:t>
      </w:r>
      <w:r w:rsidR="0032374F">
        <w:rPr>
          <w:lang w:eastAsia="pl-PL"/>
        </w:rPr>
        <w:t>ę</w:t>
      </w:r>
      <w:r>
        <w:rPr>
          <w:lang w:eastAsia="pl-PL"/>
        </w:rPr>
        <w:t>cia rezultatu.</w:t>
      </w:r>
    </w:p>
    <w:tbl>
      <w:tblPr>
        <w:tblW w:w="93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38"/>
        <w:gridCol w:w="521"/>
        <w:gridCol w:w="851"/>
        <w:gridCol w:w="978"/>
        <w:gridCol w:w="992"/>
        <w:gridCol w:w="992"/>
        <w:gridCol w:w="851"/>
        <w:gridCol w:w="850"/>
        <w:gridCol w:w="1029"/>
      </w:tblGrid>
      <w:tr w:rsidR="00F72842" w:rsidRPr="00996DE4" w14:paraId="0287E7DA" w14:textId="77777777" w:rsidTr="00996DE4">
        <w:trPr>
          <w:trHeight w:val="308"/>
        </w:trPr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A2D9"/>
            <w:vAlign w:val="center"/>
            <w:hideMark/>
          </w:tcPr>
          <w:p w14:paraId="277304B2" w14:textId="7777777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Cel dostosowanie podmiotów leczniczych do środowiskowego modelu psychiatrycznej opieki zdrowotnej</w:t>
            </w:r>
          </w:p>
        </w:tc>
      </w:tr>
      <w:tr w:rsidR="00F72842" w:rsidRPr="00996DE4" w14:paraId="086ACEEA" w14:textId="77777777" w:rsidTr="00996DE4">
        <w:trPr>
          <w:trHeight w:val="30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2D6443D" w14:textId="7777777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Termin realizacji działań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104B688" w14:textId="7777777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Nr rezultatu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CDB7ADB" w14:textId="77777777" w:rsidR="00F72842" w:rsidRPr="00996DE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B04CD84" w14:textId="77777777" w:rsidR="00F72842" w:rsidRPr="00996DE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2021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24D365D" w14:textId="77777777" w:rsidR="00F72842" w:rsidRPr="00996DE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72B7FD3" w14:textId="77777777" w:rsidR="00F72842" w:rsidRPr="00996DE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AD3AD06" w14:textId="77777777" w:rsidR="00F72842" w:rsidRPr="00996DE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5A1A42F" w14:textId="77777777" w:rsidR="00F72842" w:rsidRPr="00996DE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5247338" w14:textId="77777777" w:rsidR="00F72842" w:rsidRPr="00996DE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2026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2650482" w14:textId="77777777" w:rsidR="00F72842" w:rsidRPr="00996DE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2027</w:t>
            </w:r>
          </w:p>
        </w:tc>
      </w:tr>
      <w:tr w:rsidR="00F72842" w:rsidRPr="00996DE4" w14:paraId="51AE1CB5" w14:textId="77777777" w:rsidTr="00F12492">
        <w:trPr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98C4" w14:textId="7777777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A413BB2" w14:textId="7777777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39BE0BF" w14:textId="0988A357" w:rsidR="00F72842" w:rsidRPr="00996DE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3E09EB5C" w14:textId="29F7DE1A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1D96F886" w14:textId="1913DC51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43C8E6D3" w14:textId="66850B6A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0D4C04B2" w14:textId="7DCE183E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385CE48D" w14:textId="4F154392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5EB8BE6D" w14:textId="2574B676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706E4731" w14:textId="5E16A2E9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72842" w:rsidRPr="00996DE4" w14:paraId="14E8DD2F" w14:textId="77777777" w:rsidTr="00F12492">
        <w:trPr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39FA" w14:textId="7777777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B0CE6B6" w14:textId="0068B4F2" w:rsidR="00F72842" w:rsidRPr="00996DE4" w:rsidRDefault="00174F11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8FBCB7B" w14:textId="59EEE53F" w:rsidR="00F72842" w:rsidRPr="00996DE4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2EB9EECC" w14:textId="73E2C7C4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2E0ADC08" w14:textId="7176C14E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71A7E32A" w14:textId="5DE33BB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50C2AE4E" w14:textId="7F72458D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57A5BD7A" w14:textId="25105AA6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C62D4AE" w14:textId="182B457B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685C524" w14:textId="02086C31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 </w:t>
            </w:r>
          </w:p>
        </w:tc>
      </w:tr>
      <w:tr w:rsidR="00F72842" w:rsidRPr="00996DE4" w14:paraId="4B9D5714" w14:textId="77777777" w:rsidTr="00996DE4">
        <w:trPr>
          <w:trHeight w:val="121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47A0527" w14:textId="7777777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Indykatywne źródła finansowania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8248209" w14:textId="2B302DEF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– Finansowanie ze środków Europejski</w:t>
            </w:r>
            <w:r w:rsidR="00815B9A" w:rsidRPr="00996DE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</w:t>
            </w:r>
            <w:r w:rsidRPr="00996DE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72842" w:rsidRPr="00996DE4" w14:paraId="41EE219C" w14:textId="77777777" w:rsidTr="00996DE4">
        <w:trPr>
          <w:trHeight w:val="3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2DD" w14:textId="7777777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D034801" w14:textId="1D7AD966" w:rsidR="00F72842" w:rsidRPr="00996DE4" w:rsidRDefault="00174F11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2 </w:t>
            </w:r>
            <w:r w:rsidR="00F72842" w:rsidRPr="00996DE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</w:t>
            </w:r>
            <w:r w:rsidR="00452BB0" w:rsidRPr="00996DE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Finansowanie ze środków Europejskich</w:t>
            </w:r>
          </w:p>
        </w:tc>
      </w:tr>
      <w:tr w:rsidR="00F72842" w:rsidRPr="00996DE4" w14:paraId="1FDD12C6" w14:textId="77777777" w:rsidTr="00996DE4">
        <w:trPr>
          <w:trHeight w:val="90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78C2FF1" w14:textId="7777777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Instytucje koordynujące</w:t>
            </w: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8181B54" w14:textId="7777777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1– Ministerstwo Zdrowia we współpracy z Ministerstwem Funduszy i Polityki Regionalnej</w:t>
            </w:r>
          </w:p>
        </w:tc>
      </w:tr>
      <w:tr w:rsidR="00F72842" w:rsidRPr="00996DE4" w14:paraId="20A127E2" w14:textId="77777777" w:rsidTr="00996DE4">
        <w:trPr>
          <w:trHeight w:val="3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04AD" w14:textId="77777777" w:rsidR="00F72842" w:rsidRPr="00996DE4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08E5D60" w14:textId="0CF2EB16" w:rsidR="00F72842" w:rsidRPr="00996DE4" w:rsidRDefault="00174F11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DE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2 </w:t>
            </w:r>
            <w:r w:rsidR="00F72842" w:rsidRPr="00996DE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 Ministerstwo Zdrowia we współpracy z Ministerstwem Funduszy i Polityki Regionalnej</w:t>
            </w:r>
          </w:p>
        </w:tc>
      </w:tr>
    </w:tbl>
    <w:p w14:paraId="6183D441" w14:textId="11B1FB84" w:rsidR="00F72842" w:rsidRDefault="00F72842" w:rsidP="00F72842">
      <w:pPr>
        <w:rPr>
          <w:b/>
          <w:color w:val="1F4E79" w:themeColor="accent1" w:themeShade="80"/>
          <w:lang w:eastAsia="pl-PL"/>
        </w:rPr>
      </w:pPr>
    </w:p>
    <w:p w14:paraId="740AABB3" w14:textId="77777777" w:rsidR="00996DE4" w:rsidRPr="00D4718E" w:rsidRDefault="00996DE4" w:rsidP="00F72842">
      <w:pPr>
        <w:rPr>
          <w:b/>
          <w:color w:val="1F4E79" w:themeColor="accent1" w:themeShade="80"/>
          <w:lang w:eastAsia="pl-PL"/>
        </w:rPr>
      </w:pPr>
    </w:p>
    <w:p w14:paraId="1972A293" w14:textId="77777777" w:rsidR="00F72842" w:rsidRPr="00574CD1" w:rsidRDefault="00F72842" w:rsidP="00F72842">
      <w:pPr>
        <w:pStyle w:val="Nagwek6"/>
        <w:rPr>
          <w:color w:val="0070C0"/>
          <w:spacing w:val="-10"/>
          <w:kern w:val="28"/>
          <w:sz w:val="28"/>
          <w:szCs w:val="56"/>
        </w:rPr>
      </w:pPr>
      <w:r w:rsidRPr="00574CD1">
        <w:rPr>
          <w:color w:val="0070C0"/>
          <w:spacing w:val="-10"/>
          <w:kern w:val="28"/>
          <w:sz w:val="28"/>
          <w:szCs w:val="56"/>
        </w:rPr>
        <w:t>Psychiatria Dzieci i Młodzieży:</w:t>
      </w:r>
    </w:p>
    <w:p w14:paraId="5DD39686" w14:textId="77777777" w:rsidR="00F72842" w:rsidRPr="00574CD1" w:rsidRDefault="00F72842" w:rsidP="00F72842">
      <w:pPr>
        <w:pStyle w:val="Nagwek6"/>
        <w:jc w:val="both"/>
        <w:rPr>
          <w:color w:val="0070C0"/>
          <w:spacing w:val="-10"/>
          <w:kern w:val="28"/>
          <w:sz w:val="28"/>
          <w:szCs w:val="56"/>
        </w:rPr>
      </w:pPr>
      <w:r w:rsidRPr="00574CD1">
        <w:rPr>
          <w:color w:val="0070C0"/>
          <w:spacing w:val="-10"/>
          <w:kern w:val="28"/>
          <w:sz w:val="28"/>
          <w:szCs w:val="56"/>
        </w:rPr>
        <w:t>1.</w:t>
      </w:r>
      <w:r w:rsidRPr="00574CD1">
        <w:rPr>
          <w:color w:val="0070C0"/>
          <w:spacing w:val="-10"/>
          <w:kern w:val="28"/>
          <w:sz w:val="28"/>
          <w:szCs w:val="56"/>
        </w:rPr>
        <w:tab/>
        <w:t>Inwestycje w kadry – Poprawa sytuacji kadrowej i jakości kształcenia w dziedzinie psychiatrii</w:t>
      </w:r>
    </w:p>
    <w:p w14:paraId="19428A91" w14:textId="77777777" w:rsidR="00F72842" w:rsidRPr="00A3118C" w:rsidRDefault="00F72842" w:rsidP="00F72842">
      <w:pPr>
        <w:rPr>
          <w:b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Cel</w:t>
      </w:r>
      <w:r>
        <w:rPr>
          <w:b/>
          <w:color w:val="1F4E79" w:themeColor="accent1" w:themeShade="80"/>
          <w:lang w:eastAsia="pl-PL"/>
        </w:rPr>
        <w:t xml:space="preserve"> szczegółowy</w:t>
      </w:r>
      <w:r w:rsidRPr="00A3118C">
        <w:rPr>
          <w:b/>
          <w:color w:val="1F4E79" w:themeColor="accent1" w:themeShade="80"/>
          <w:lang w:eastAsia="pl-PL"/>
        </w:rPr>
        <w:t>:</w:t>
      </w:r>
      <w:r w:rsidRPr="00A3118C">
        <w:rPr>
          <w:b/>
          <w:lang w:eastAsia="pl-PL"/>
        </w:rPr>
        <w:t xml:space="preserve"> </w:t>
      </w:r>
    </w:p>
    <w:p w14:paraId="28CAA821" w14:textId="77777777" w:rsidR="00F72842" w:rsidRDefault="00F72842" w:rsidP="00F72842">
      <w:pPr>
        <w:rPr>
          <w:lang w:eastAsia="pl-PL"/>
        </w:rPr>
      </w:pPr>
      <w:r>
        <w:rPr>
          <w:lang w:eastAsia="pl-PL"/>
        </w:rPr>
        <w:t>Poprawa sytuacji kadrowej w opiece psychiatrycznej dzieci i młodzieży</w:t>
      </w:r>
    </w:p>
    <w:p w14:paraId="0C3FE5FD" w14:textId="77777777" w:rsidR="007F6F30" w:rsidRDefault="007F6F30" w:rsidP="00F72842">
      <w:pPr>
        <w:rPr>
          <w:b/>
          <w:color w:val="1F4E79" w:themeColor="accent1" w:themeShade="80"/>
          <w:lang w:eastAsia="pl-PL"/>
        </w:rPr>
      </w:pPr>
    </w:p>
    <w:p w14:paraId="01A0D076" w14:textId="118090CE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lastRenderedPageBreak/>
        <w:t>Diagnoza:</w:t>
      </w:r>
    </w:p>
    <w:p w14:paraId="1169E383" w14:textId="7A37D16B" w:rsidR="00F72842" w:rsidRDefault="00F72842" w:rsidP="00F72842">
      <w:pPr>
        <w:jc w:val="both"/>
        <w:rPr>
          <w:lang w:eastAsia="pl-PL"/>
        </w:rPr>
      </w:pPr>
      <w:r w:rsidRPr="00D66A58">
        <w:rPr>
          <w:lang w:eastAsia="pl-PL"/>
        </w:rPr>
        <w:t>Jedną z kluczowych barier w dostępie do opieki psychiatrycznej dla dzieci i młodzieży jest niewystarczająca liczba specjalistów.</w:t>
      </w:r>
      <w:r w:rsidRPr="00D66A58">
        <w:t xml:space="preserve"> </w:t>
      </w:r>
      <w:r w:rsidRPr="00D66A58">
        <w:rPr>
          <w:lang w:eastAsia="pl-PL"/>
        </w:rPr>
        <w:t>Psychiatria dzieci i młodzieży jest wpisana na listę dziedzin priorytetowych</w:t>
      </w:r>
      <w:r w:rsidR="00024361">
        <w:rPr>
          <w:lang w:eastAsia="pl-PL"/>
        </w:rPr>
        <w:t>,</w:t>
      </w:r>
      <w:r w:rsidRPr="00D66A58">
        <w:rPr>
          <w:lang w:eastAsia="pl-PL"/>
        </w:rPr>
        <w:t xml:space="preserve"> a więc podjęcie kształcenia w tej dziedzinie jest premiowane finansowo oraz przewidziane są dodatkowe miejsca na rezydentury. Niemniej jednak co roku znaczna część przewidzianych miejsc dla rezydentów nie zostaje obsadzona z powodu braku chętnych.</w:t>
      </w:r>
      <w:r>
        <w:rPr>
          <w:lang w:eastAsia="pl-PL"/>
        </w:rPr>
        <w:t xml:space="preserve"> </w:t>
      </w:r>
      <w:r w:rsidRPr="000E2120">
        <w:rPr>
          <w:lang w:eastAsia="pl-PL"/>
        </w:rPr>
        <w:t xml:space="preserve">Całość systemu ochrony zdrowia psychicznego opiera się na pomocy lekarzy psychiatrów, których jest </w:t>
      </w:r>
      <w:r>
        <w:rPr>
          <w:lang w:eastAsia="pl-PL"/>
        </w:rPr>
        <w:br/>
      </w:r>
      <w:r w:rsidRPr="000E2120">
        <w:rPr>
          <w:lang w:eastAsia="pl-PL"/>
        </w:rPr>
        <w:t>w Polsce około 440, z tego jedynie część pracuje w publicznym systemie.</w:t>
      </w:r>
    </w:p>
    <w:p w14:paraId="2649C540" w14:textId="468E9644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Niezbędnym elementem funkcjonowania nowego modelu jest rozwój kadr specjalistów - poza lekarzami psychiatrami – zajmujących się ochroną zdrowia psychicznego najmłodszych. </w:t>
      </w:r>
      <w:r w:rsidRPr="00D66A58">
        <w:rPr>
          <w:lang w:eastAsia="pl-PL"/>
        </w:rPr>
        <w:t xml:space="preserve">Dzięki upowszechnieniu oferty pomocy udzielanej przez </w:t>
      </w:r>
      <w:r>
        <w:rPr>
          <w:lang w:eastAsia="pl-PL"/>
        </w:rPr>
        <w:t xml:space="preserve">tych </w:t>
      </w:r>
      <w:r w:rsidRPr="00D66A58">
        <w:rPr>
          <w:lang w:eastAsia="pl-PL"/>
        </w:rPr>
        <w:t>specjalistów</w:t>
      </w:r>
      <w:r w:rsidR="006F510B">
        <w:rPr>
          <w:lang w:eastAsia="pl-PL"/>
        </w:rPr>
        <w:t xml:space="preserve"> </w:t>
      </w:r>
      <w:r w:rsidRPr="00D66A58">
        <w:rPr>
          <w:lang w:eastAsia="pl-PL"/>
        </w:rPr>
        <w:t>– psychologów, psychoterapeutów oraz terapeutów środowiskowych – możliwe będzie takie zorganizowanie opieki, aby do lekarzy psychiatrów kierowane były wyłącznie osoby potrzebujące diagnozy psychiatrycznej lub terapii farmakologicznej.</w:t>
      </w:r>
    </w:p>
    <w:p w14:paraId="7720F11D" w14:textId="67278CF6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>W związku z tym</w:t>
      </w:r>
      <w:r w:rsidR="006F510B">
        <w:rPr>
          <w:lang w:eastAsia="pl-PL"/>
        </w:rPr>
        <w:t>,</w:t>
      </w:r>
      <w:r>
        <w:rPr>
          <w:lang w:eastAsia="pl-PL"/>
        </w:rPr>
        <w:t xml:space="preserve"> zdecydowano się na wprowadzenie regulacji dotyczących nowych zawodów: </w:t>
      </w:r>
    </w:p>
    <w:p w14:paraId="45CEEB52" w14:textId="77777777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>• specjalizacja psychoterapia dzieci i młodzieży została wprowadzona rozporządzeniem Ministra Zdrowia z dnia 31 stycznia 2019 r. zmieniającym rozporządzenie w sprawie specjalizacji w dziedzinach mających zastosowanie w ochronie zdrowia (Dz.U. 2019, poz. 226). Program specjalizacji został ogłoszony w czerwcu 2019 r.;</w:t>
      </w:r>
    </w:p>
    <w:p w14:paraId="2E267BBC" w14:textId="77777777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• kwalifikacja rynkowa „Prowadzenie terapii środowiskowej dzieci i młodzieży” została włączona do Zintegrowanego Systemu Kwalifikacji obwieszczeniem Ministra Zdrowia z dnia 19 grudnia 2018 r. </w:t>
      </w:r>
      <w:r>
        <w:rPr>
          <w:lang w:eastAsia="pl-PL"/>
        </w:rPr>
        <w:br/>
        <w:t>(M.P. 2018 poz. 1279);</w:t>
      </w:r>
    </w:p>
    <w:p w14:paraId="1565B810" w14:textId="77777777" w:rsidR="00F72842" w:rsidRPr="00D627C7" w:rsidRDefault="00F72842" w:rsidP="00F72842">
      <w:pPr>
        <w:jc w:val="both"/>
        <w:rPr>
          <w:lang w:eastAsia="pl-PL"/>
        </w:rPr>
      </w:pPr>
      <w:r>
        <w:rPr>
          <w:lang w:eastAsia="pl-PL"/>
        </w:rPr>
        <w:t>• opracowany został nowy program specjalizacji z psychologii klinicznej w zakresie psychologii klinicznej dzieci i młodzieży (kwiecień 2018 r.).</w:t>
      </w:r>
    </w:p>
    <w:p w14:paraId="7A52EC57" w14:textId="77777777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Oczekiwany rezultat:</w:t>
      </w:r>
    </w:p>
    <w:p w14:paraId="5A41BE17" w14:textId="77777777" w:rsidR="00F72842" w:rsidRPr="00D627C7" w:rsidRDefault="00F72842" w:rsidP="00F72842">
      <w:pPr>
        <w:pStyle w:val="Akapitzlist"/>
        <w:numPr>
          <w:ilvl w:val="0"/>
          <w:numId w:val="18"/>
        </w:numPr>
        <w:jc w:val="both"/>
        <w:rPr>
          <w:b/>
          <w:lang w:eastAsia="pl-PL"/>
        </w:rPr>
      </w:pPr>
      <w:r w:rsidRPr="00D627C7">
        <w:rPr>
          <w:b/>
          <w:lang w:eastAsia="pl-PL"/>
        </w:rPr>
        <w:t>do 2027 wykształcenie co najmniej 1200 nowych specjalistów</w:t>
      </w:r>
      <w:r>
        <w:rPr>
          <w:b/>
          <w:lang w:eastAsia="pl-PL"/>
        </w:rPr>
        <w:t>,</w:t>
      </w:r>
      <w:r w:rsidRPr="00D627C7">
        <w:rPr>
          <w:b/>
          <w:lang w:eastAsia="pl-PL"/>
        </w:rPr>
        <w:t xml:space="preserve"> którzy uzyskają kwalifikację w zakresie psychologii klinicznej dzieci i młodzieży lub psychoterapii dzieci i młodzieży lub terapii środowiskowej dzieci i młodzieży</w:t>
      </w:r>
      <w:r>
        <w:rPr>
          <w:b/>
          <w:lang w:eastAsia="pl-PL"/>
        </w:rPr>
        <w:t>.</w:t>
      </w:r>
      <w:r w:rsidRPr="00D627C7">
        <w:rPr>
          <w:b/>
          <w:lang w:eastAsia="pl-PL"/>
        </w:rPr>
        <w:t xml:space="preserve"> </w:t>
      </w:r>
    </w:p>
    <w:p w14:paraId="27265532" w14:textId="77777777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Działania:</w:t>
      </w:r>
    </w:p>
    <w:p w14:paraId="049F14AB" w14:textId="0A66C267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Ze względu na </w:t>
      </w:r>
      <w:r w:rsidR="00024361">
        <w:rPr>
          <w:lang w:eastAsia="pl-PL"/>
        </w:rPr>
        <w:t>w</w:t>
      </w:r>
      <w:r>
        <w:rPr>
          <w:lang w:eastAsia="pl-PL"/>
        </w:rPr>
        <w:t xml:space="preserve">prowadzone nowe rozwiązania prawne, obecnie nie ma jeszcze osób </w:t>
      </w:r>
      <w:r w:rsidR="007F6F30">
        <w:rPr>
          <w:lang w:eastAsia="pl-PL"/>
        </w:rPr>
        <w:br/>
      </w:r>
      <w:r>
        <w:rPr>
          <w:lang w:eastAsia="pl-PL"/>
        </w:rPr>
        <w:t>o potwierdzonych kwalifikacjach w nowych zawodach. Z tego powodu istotne jest upowszechnienie wyżej wymienionych kwalifikacji. Ważne jest dofinansowywanie kursów kształcących specjalistów, którzy mogą zostać zatrudnieni w publicznym systemie – nie tylko w systemie zdrowia, ale także edukacji czy pomocy społecznej. Istotne jest także podnoszenie kwalifikacji specjalistów już pracujących w systemie.</w:t>
      </w:r>
    </w:p>
    <w:p w14:paraId="65E88BC2" w14:textId="37450632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Obok prowadzonych kursów niezwykle istotne będzie upowszechnienie świadomości społecznej dotyczącej nowych zawodów oraz budowa zaufania do tych specjalistów. Jest to kluczowe dla odwrócenia obecnego modelu korzystania ze świadczeń, w którym często pierwszym specjalistą, </w:t>
      </w:r>
      <w:r w:rsidR="00996DE4">
        <w:rPr>
          <w:lang w:eastAsia="pl-PL"/>
        </w:rPr>
        <w:br/>
      </w:r>
      <w:r>
        <w:rPr>
          <w:lang w:eastAsia="pl-PL"/>
        </w:rPr>
        <w:t xml:space="preserve">do którego kierowane jest dziecko w przypadku zaburzeń psychicznych jest lekarz psychiatra dzieci </w:t>
      </w:r>
      <w:r w:rsidR="00996DE4">
        <w:rPr>
          <w:lang w:eastAsia="pl-PL"/>
        </w:rPr>
        <w:br/>
      </w:r>
      <w:r>
        <w:rPr>
          <w:lang w:eastAsia="pl-PL"/>
        </w:rPr>
        <w:t xml:space="preserve">i młodzieży. Działania których celem jest usamodzielnienie pozostałych zawodów zajmujących się ochroną zdrowia psychicznego najmłodszych zostały już rozpoczęte: m.in. poprzez zniesienie </w:t>
      </w:r>
      <w:r>
        <w:rPr>
          <w:lang w:eastAsia="pl-PL"/>
        </w:rPr>
        <w:lastRenderedPageBreak/>
        <w:t>obowiązku posiadania skierowania lekarskiego w celu skorzystania ze świadczeń psychologicznych, psychoterapeutycznych</w:t>
      </w:r>
      <w:r w:rsidR="00024361">
        <w:rPr>
          <w:lang w:eastAsia="pl-PL"/>
        </w:rPr>
        <w:t xml:space="preserve"> </w:t>
      </w:r>
      <w:r>
        <w:rPr>
          <w:lang w:eastAsia="pl-PL"/>
        </w:rPr>
        <w:t>i środowiskowych dla dzieci i młodzieży.</w:t>
      </w:r>
    </w:p>
    <w:p w14:paraId="25466EB0" w14:textId="4846B311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D702DB">
        <w:rPr>
          <w:b/>
          <w:color w:val="1F4E79" w:themeColor="accent1" w:themeShade="80"/>
          <w:lang w:eastAsia="pl-PL"/>
        </w:rPr>
        <w:t>Finansowani</w:t>
      </w:r>
      <w:r w:rsidR="00024361">
        <w:rPr>
          <w:b/>
          <w:color w:val="1F4E79" w:themeColor="accent1" w:themeShade="80"/>
          <w:lang w:eastAsia="pl-PL"/>
        </w:rPr>
        <w:t>e</w:t>
      </w:r>
    </w:p>
    <w:p w14:paraId="1A112E48" w14:textId="77777777" w:rsidR="00F72842" w:rsidRDefault="00F72842" w:rsidP="00F72842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956230">
        <w:rPr>
          <w:lang w:eastAsia="pl-PL"/>
        </w:rPr>
        <w:t xml:space="preserve">W ramach </w:t>
      </w:r>
      <w:r>
        <w:rPr>
          <w:lang w:eastAsia="pl-PL"/>
        </w:rPr>
        <w:t xml:space="preserve">działań mających na celu zwiększenie </w:t>
      </w:r>
      <w:bookmarkStart w:id="19" w:name="_Hlk39746025"/>
      <w:r>
        <w:rPr>
          <w:lang w:eastAsia="pl-PL"/>
        </w:rPr>
        <w:t>liczby oraz podniesienie kompetencji specjalistów systemu ochrony zdrowia psychicznego dzieci i młodzieży</w:t>
      </w:r>
      <w:bookmarkEnd w:id="19"/>
      <w:r w:rsidRPr="00956230">
        <w:rPr>
          <w:lang w:eastAsia="pl-PL"/>
        </w:rPr>
        <w:t xml:space="preserve"> prowadzone będą szkolenia kadr publicznego systemu opieki zdrowotnej, oświaty i pomocy społecznej w celu uzyskania kwalifikacji oraz podniesienia kompetencji:</w:t>
      </w:r>
    </w:p>
    <w:p w14:paraId="2029398E" w14:textId="77777777" w:rsidR="00F72842" w:rsidRPr="00956230" w:rsidRDefault="00F72842" w:rsidP="00F72842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</w:p>
    <w:p w14:paraId="6891B54E" w14:textId="77777777" w:rsidR="00F72842" w:rsidRPr="00956230" w:rsidRDefault="00F72842" w:rsidP="00F72842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956230">
        <w:rPr>
          <w:lang w:eastAsia="pl-PL"/>
        </w:rPr>
        <w:t>a) w zakresie psychologii klinicznej dzieci i młodzieży,</w:t>
      </w:r>
    </w:p>
    <w:p w14:paraId="38E55E6F" w14:textId="77777777" w:rsidR="00F72842" w:rsidRPr="00956230" w:rsidRDefault="00F72842" w:rsidP="00F72842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956230">
        <w:rPr>
          <w:lang w:eastAsia="pl-PL"/>
        </w:rPr>
        <w:t>b) w zakresie psychoterapii dzieci i młodzieży,</w:t>
      </w:r>
    </w:p>
    <w:p w14:paraId="52648DC8" w14:textId="77777777" w:rsidR="00F72842" w:rsidRPr="00956230" w:rsidRDefault="00F72842" w:rsidP="00F72842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956230">
        <w:rPr>
          <w:lang w:eastAsia="pl-PL"/>
        </w:rPr>
        <w:t>c) w zakresie terapii środowiskowej dzieci i młodzieży,</w:t>
      </w:r>
    </w:p>
    <w:p w14:paraId="76A01A1A" w14:textId="77777777" w:rsidR="00F72842" w:rsidRDefault="00F72842" w:rsidP="00F72842">
      <w:pPr>
        <w:jc w:val="both"/>
        <w:rPr>
          <w:lang w:eastAsia="pl-PL"/>
        </w:rPr>
      </w:pPr>
      <w:r w:rsidRPr="00956230">
        <w:rPr>
          <w:lang w:eastAsia="pl-PL"/>
        </w:rPr>
        <w:t>d) w ramach innych kursów lub szkoleń z zakresu psychiatrii dzieci i młodzieży.</w:t>
      </w:r>
      <w:r w:rsidRPr="00956230" w:rsidDel="00715159">
        <w:rPr>
          <w:lang w:eastAsia="pl-PL"/>
        </w:rPr>
        <w:t xml:space="preserve"> </w:t>
      </w:r>
    </w:p>
    <w:p w14:paraId="77165F96" w14:textId="6E0B7AC3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Szacuje się, iż finansowanie ze środków </w:t>
      </w:r>
      <w:r w:rsidR="00024361">
        <w:rPr>
          <w:lang w:eastAsia="pl-PL"/>
        </w:rPr>
        <w:t>e</w:t>
      </w:r>
      <w:r>
        <w:rPr>
          <w:lang w:eastAsia="pl-PL"/>
        </w:rPr>
        <w:t xml:space="preserve">uropejskich w ramach zwiększania </w:t>
      </w:r>
      <w:r w:rsidRPr="00536B4F">
        <w:rPr>
          <w:lang w:eastAsia="pl-PL"/>
        </w:rPr>
        <w:t>liczby oraz podniesienie kompetencji specjalistów systemu ochrony zdrowia psychicznego dzieci i młodzieży</w:t>
      </w:r>
      <w:r>
        <w:rPr>
          <w:lang w:eastAsia="pl-PL"/>
        </w:rPr>
        <w:t xml:space="preserve"> powinno wynieść około 45 mln zł.</w:t>
      </w:r>
    </w:p>
    <w:tbl>
      <w:tblPr>
        <w:tblW w:w="943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968"/>
        <w:gridCol w:w="905"/>
        <w:gridCol w:w="911"/>
        <w:gridCol w:w="911"/>
        <w:gridCol w:w="911"/>
        <w:gridCol w:w="911"/>
        <w:gridCol w:w="911"/>
        <w:gridCol w:w="684"/>
        <w:gridCol w:w="789"/>
        <w:gridCol w:w="146"/>
      </w:tblGrid>
      <w:tr w:rsidR="00F72842" w:rsidRPr="00113B3E" w14:paraId="2119A491" w14:textId="77777777" w:rsidTr="007F6F30">
        <w:trPr>
          <w:gridAfter w:val="1"/>
          <w:wAfter w:w="146" w:type="dxa"/>
          <w:trHeight w:val="315"/>
        </w:trPr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A2D9"/>
            <w:vAlign w:val="center"/>
            <w:hideMark/>
          </w:tcPr>
          <w:p w14:paraId="305DFF58" w14:textId="1E328BF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0B0">
              <w:rPr>
                <w:rFonts w:ascii="Calibri" w:eastAsia="Times New Roman" w:hAnsi="Calibri" w:cs="Calibri"/>
                <w:color w:val="000000"/>
                <w:lang w:eastAsia="pl-PL"/>
              </w:rPr>
              <w:t>Cel</w:t>
            </w:r>
            <w:r w:rsidR="00996D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F40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– </w:t>
            </w:r>
            <w:r w:rsidRPr="00CF40B0">
              <w:rPr>
                <w:rFonts w:ascii="Calibri" w:eastAsia="Times New Roman" w:hAnsi="Calibri" w:cs="Calibri"/>
                <w:color w:val="000000"/>
                <w:lang w:eastAsia="pl-PL"/>
              </w:rPr>
              <w:t>Poprawa sytuacji kadrowej i jakości kształcenia w dziedzinie psychiatrii</w:t>
            </w:r>
          </w:p>
        </w:tc>
      </w:tr>
      <w:tr w:rsidR="00F72842" w:rsidRPr="00113B3E" w14:paraId="684DAF2A" w14:textId="77777777" w:rsidTr="007F6F30">
        <w:trPr>
          <w:gridAfter w:val="1"/>
          <w:wAfter w:w="146" w:type="dxa"/>
          <w:trHeight w:val="615"/>
        </w:trPr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FCB2118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Termin realizacji działań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EC18E6D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rezultatu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281DD6A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B1801FB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3109ED3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FA9D7AD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1C3C537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E719FC0" w14:textId="77777777" w:rsidR="00F72842" w:rsidRPr="00113B3E" w:rsidRDefault="00F72842" w:rsidP="00996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2025</w:t>
            </w:r>
            <w:r w:rsidRPr="00113B3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80A819C" w14:textId="77777777" w:rsidR="00F72842" w:rsidRPr="00113B3E" w:rsidRDefault="00F72842" w:rsidP="00996D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2026</w:t>
            </w:r>
            <w:r w:rsidRPr="00113B3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l-PL"/>
              </w:rPr>
              <w:t> 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61B16FC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2027</w:t>
            </w:r>
          </w:p>
        </w:tc>
      </w:tr>
      <w:tr w:rsidR="00F72842" w:rsidRPr="00113B3E" w14:paraId="3CD84D7E" w14:textId="77777777" w:rsidTr="007F6F30">
        <w:trPr>
          <w:gridAfter w:val="1"/>
          <w:wAfter w:w="146" w:type="dxa"/>
          <w:trHeight w:val="615"/>
        </w:trPr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D480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CF5D7BE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lang w:val="en-US" w:eastAsia="pl-P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E625211" w14:textId="643FE386" w:rsidR="00F72842" w:rsidRPr="00113B3E" w:rsidRDefault="00F72842" w:rsidP="00F1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CF318F0" w14:textId="0F73B052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51082F5" w14:textId="5A5BD12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57CCDB0" w14:textId="4316BCF5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FEBCD3A" w14:textId="72CD2524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42D0051" w14:textId="0113E1E1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D71D986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3B2C910" w14:textId="77777777" w:rsidR="00F72842" w:rsidRPr="00113B3E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F72842" w:rsidRPr="00113B3E" w14:paraId="6ADB02C9" w14:textId="77777777" w:rsidTr="007F6F30">
        <w:trPr>
          <w:gridAfter w:val="1"/>
          <w:wAfter w:w="146" w:type="dxa"/>
          <w:trHeight w:val="1215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121BD14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Indykatywne źródła finansowania</w:t>
            </w:r>
          </w:p>
        </w:tc>
        <w:tc>
          <w:tcPr>
            <w:tcW w:w="79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65F8E19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0B0">
              <w:rPr>
                <w:rFonts w:ascii="Calibri" w:eastAsia="Times New Roman" w:hAnsi="Calibri" w:cs="Calibri"/>
                <w:lang w:eastAsia="pl-PL"/>
              </w:rPr>
              <w:t>1 – Finansowanie ze środków Europejskiego Funduszu Społecznego</w:t>
            </w:r>
          </w:p>
        </w:tc>
      </w:tr>
      <w:tr w:rsidR="00F72842" w:rsidRPr="00113B3E" w14:paraId="4F0FDEBA" w14:textId="77777777" w:rsidTr="007F6F30">
        <w:trPr>
          <w:gridAfter w:val="1"/>
          <w:wAfter w:w="146" w:type="dxa"/>
          <w:trHeight w:val="585"/>
        </w:trPr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F06D194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13B3E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Instytucje koordynujące</w:t>
            </w:r>
          </w:p>
        </w:tc>
        <w:tc>
          <w:tcPr>
            <w:tcW w:w="79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3A2FEA4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0B0">
              <w:rPr>
                <w:rFonts w:ascii="Calibri" w:eastAsia="Times New Roman" w:hAnsi="Calibri" w:cs="Calibri"/>
                <w:lang w:eastAsia="pl-PL"/>
              </w:rPr>
              <w:t>1- Ministerstwo Zdrowia we współpracy z Ministerstwem Funduszy i Polityki Regionalnej</w:t>
            </w:r>
          </w:p>
        </w:tc>
      </w:tr>
      <w:tr w:rsidR="00F72842" w:rsidRPr="00113B3E" w14:paraId="22A8699D" w14:textId="77777777" w:rsidTr="007F6F30">
        <w:trPr>
          <w:trHeight w:val="315"/>
        </w:trPr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56DE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9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5F8F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D3C7" w14:textId="77777777" w:rsidR="00F72842" w:rsidRPr="00113B3E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1E86A4D" w14:textId="77777777" w:rsidR="00F72842" w:rsidRDefault="00F72842" w:rsidP="00F72842">
      <w:pPr>
        <w:jc w:val="both"/>
        <w:rPr>
          <w:lang w:eastAsia="pl-PL"/>
        </w:rPr>
      </w:pPr>
    </w:p>
    <w:p w14:paraId="3C42E3A4" w14:textId="77777777" w:rsidR="00F72842" w:rsidRDefault="00F72842" w:rsidP="00F72842">
      <w:pPr>
        <w:jc w:val="both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2</w:t>
      </w:r>
      <w:r w:rsidRPr="00EE788F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.</w:t>
      </w:r>
      <w:r w:rsidRPr="00EE788F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ab/>
        <w:t xml:space="preserve">Inwestycje w system – zmiana organizacji udzielania świadczeń zdrowotnych 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br/>
      </w:r>
      <w:r w:rsidRPr="00EE788F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z zakresu opieki psychiatrycznej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 dzieci i młodzieży oraz 3. Z</w:t>
      </w:r>
      <w:r w:rsidRPr="00442F17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większenie dostępności do świadczeń z zakresu opieki psychiatrycznej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 dla dzieci i młodzieży</w:t>
      </w:r>
    </w:p>
    <w:p w14:paraId="6D23D1FB" w14:textId="77777777" w:rsidR="00F72842" w:rsidRPr="00A3118C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Cel</w:t>
      </w:r>
      <w:r>
        <w:rPr>
          <w:b/>
          <w:color w:val="1F4E79" w:themeColor="accent1" w:themeShade="80"/>
          <w:lang w:eastAsia="pl-PL"/>
        </w:rPr>
        <w:t xml:space="preserve"> szczegółowy</w:t>
      </w:r>
      <w:r w:rsidRPr="00A3118C">
        <w:rPr>
          <w:b/>
          <w:color w:val="1F4E79" w:themeColor="accent1" w:themeShade="80"/>
          <w:lang w:eastAsia="pl-PL"/>
        </w:rPr>
        <w:t xml:space="preserve">: </w:t>
      </w:r>
    </w:p>
    <w:p w14:paraId="123B8E5C" w14:textId="42C6F1A7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>Wdrożenie nowego modelu opieki psychiatrycznej dla dzieci i młodzieży opartego na trzech poziomach referencyjnych</w:t>
      </w:r>
      <w:r w:rsidR="006F510B">
        <w:rPr>
          <w:lang w:eastAsia="pl-PL"/>
        </w:rPr>
        <w:t>.</w:t>
      </w:r>
    </w:p>
    <w:p w14:paraId="11D122C9" w14:textId="77777777" w:rsidR="00F72842" w:rsidRPr="00A3118C" w:rsidRDefault="00F72842" w:rsidP="00F72842">
      <w:pPr>
        <w:jc w:val="both"/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 xml:space="preserve">Diagnoza: </w:t>
      </w:r>
    </w:p>
    <w:p w14:paraId="1F3037D0" w14:textId="77777777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System opieki psychiatrycznej dla dzieci i młodzieży w Polsce nie zaspokaja obecnie potrzeb populacyjnych na opiekę tego rodzaju. </w:t>
      </w:r>
    </w:p>
    <w:p w14:paraId="5FD80275" w14:textId="38F8760E" w:rsidR="009262EF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Nowy model ochrony zdrowia psychicznego został wprowadzony rozporządzeniem Ministra Zdrowia </w:t>
      </w:r>
      <w:r w:rsidR="007F6F30">
        <w:rPr>
          <w:lang w:eastAsia="pl-PL"/>
        </w:rPr>
        <w:br/>
      </w:r>
      <w:r>
        <w:rPr>
          <w:lang w:eastAsia="pl-PL"/>
        </w:rPr>
        <w:t xml:space="preserve">z dnia 14 sierpnia 2019 r. zmieniającym rozporządzenie w sprawie świadczeń gwarantowanych </w:t>
      </w:r>
      <w:r>
        <w:rPr>
          <w:lang w:eastAsia="pl-PL"/>
        </w:rPr>
        <w:br/>
        <w:t xml:space="preserve">z zakresu opieki psychiatrycznej i leczenia uzależnień, które określa warunki szczegółowe, jakie </w:t>
      </w:r>
      <w:r>
        <w:rPr>
          <w:lang w:eastAsia="pl-PL"/>
        </w:rPr>
        <w:br/>
      </w:r>
      <w:r>
        <w:rPr>
          <w:lang w:eastAsia="pl-PL"/>
        </w:rPr>
        <w:lastRenderedPageBreak/>
        <w:t xml:space="preserve">są obowiązani spełniać świadczeniodawcy realizujący świadczenia gwarantowane z zakresu opieki psychiatrycznej dzieci i młodzieży w ramach poziomów referencyjnych. </w:t>
      </w:r>
    </w:p>
    <w:p w14:paraId="291CED34" w14:textId="3F120D53" w:rsidR="009262EF" w:rsidRPr="009262EF" w:rsidRDefault="009262EF" w:rsidP="00996DE4">
      <w:pPr>
        <w:jc w:val="both"/>
        <w:rPr>
          <w:lang w:eastAsia="pl-PL"/>
        </w:rPr>
      </w:pPr>
      <w:r w:rsidRPr="009262EF">
        <w:rPr>
          <w:lang w:eastAsia="pl-PL"/>
        </w:rPr>
        <w:t xml:space="preserve">Poniżej prezentowana jest piramida obrazująca trzy poziomy referencyjne placówek systemu zapewniającego wsparcie pacjentom niepełnoletnim doświadczającym zaburzeń psychicznych </w:t>
      </w:r>
      <w:r w:rsidR="00996DE4">
        <w:rPr>
          <w:lang w:eastAsia="pl-PL"/>
        </w:rPr>
        <w:br/>
      </w:r>
      <w:r w:rsidRPr="009262EF">
        <w:rPr>
          <w:lang w:eastAsia="pl-PL"/>
        </w:rPr>
        <w:t>w nowym modelu ochrony zdrowia psychicznego:</w:t>
      </w:r>
    </w:p>
    <w:p w14:paraId="30DFC0D7" w14:textId="2027A8BA" w:rsidR="009262EF" w:rsidRDefault="009262EF" w:rsidP="00F72842">
      <w:pPr>
        <w:jc w:val="both"/>
        <w:rPr>
          <w:lang w:eastAsia="pl-PL"/>
        </w:rPr>
      </w:pPr>
      <w:r w:rsidRPr="000B519B">
        <w:rPr>
          <w:noProof/>
          <w:lang w:eastAsia="pl-PL"/>
        </w:rPr>
        <w:drawing>
          <wp:inline distT="0" distB="0" distL="0" distR="0" wp14:anchorId="2C80A1A4" wp14:editId="5DC5E1A6">
            <wp:extent cx="3743325" cy="2905125"/>
            <wp:effectExtent l="838200" t="19050" r="828675" b="2857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7D9E248" w14:textId="14A6B5D0" w:rsidR="00F72842" w:rsidRDefault="00F72842" w:rsidP="00F72842">
      <w:pPr>
        <w:jc w:val="both"/>
        <w:rPr>
          <w:lang w:eastAsia="pl-PL"/>
        </w:rPr>
      </w:pPr>
      <w:r w:rsidRPr="00DB56D9">
        <w:rPr>
          <w:lang w:eastAsia="pl-PL"/>
        </w:rPr>
        <w:t xml:space="preserve">Podstawą planowanego modelu mają być Ośrodki środowiskowej opieki psychologicznej </w:t>
      </w:r>
      <w:r w:rsidR="00996DE4">
        <w:rPr>
          <w:lang w:eastAsia="pl-PL"/>
        </w:rPr>
        <w:br/>
      </w:r>
      <w:r w:rsidRPr="00DB56D9">
        <w:rPr>
          <w:lang w:eastAsia="pl-PL"/>
        </w:rPr>
        <w:t>i psychoterapeutycznej dla dzieci i młodzieży</w:t>
      </w:r>
      <w:r w:rsidR="009262EF">
        <w:rPr>
          <w:lang w:eastAsia="pl-PL"/>
        </w:rPr>
        <w:t xml:space="preserve"> (I poziom referencyjny)</w:t>
      </w:r>
      <w:r w:rsidRPr="00DB56D9">
        <w:rPr>
          <w:lang w:eastAsia="pl-PL"/>
        </w:rPr>
        <w:t>, zatrudniające psychologów, psychoterapeutów i terapeutów środowiskowych. Specjaliści pracujący na tym poziomie będą udzielać pomocy dziecku oraz rodzinie, współpracować ze środowiskiem szkolnym</w:t>
      </w:r>
      <w:r w:rsidR="00024361">
        <w:rPr>
          <w:lang w:eastAsia="pl-PL"/>
        </w:rPr>
        <w:t>,</w:t>
      </w:r>
      <w:r w:rsidRPr="00DB56D9">
        <w:rPr>
          <w:lang w:eastAsia="pl-PL"/>
        </w:rPr>
        <w:t xml:space="preserve"> a w razie potrzeby kierować pacjentów do lekarzy psychiatrów. Rozwiązanie będzie stanowić przeciwieństwo obecnej sytuacji, </w:t>
      </w:r>
      <w:r w:rsidR="00996DE4">
        <w:rPr>
          <w:lang w:eastAsia="pl-PL"/>
        </w:rPr>
        <w:br/>
      </w:r>
      <w:r w:rsidRPr="00DB56D9">
        <w:rPr>
          <w:lang w:eastAsia="pl-PL"/>
        </w:rPr>
        <w:t xml:space="preserve">w której często przyjęcie na oddział psychiatryczny (np. po podjętej próbie samobójczej) jest pierwszym kontaktem nieletniego z jakąkolwiek formą opieki. Oczywiście osoby w stanach zaostrzenia choroby, a szczególnie w sytuacjach zagrożenia życia i zdrowia nadal będą mogły korzystać </w:t>
      </w:r>
      <w:r w:rsidR="00996DE4">
        <w:rPr>
          <w:lang w:eastAsia="pl-PL"/>
        </w:rPr>
        <w:br/>
      </w:r>
      <w:r w:rsidRPr="00DB56D9">
        <w:rPr>
          <w:lang w:eastAsia="pl-PL"/>
        </w:rPr>
        <w:t>ze świadczeń na oddziałach całodobowych.</w:t>
      </w:r>
      <w:r>
        <w:rPr>
          <w:lang w:eastAsia="pl-PL"/>
        </w:rPr>
        <w:t xml:space="preserve"> </w:t>
      </w:r>
    </w:p>
    <w:p w14:paraId="63C37B6E" w14:textId="5A99B039" w:rsidR="009262EF" w:rsidRDefault="009262EF" w:rsidP="009262EF">
      <w:pPr>
        <w:jc w:val="both"/>
        <w:rPr>
          <w:lang w:eastAsia="pl-PL"/>
        </w:rPr>
      </w:pPr>
      <w:r>
        <w:rPr>
          <w:lang w:eastAsia="pl-PL"/>
        </w:rPr>
        <w:t xml:space="preserve">Poza ośrodkami I poziomu, działać będą także ośrodki II poziomu, gdzie pracować będzie lekarz psychiatra, a pacjenci wymagający intensywniejszej opieki będą mogli skorzystać ze świadczeń </w:t>
      </w:r>
      <w:r w:rsidR="00996DE4">
        <w:rPr>
          <w:lang w:eastAsia="pl-PL"/>
        </w:rPr>
        <w:br/>
      </w:r>
      <w:r>
        <w:rPr>
          <w:lang w:eastAsia="pl-PL"/>
        </w:rPr>
        <w:t xml:space="preserve">w ramach oddziału dziennego. Jeden taki ośrodek obejmowałby wsparciem kilka sąsiadujących ze sobą powiatów. </w:t>
      </w:r>
    </w:p>
    <w:p w14:paraId="66308861" w14:textId="770A34BC" w:rsidR="009262EF" w:rsidRDefault="009262EF" w:rsidP="009262EF">
      <w:pPr>
        <w:jc w:val="both"/>
        <w:rPr>
          <w:lang w:eastAsia="pl-PL"/>
        </w:rPr>
      </w:pPr>
      <w:r>
        <w:rPr>
          <w:lang w:eastAsia="pl-PL"/>
        </w:rPr>
        <w:t xml:space="preserve">Wreszcie na III, najwyższym poziomie referencyjności funkcjonować będą Ośrodki wysokospecjalistycznej całodobowej opieki psychiatrycznej. W takich ośrodkach pomoc znajdą pacjenci wymagającej najbardziej specjalistycznej pomocy, w tym w szczególności osoby w stanie zagrożenia życia i zdrowia, przyjmowani w trybie nagłym. Mamy nadzieję, iż z czasem liczba takich przypadków będzie coraz mniejsza, niemniej jednak ze względu na bezpieczeństwo pacjentów konieczne jest aby w każdym województwie funkcjonował co najmniej jeden taki ośrodek. </w:t>
      </w:r>
      <w:r w:rsidR="00A467BA">
        <w:rPr>
          <w:lang w:eastAsia="pl-PL"/>
        </w:rPr>
        <w:br/>
      </w:r>
      <w:r>
        <w:rPr>
          <w:lang w:eastAsia="pl-PL"/>
        </w:rPr>
        <w:t xml:space="preserve">W ośrodkach tych będą się także kształcili przyszli lekarze psychiatrzy i inni specjaliści systemu. </w:t>
      </w:r>
    </w:p>
    <w:p w14:paraId="1CCAB515" w14:textId="77777777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Zgodnie z założeniami reformy, dzięki zwiększeniu dostępności pomocy w opiece ambulatoryjnej </w:t>
      </w:r>
      <w:r>
        <w:rPr>
          <w:lang w:eastAsia="pl-PL"/>
        </w:rPr>
        <w:br/>
        <w:t xml:space="preserve">i środowiskowej, osoby nie wymagające hospitalizacji będą mogły otrzymać pomoc w mniejszych placówkach (zmniejszając tym samym obciążenie Szpitalnych Oddziałów Ratunkowych i Izb Przyjęć). </w:t>
      </w:r>
      <w:r>
        <w:rPr>
          <w:lang w:eastAsia="pl-PL"/>
        </w:rPr>
        <w:lastRenderedPageBreak/>
        <w:t>Ponadto dzięki stworzeniu sieci ośrodków udzielających pomocy osobom chorym psychicznie możliwe będzie skrócenie czasu pobytu w szpitalu i zapobieganie rehospitalizacji.</w:t>
      </w:r>
      <w:r w:rsidRPr="004305A3">
        <w:rPr>
          <w:lang w:eastAsia="pl-PL"/>
        </w:rPr>
        <w:t xml:space="preserve"> </w:t>
      </w:r>
    </w:p>
    <w:p w14:paraId="2791A0B3" w14:textId="550A555F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Istotną zmianą jest możliwość skorzystania ze świadczeń psychologicznych, psychoterapeutycznych </w:t>
      </w:r>
      <w:r w:rsidR="00996DE4">
        <w:rPr>
          <w:lang w:eastAsia="pl-PL"/>
        </w:rPr>
        <w:br/>
      </w:r>
      <w:r>
        <w:rPr>
          <w:lang w:eastAsia="pl-PL"/>
        </w:rPr>
        <w:t>i środowiskowych dla dzieci i młodzieży.</w:t>
      </w:r>
    </w:p>
    <w:p w14:paraId="18CEC41A" w14:textId="77777777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Obecnie największym wyzwaniem dla systemu ochrony zdrowia psychicznego dzieci i młodzieży </w:t>
      </w:r>
      <w:r>
        <w:rPr>
          <w:lang w:eastAsia="pl-PL"/>
        </w:rPr>
        <w:br/>
        <w:t xml:space="preserve">jest wdrożenie i upowszechnienie modelu na terenie całego kraju. </w:t>
      </w:r>
    </w:p>
    <w:p w14:paraId="4F45E173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Oczekiwany rezultat:</w:t>
      </w:r>
    </w:p>
    <w:p w14:paraId="46E6E7F9" w14:textId="2FDB05F7" w:rsidR="00F72842" w:rsidRPr="00D627C7" w:rsidRDefault="00F72842" w:rsidP="00F72842">
      <w:pPr>
        <w:pStyle w:val="Akapitzlist"/>
        <w:numPr>
          <w:ilvl w:val="0"/>
          <w:numId w:val="16"/>
        </w:numPr>
        <w:jc w:val="both"/>
        <w:rPr>
          <w:b/>
          <w:lang w:eastAsia="pl-PL"/>
        </w:rPr>
      </w:pPr>
      <w:r w:rsidRPr="00D627C7">
        <w:rPr>
          <w:b/>
          <w:lang w:eastAsia="pl-PL"/>
        </w:rPr>
        <w:t xml:space="preserve">Do 2027 </w:t>
      </w:r>
      <w:bookmarkStart w:id="20" w:name="_Hlk39669690"/>
      <w:r w:rsidRPr="00D627C7">
        <w:rPr>
          <w:b/>
          <w:lang w:eastAsia="pl-PL"/>
        </w:rPr>
        <w:t>rozbudowa sieci ośrodków I stopnia referencyjnego –</w:t>
      </w:r>
      <w:r w:rsidR="00815B9A">
        <w:rPr>
          <w:b/>
          <w:lang w:eastAsia="pl-PL"/>
        </w:rPr>
        <w:t xml:space="preserve"> docelowo</w:t>
      </w:r>
      <w:r>
        <w:rPr>
          <w:b/>
          <w:lang w:eastAsia="pl-PL"/>
        </w:rPr>
        <w:t xml:space="preserve"> 300 podmiotów </w:t>
      </w:r>
      <w:r w:rsidRPr="00D627C7">
        <w:rPr>
          <w:b/>
          <w:lang w:eastAsia="pl-PL"/>
        </w:rPr>
        <w:t>środowiskowej opieki psychologicznej i psychoterapeutycznej dla dz</w:t>
      </w:r>
      <w:r>
        <w:rPr>
          <w:b/>
          <w:lang w:eastAsia="pl-PL"/>
        </w:rPr>
        <w:t>ieci i młodzieży</w:t>
      </w:r>
      <w:bookmarkEnd w:id="20"/>
      <w:r w:rsidRPr="00D627C7">
        <w:rPr>
          <w:b/>
          <w:lang w:eastAsia="pl-PL"/>
        </w:rPr>
        <w:t>.</w:t>
      </w:r>
    </w:p>
    <w:p w14:paraId="235E0437" w14:textId="77777777" w:rsidR="00F72842" w:rsidRPr="00D627C7" w:rsidRDefault="00F72842" w:rsidP="00F72842">
      <w:pPr>
        <w:pStyle w:val="Akapitzlist"/>
        <w:numPr>
          <w:ilvl w:val="0"/>
          <w:numId w:val="16"/>
        </w:numPr>
        <w:jc w:val="both"/>
        <w:rPr>
          <w:b/>
          <w:lang w:eastAsia="pl-PL"/>
        </w:rPr>
      </w:pPr>
      <w:r w:rsidRPr="00D627C7">
        <w:rPr>
          <w:b/>
          <w:lang w:eastAsia="pl-PL"/>
        </w:rPr>
        <w:t>Do 2025 opracowanie i upowszechnienie standardów organizacyjnych i diagnostyczno- terapeutycznych dla placówek działających w ramach nowego modelu ochrony zdrowia psychicznego dzieci i młodzieży.</w:t>
      </w:r>
    </w:p>
    <w:p w14:paraId="68D473C4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Działania:</w:t>
      </w:r>
    </w:p>
    <w:p w14:paraId="396A127A" w14:textId="0879EF1D" w:rsidR="00F72842" w:rsidRPr="00D627C7" w:rsidRDefault="00F72842" w:rsidP="00F72842">
      <w:pPr>
        <w:jc w:val="both"/>
        <w:rPr>
          <w:lang w:eastAsia="pl-PL"/>
        </w:rPr>
      </w:pPr>
      <w:r w:rsidRPr="00D627C7">
        <w:rPr>
          <w:bCs/>
          <w:lang w:eastAsia="pl-PL"/>
        </w:rPr>
        <w:t>Dzięki wprowadzonym zmianom legislacyjnym możliwe jest prowadzenie postępowań konkursowych przez oddziały wojewódzkie</w:t>
      </w:r>
      <w:r>
        <w:rPr>
          <w:bCs/>
          <w:lang w:eastAsia="pl-PL"/>
        </w:rPr>
        <w:t xml:space="preserve"> NFZ</w:t>
      </w:r>
      <w:r w:rsidRPr="00D627C7">
        <w:rPr>
          <w:bCs/>
          <w:lang w:eastAsia="pl-PL"/>
        </w:rPr>
        <w:t xml:space="preserve"> i zawieranie umów na udzielanie świadczeń w ramach nowego modelu ochrony zdrowia psychicznego dzieci i młodzieży.</w:t>
      </w:r>
      <w:r>
        <w:rPr>
          <w:bCs/>
          <w:lang w:eastAsia="pl-PL"/>
        </w:rPr>
        <w:t xml:space="preserve"> </w:t>
      </w:r>
      <w:r>
        <w:rPr>
          <w:lang w:eastAsia="pl-PL"/>
        </w:rPr>
        <w:t>Pierwsze ośrodki I stopnia referencyjnego rozpoczęły swoją działalność 1 kwietnia 2020 r.</w:t>
      </w:r>
      <w:r w:rsidRPr="00D627C7">
        <w:rPr>
          <w:bCs/>
          <w:lang w:eastAsia="pl-PL"/>
        </w:rPr>
        <w:t xml:space="preserve"> </w:t>
      </w:r>
      <w:r w:rsidRPr="00D627C7">
        <w:rPr>
          <w:lang w:eastAsia="pl-PL"/>
        </w:rPr>
        <w:t>Należy zauważyć, iż tworzenie sieci ośrodków przebiegać będzie stopniowo (m.in. ze względu na czas potrzebny na wykształcenie odpowiedniej kadry).</w:t>
      </w:r>
    </w:p>
    <w:p w14:paraId="355397DB" w14:textId="22A30DD6" w:rsidR="00F72842" w:rsidRDefault="00F72842" w:rsidP="00F72842">
      <w:pPr>
        <w:jc w:val="both"/>
        <w:rPr>
          <w:lang w:eastAsia="pl-PL"/>
        </w:rPr>
      </w:pPr>
      <w:r>
        <w:rPr>
          <w:lang w:eastAsia="pl-PL"/>
        </w:rPr>
        <w:t xml:space="preserve">Konieczne jest także prowadzenie </w:t>
      </w:r>
      <w:r w:rsidRPr="002A70F8">
        <w:rPr>
          <w:lang w:eastAsia="pl-PL"/>
        </w:rPr>
        <w:t>działań</w:t>
      </w:r>
      <w:r w:rsidR="00024361">
        <w:rPr>
          <w:lang w:eastAsia="pl-PL"/>
        </w:rPr>
        <w:t>,</w:t>
      </w:r>
      <w:r w:rsidRPr="002A70F8">
        <w:rPr>
          <w:lang w:eastAsia="pl-PL"/>
        </w:rPr>
        <w:t xml:space="preserve"> których celem będzie podnoszenie jakości udzielanych świadczeń </w:t>
      </w:r>
      <w:r>
        <w:rPr>
          <w:lang w:eastAsia="pl-PL"/>
        </w:rPr>
        <w:t xml:space="preserve">(m.in. dzięki opracowaniu standardów organizacyjnych i diagnostyczno- terapeutycznych) </w:t>
      </w:r>
      <w:r w:rsidRPr="002A70F8">
        <w:rPr>
          <w:lang w:eastAsia="pl-PL"/>
        </w:rPr>
        <w:t xml:space="preserve">oraz wzmacnianie współpracy pomiędzy poziomami referencyjnymi i z innymi instytucjami oferującymi wsparcie dla dzieci, młodzieży oraz ich rodzin (działających w ramach systemu oświaty, pomocy społecznej i sprawiedliwości). </w:t>
      </w:r>
    </w:p>
    <w:p w14:paraId="645697EB" w14:textId="4C1C72B2" w:rsidR="00FD6B2F" w:rsidRDefault="00FD6B2F" w:rsidP="00F72842">
      <w:pPr>
        <w:jc w:val="both"/>
        <w:rPr>
          <w:lang w:eastAsia="pl-PL"/>
        </w:rPr>
      </w:pPr>
      <w:r w:rsidRPr="00FD6B2F">
        <w:rPr>
          <w:lang w:eastAsia="pl-PL"/>
        </w:rPr>
        <w:t>Osiągni</w:t>
      </w:r>
      <w:r w:rsidR="00996DE4">
        <w:rPr>
          <w:lang w:eastAsia="pl-PL"/>
        </w:rPr>
        <w:t>ę</w:t>
      </w:r>
      <w:r w:rsidRPr="00FD6B2F">
        <w:rPr>
          <w:lang w:eastAsia="pl-PL"/>
        </w:rPr>
        <w:t xml:space="preserve">cie oczekiwanego rezultatu wskazanego w pkt 2 uwzględnia przede wszystkim opracowanie </w:t>
      </w:r>
      <w:r w:rsidR="00996DE4">
        <w:rPr>
          <w:lang w:eastAsia="pl-PL"/>
        </w:rPr>
        <w:br/>
      </w:r>
      <w:r w:rsidRPr="00FD6B2F">
        <w:rPr>
          <w:lang w:eastAsia="pl-PL"/>
        </w:rPr>
        <w:t xml:space="preserve">i publikację standardów organizacyjnych oraz diagnostyczno-terapeutycznych w zakresie postępowania z dziećmi i młodzieżą doświadczającymi zaburzeń psychicznych w ramach trzech poziomów referencyjnych. Po opracowaniu Standardy zostaną przekazane podmiotom leczniczym </w:t>
      </w:r>
      <w:r w:rsidR="00996DE4">
        <w:rPr>
          <w:lang w:eastAsia="pl-PL"/>
        </w:rPr>
        <w:br/>
      </w:r>
      <w:r w:rsidRPr="00FD6B2F">
        <w:rPr>
          <w:lang w:eastAsia="pl-PL"/>
        </w:rPr>
        <w:t xml:space="preserve">z zaleceniem do stosowania przez wszystkich świadczeniodawców w systemie publicznym co najmniej w drodze dokumentu podpisanego przez Konsultanta Krajowego w dziedzinie psychiatrii dzieci </w:t>
      </w:r>
      <w:r w:rsidR="00996DE4">
        <w:rPr>
          <w:lang w:eastAsia="pl-PL"/>
        </w:rPr>
        <w:br/>
      </w:r>
      <w:r w:rsidRPr="00FD6B2F">
        <w:rPr>
          <w:lang w:eastAsia="pl-PL"/>
        </w:rPr>
        <w:t>i młodzieży lub Pełnomocnika (jeśli zostanie powołany).</w:t>
      </w:r>
    </w:p>
    <w:p w14:paraId="62F5759D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D702DB">
        <w:rPr>
          <w:b/>
          <w:color w:val="1F4E79" w:themeColor="accent1" w:themeShade="80"/>
          <w:lang w:eastAsia="pl-PL"/>
        </w:rPr>
        <w:t>Finansowani</w:t>
      </w:r>
      <w:r>
        <w:rPr>
          <w:b/>
          <w:color w:val="1F4E79" w:themeColor="accent1" w:themeShade="80"/>
          <w:lang w:eastAsia="pl-PL"/>
        </w:rPr>
        <w:t>e</w:t>
      </w:r>
    </w:p>
    <w:p w14:paraId="7DADE5B1" w14:textId="2ED5B6B4" w:rsidR="00F72842" w:rsidRDefault="00F72842" w:rsidP="00F72842">
      <w:pPr>
        <w:jc w:val="both"/>
        <w:rPr>
          <w:bCs/>
          <w:lang w:eastAsia="pl-PL"/>
        </w:rPr>
      </w:pPr>
      <w:bookmarkStart w:id="21" w:name="_Hlk39670449"/>
      <w:r>
        <w:rPr>
          <w:bCs/>
          <w:lang w:eastAsia="pl-PL"/>
        </w:rPr>
        <w:t>Osiągni</w:t>
      </w:r>
      <w:r w:rsidR="00996DE4">
        <w:rPr>
          <w:bCs/>
          <w:lang w:eastAsia="pl-PL"/>
        </w:rPr>
        <w:t>ę</w:t>
      </w:r>
      <w:r>
        <w:rPr>
          <w:bCs/>
          <w:lang w:eastAsia="pl-PL"/>
        </w:rPr>
        <w:t xml:space="preserve">cie oczekiwanego rezultatu wskazanego w pkt </w:t>
      </w:r>
      <w:r w:rsidRPr="00412132">
        <w:rPr>
          <w:bCs/>
          <w:lang w:eastAsia="pl-PL"/>
        </w:rPr>
        <w:t>1 dotyczącego rozbudow</w:t>
      </w:r>
      <w:r w:rsidR="00C171F8">
        <w:rPr>
          <w:bCs/>
          <w:lang w:eastAsia="pl-PL"/>
        </w:rPr>
        <w:t>y</w:t>
      </w:r>
      <w:r w:rsidRPr="00412132">
        <w:rPr>
          <w:bCs/>
          <w:lang w:eastAsia="pl-PL"/>
        </w:rPr>
        <w:t xml:space="preserve"> sieci ośrodków </w:t>
      </w:r>
      <w:r w:rsidR="00996DE4">
        <w:rPr>
          <w:bCs/>
          <w:lang w:eastAsia="pl-PL"/>
        </w:rPr>
        <w:br/>
      </w:r>
      <w:r w:rsidRPr="00412132">
        <w:rPr>
          <w:bCs/>
          <w:lang w:eastAsia="pl-PL"/>
        </w:rPr>
        <w:t>I stopnia referencyjnego</w:t>
      </w:r>
      <w:r>
        <w:rPr>
          <w:bCs/>
          <w:lang w:eastAsia="pl-PL"/>
        </w:rPr>
        <w:t xml:space="preserve"> tj.:</w:t>
      </w:r>
      <w:r w:rsidRPr="00412132">
        <w:rPr>
          <w:bCs/>
          <w:lang w:eastAsia="pl-PL"/>
        </w:rPr>
        <w:t xml:space="preserve"> podmiotów środowiskowej opieki psychologicznej i psychoterapeutycznej dla dzieci i młodzieży</w:t>
      </w:r>
      <w:r>
        <w:rPr>
          <w:bCs/>
          <w:lang w:eastAsia="pl-PL"/>
        </w:rPr>
        <w:t xml:space="preserve"> </w:t>
      </w:r>
      <w:r w:rsidRPr="00412132">
        <w:rPr>
          <w:bCs/>
          <w:lang w:eastAsia="pl-PL"/>
        </w:rPr>
        <w:t>wiąże się przede wszystkim z podpisaniem umowy z Narodowym Funduszem Zdrowia</w:t>
      </w:r>
      <w:bookmarkEnd w:id="21"/>
      <w:r w:rsidRPr="00412132">
        <w:rPr>
          <w:bCs/>
          <w:lang w:eastAsia="pl-PL"/>
        </w:rPr>
        <w:t>.</w:t>
      </w:r>
      <w:r w:rsidR="00C171F8">
        <w:rPr>
          <w:bCs/>
          <w:lang w:eastAsia="pl-PL"/>
        </w:rPr>
        <w:t xml:space="preserve"> </w:t>
      </w:r>
    </w:p>
    <w:p w14:paraId="57CED308" w14:textId="3482CA3A" w:rsidR="007F6F30" w:rsidRDefault="007F6F30" w:rsidP="00F72842">
      <w:pPr>
        <w:jc w:val="both"/>
        <w:rPr>
          <w:bCs/>
          <w:lang w:eastAsia="pl-PL"/>
        </w:rPr>
      </w:pPr>
    </w:p>
    <w:p w14:paraId="1894D143" w14:textId="202CC80A" w:rsidR="007F6F30" w:rsidRDefault="007F6F30" w:rsidP="00F72842">
      <w:pPr>
        <w:jc w:val="both"/>
        <w:rPr>
          <w:bCs/>
          <w:lang w:eastAsia="pl-PL"/>
        </w:rPr>
      </w:pPr>
    </w:p>
    <w:p w14:paraId="7102F328" w14:textId="77777777" w:rsidR="007F6F30" w:rsidRDefault="007F6F30" w:rsidP="00F72842">
      <w:pPr>
        <w:jc w:val="both"/>
        <w:rPr>
          <w:bCs/>
          <w:lang w:eastAsia="pl-PL"/>
        </w:rPr>
      </w:pPr>
    </w:p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969"/>
        <w:gridCol w:w="887"/>
        <w:gridCol w:w="890"/>
        <w:gridCol w:w="890"/>
        <w:gridCol w:w="886"/>
        <w:gridCol w:w="886"/>
        <w:gridCol w:w="886"/>
        <w:gridCol w:w="886"/>
        <w:gridCol w:w="886"/>
        <w:gridCol w:w="146"/>
      </w:tblGrid>
      <w:tr w:rsidR="00F72842" w:rsidRPr="00F46DE3" w14:paraId="41445E3F" w14:textId="77777777" w:rsidTr="009D7EFA">
        <w:trPr>
          <w:gridAfter w:val="1"/>
          <w:wAfter w:w="36" w:type="dxa"/>
          <w:trHeight w:val="315"/>
        </w:trPr>
        <w:tc>
          <w:tcPr>
            <w:tcW w:w="9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A2D9"/>
            <w:vAlign w:val="center"/>
            <w:hideMark/>
          </w:tcPr>
          <w:p w14:paraId="1351B974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Cel</w:t>
            </w:r>
            <w:r w:rsidRPr="00F46D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46D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zmiana organizacji udzielania świadczeń zdrowotnych z zakresu opieki psychiatrycznej dzieci i młodzieży oraz zwiększenie dostępności do świadczeń z zakresu opieki psychiatrycznej dla dzieci i młodzieży</w:t>
            </w:r>
          </w:p>
        </w:tc>
      </w:tr>
      <w:tr w:rsidR="00F72842" w:rsidRPr="00F46DE3" w14:paraId="3435151C" w14:textId="77777777" w:rsidTr="009D7EFA">
        <w:trPr>
          <w:gridAfter w:val="1"/>
          <w:wAfter w:w="36" w:type="dxa"/>
          <w:trHeight w:val="6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76E07F2F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Termin realizacji działań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D7C2849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rezultatu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F2235E3" w14:textId="77777777" w:rsidR="00F72842" w:rsidRPr="00F46DE3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E7A163D" w14:textId="77777777" w:rsidR="00F72842" w:rsidRPr="00F46DE3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CB3F4A8" w14:textId="77777777" w:rsidR="00F72842" w:rsidRPr="00F46DE3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EBDAA59" w14:textId="77777777" w:rsidR="00F72842" w:rsidRPr="00F46DE3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D3CDF97" w14:textId="77777777" w:rsidR="00F72842" w:rsidRPr="00F46DE3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35A73BA" w14:textId="77777777" w:rsidR="00F72842" w:rsidRPr="00F46DE3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016988A" w14:textId="77777777" w:rsidR="00F72842" w:rsidRPr="00F46DE3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DE6A42D" w14:textId="77777777" w:rsidR="00F72842" w:rsidRPr="00F46DE3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2027</w:t>
            </w:r>
          </w:p>
        </w:tc>
      </w:tr>
      <w:tr w:rsidR="00F72842" w:rsidRPr="00F46DE3" w14:paraId="61D8D65E" w14:textId="77777777" w:rsidTr="009D7EFA">
        <w:trPr>
          <w:gridAfter w:val="1"/>
          <w:wAfter w:w="36" w:type="dxa"/>
          <w:trHeight w:val="6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A6F0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04C483D" w14:textId="77777777" w:rsidR="00F72842" w:rsidRPr="00F46DE3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lang w:val="en-US"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97C1A2A" w14:textId="48623396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904741B" w14:textId="662C310A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AE70826" w14:textId="229FC3ED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C307991" w14:textId="475BAA44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AB46866" w14:textId="7A61CAFE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615D7C9" w14:textId="14B579BF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F0425D7" w14:textId="110C5773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D2C918E" w14:textId="2183A00F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72842" w:rsidRPr="00F46DE3" w14:paraId="2C650B1D" w14:textId="77777777" w:rsidTr="009D7EFA">
        <w:trPr>
          <w:gridAfter w:val="1"/>
          <w:wAfter w:w="36" w:type="dxa"/>
          <w:trHeight w:val="12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6A4AFA3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eastAsia="pl-PL"/>
              </w:rPr>
              <w:t>Indykatywne źródła finansowania</w:t>
            </w:r>
          </w:p>
        </w:tc>
        <w:tc>
          <w:tcPr>
            <w:tcW w:w="82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06F2D1BE" w14:textId="44F85B2B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Pr="00F46DE3">
              <w:rPr>
                <w:rFonts w:ascii="Calibri" w:eastAsia="Times New Roman" w:hAnsi="Calibri" w:cs="Calibri"/>
                <w:lang w:eastAsia="pl-PL"/>
              </w:rPr>
              <w:t xml:space="preserve"> – </w:t>
            </w:r>
            <w:r>
              <w:rPr>
                <w:rFonts w:ascii="Calibri" w:eastAsia="Times New Roman" w:hAnsi="Calibri" w:cs="Calibri"/>
                <w:lang w:eastAsia="pl-PL"/>
              </w:rPr>
              <w:t>Finansowanie ze środków Europejski</w:t>
            </w:r>
            <w:r w:rsidR="00452BB0">
              <w:rPr>
                <w:rFonts w:ascii="Calibri" w:eastAsia="Times New Roman" w:hAnsi="Calibri" w:cs="Calibri"/>
                <w:lang w:eastAsia="pl-PL"/>
              </w:rPr>
              <w:t>ch</w:t>
            </w:r>
          </w:p>
        </w:tc>
      </w:tr>
      <w:tr w:rsidR="00F72842" w:rsidRPr="00F46DE3" w14:paraId="037F195B" w14:textId="77777777" w:rsidTr="009D7EFA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2E01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9A75E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42B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72842" w:rsidRPr="00F46DE3" w14:paraId="3EF774BE" w14:textId="77777777" w:rsidTr="009D7EFA">
        <w:trPr>
          <w:trHeight w:val="9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DFC6278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6DE3">
              <w:rPr>
                <w:rFonts w:ascii="Calibri" w:eastAsia="Times New Roman" w:hAnsi="Calibri" w:cs="Calibri"/>
                <w:b/>
                <w:bCs/>
                <w:lang w:eastAsia="pl-PL"/>
              </w:rPr>
              <w:t>Instytucje koordynujące</w:t>
            </w:r>
          </w:p>
        </w:tc>
        <w:tc>
          <w:tcPr>
            <w:tcW w:w="82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14:paraId="165A6818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Pr="00F46DE3">
              <w:rPr>
                <w:rFonts w:ascii="Calibri" w:eastAsia="Times New Roman" w:hAnsi="Calibri" w:cs="Calibri"/>
                <w:lang w:eastAsia="pl-PL"/>
              </w:rPr>
              <w:t xml:space="preserve"> –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Ministerstwo Zdrowia we współpracy z Ministerstwem Funduszy i Polityki Regionalnej</w:t>
            </w:r>
          </w:p>
        </w:tc>
        <w:tc>
          <w:tcPr>
            <w:tcW w:w="36" w:type="dxa"/>
            <w:vAlign w:val="center"/>
            <w:hideMark/>
          </w:tcPr>
          <w:p w14:paraId="255813AC" w14:textId="77777777" w:rsidR="00F72842" w:rsidRPr="00F46DE3" w:rsidRDefault="00F72842" w:rsidP="009D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2842" w:rsidRPr="00F46DE3" w14:paraId="0FEB8AF4" w14:textId="77777777" w:rsidTr="009D7EFA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6CE6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C7F28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5F0" w14:textId="77777777" w:rsidR="00F72842" w:rsidRPr="00F46DE3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A3E600C" w14:textId="77777777" w:rsidR="00F72842" w:rsidRPr="00CF4316" w:rsidRDefault="00F72842" w:rsidP="00F72842">
      <w:pPr>
        <w:jc w:val="both"/>
        <w:rPr>
          <w:lang w:eastAsia="pl-PL"/>
        </w:rPr>
      </w:pPr>
    </w:p>
    <w:p w14:paraId="25F7890C" w14:textId="77777777" w:rsidR="00F72842" w:rsidRPr="00442F17" w:rsidRDefault="00F72842" w:rsidP="00F72842">
      <w:pPr>
        <w:jc w:val="both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4. </w:t>
      </w:r>
      <w:r w:rsidRPr="00442F17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Inwestycje infrastrukturalne – dostos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owanie podmiotów leczniczych do </w:t>
      </w:r>
      <w:r w:rsidRPr="00442F17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środowiskowego modelu psychiatrycznej opieki zdrowotnej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 dzieci i młodzieży</w:t>
      </w:r>
    </w:p>
    <w:p w14:paraId="24515F49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Cel</w:t>
      </w:r>
      <w:r>
        <w:rPr>
          <w:b/>
          <w:color w:val="1F4E79" w:themeColor="accent1" w:themeShade="80"/>
          <w:lang w:eastAsia="pl-PL"/>
        </w:rPr>
        <w:t xml:space="preserve"> szczegółowy</w:t>
      </w:r>
      <w:r w:rsidRPr="00A3118C">
        <w:rPr>
          <w:b/>
          <w:color w:val="1F4E79" w:themeColor="accent1" w:themeShade="80"/>
          <w:lang w:eastAsia="pl-PL"/>
        </w:rPr>
        <w:t>:</w:t>
      </w:r>
      <w:r>
        <w:rPr>
          <w:b/>
          <w:color w:val="1F4E79" w:themeColor="accent1" w:themeShade="80"/>
          <w:lang w:eastAsia="pl-PL"/>
        </w:rPr>
        <w:t xml:space="preserve"> </w:t>
      </w:r>
    </w:p>
    <w:p w14:paraId="60C149C3" w14:textId="77777777" w:rsidR="00F72842" w:rsidRPr="00D627C7" w:rsidRDefault="00F72842" w:rsidP="00F72842">
      <w:pPr>
        <w:jc w:val="both"/>
        <w:rPr>
          <w:b/>
          <w:lang w:eastAsia="pl-PL"/>
        </w:rPr>
      </w:pPr>
      <w:r w:rsidRPr="00D627C7">
        <w:rPr>
          <w:bCs/>
          <w:lang w:eastAsia="pl-PL"/>
        </w:rPr>
        <w:t xml:space="preserve">Zapewnienie odpowiedniej infrastruktury do udzielania świadczeń psychiatrycznych dzieciom </w:t>
      </w:r>
      <w:r>
        <w:rPr>
          <w:bCs/>
          <w:lang w:eastAsia="pl-PL"/>
        </w:rPr>
        <w:br/>
      </w:r>
      <w:r w:rsidRPr="00D627C7">
        <w:rPr>
          <w:bCs/>
          <w:lang w:eastAsia="pl-PL"/>
        </w:rPr>
        <w:t xml:space="preserve">i młodzieży w ramach nowego modelu systemu ochrony zdrowia psychicznego </w:t>
      </w:r>
      <w:r w:rsidRPr="00D627C7">
        <w:rPr>
          <w:b/>
          <w:lang w:eastAsia="pl-PL"/>
        </w:rPr>
        <w:t xml:space="preserve"> </w:t>
      </w:r>
    </w:p>
    <w:p w14:paraId="72379A4C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Diagnoza</w:t>
      </w:r>
    </w:p>
    <w:p w14:paraId="5A275B5B" w14:textId="77777777" w:rsidR="00F72842" w:rsidRPr="00D627C7" w:rsidRDefault="00F72842" w:rsidP="00F72842">
      <w:pPr>
        <w:jc w:val="both"/>
        <w:rPr>
          <w:bCs/>
          <w:lang w:eastAsia="pl-PL"/>
        </w:rPr>
      </w:pPr>
      <w:r w:rsidRPr="00D627C7">
        <w:rPr>
          <w:bCs/>
          <w:lang w:eastAsia="pl-PL"/>
        </w:rPr>
        <w:t xml:space="preserve">Obecnie funkcjonujący system ochrony zdrowia psychicznego dzieci i młodzieży charakteryzuje duże regionalne zróżnicowanie: w niektórych regionach brakuje świadczeniodawców udzielających określonych typów świadczeń (np. w trybie całodobowym lub dziennym). Szczególnie ważne dla zapewnienia bezpieczeństwa pacjentów jest, aby </w:t>
      </w:r>
      <w:r w:rsidRPr="00D627C7">
        <w:rPr>
          <w:lang w:eastAsia="pl-PL"/>
        </w:rPr>
        <w:t>w każdym województwie funkcjonował co najmniej jeden ośrodek III poziomu referencyjnego (tj. Ośrodek wysokospecjalistycznej całodobowej opieki psychiatrycznej).</w:t>
      </w:r>
    </w:p>
    <w:p w14:paraId="32E894BE" w14:textId="77777777" w:rsidR="00F72842" w:rsidRPr="00D627C7" w:rsidRDefault="00F72842" w:rsidP="00F72842">
      <w:pPr>
        <w:jc w:val="both"/>
        <w:rPr>
          <w:bCs/>
          <w:lang w:eastAsia="pl-PL"/>
        </w:rPr>
      </w:pPr>
      <w:r w:rsidRPr="00D627C7">
        <w:rPr>
          <w:bCs/>
          <w:lang w:eastAsia="pl-PL"/>
        </w:rPr>
        <w:t>Zmiana sposobu udzielania świadczeń pociąga za sobą konieczność inwestycji infrastrukturalnych (np. przystosowania placówek do udzielania świadczeń w warunkach poradni lub oddziału dziennego, organizacja hostelu, doposażenie w niezbędny sprzęt).</w:t>
      </w:r>
    </w:p>
    <w:p w14:paraId="1F9EF8F8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Oczekiwany rezultat</w:t>
      </w:r>
    </w:p>
    <w:p w14:paraId="30C2018F" w14:textId="19374955" w:rsidR="00F72842" w:rsidRPr="00D627C7" w:rsidRDefault="00F72842" w:rsidP="00F72842">
      <w:pPr>
        <w:pStyle w:val="Akapitzlist"/>
        <w:numPr>
          <w:ilvl w:val="0"/>
          <w:numId w:val="17"/>
        </w:numPr>
        <w:jc w:val="both"/>
        <w:rPr>
          <w:b/>
          <w:lang w:eastAsia="pl-PL"/>
        </w:rPr>
      </w:pPr>
      <w:r w:rsidRPr="00D627C7">
        <w:rPr>
          <w:b/>
          <w:lang w:eastAsia="pl-PL"/>
        </w:rPr>
        <w:t xml:space="preserve">Do 2027 </w:t>
      </w:r>
      <w:r>
        <w:rPr>
          <w:b/>
          <w:lang w:eastAsia="pl-PL"/>
        </w:rPr>
        <w:t xml:space="preserve">wsparcie infrastrukturalne co najmniej 120 </w:t>
      </w:r>
      <w:r w:rsidRPr="00D627C7">
        <w:rPr>
          <w:b/>
          <w:lang w:eastAsia="pl-PL"/>
        </w:rPr>
        <w:t>podmiotów leczniczych</w:t>
      </w:r>
      <w:r>
        <w:rPr>
          <w:b/>
          <w:lang w:eastAsia="pl-PL"/>
        </w:rPr>
        <w:t xml:space="preserve"> uczestniczących w realizacji nowego modelu </w:t>
      </w:r>
      <w:r w:rsidRPr="00D627C7">
        <w:rPr>
          <w:b/>
          <w:lang w:eastAsia="pl-PL"/>
        </w:rPr>
        <w:t>ochrony zdrowia dla dzieci i młodzieży</w:t>
      </w:r>
      <w:r>
        <w:rPr>
          <w:b/>
          <w:lang w:eastAsia="pl-PL"/>
        </w:rPr>
        <w:t xml:space="preserve"> oraz podmiotów </w:t>
      </w:r>
      <w:r w:rsidRPr="00A20238">
        <w:rPr>
          <w:b/>
          <w:lang w:eastAsia="pl-PL"/>
        </w:rPr>
        <w:t>wyrażających chęć do włączenia w nowy model opieki psychiatrycznej dla dzieci i młodzieży</w:t>
      </w:r>
    </w:p>
    <w:p w14:paraId="1DC29F05" w14:textId="77777777" w:rsidR="00F72842" w:rsidRDefault="00F72842" w:rsidP="00F72842">
      <w:pPr>
        <w:jc w:val="both"/>
        <w:rPr>
          <w:b/>
          <w:color w:val="1F4E79" w:themeColor="accent1" w:themeShade="80"/>
          <w:lang w:eastAsia="pl-PL"/>
        </w:rPr>
      </w:pPr>
      <w:r w:rsidRPr="00A3118C">
        <w:rPr>
          <w:b/>
          <w:color w:val="1F4E79" w:themeColor="accent1" w:themeShade="80"/>
          <w:lang w:eastAsia="pl-PL"/>
        </w:rPr>
        <w:t>Działania</w:t>
      </w:r>
    </w:p>
    <w:p w14:paraId="4E5B5503" w14:textId="790508D5" w:rsidR="00F72842" w:rsidRPr="00D627C7" w:rsidRDefault="00F72842" w:rsidP="00F72842">
      <w:pPr>
        <w:jc w:val="both"/>
        <w:rPr>
          <w:lang w:eastAsia="pl-PL"/>
        </w:rPr>
      </w:pPr>
      <w:r w:rsidRPr="00D627C7">
        <w:rPr>
          <w:lang w:eastAsia="pl-PL"/>
        </w:rPr>
        <w:t xml:space="preserve">W ramach prowadzonych działań </w:t>
      </w:r>
      <w:r>
        <w:rPr>
          <w:lang w:eastAsia="pl-PL"/>
        </w:rPr>
        <w:t>konieczna jest</w:t>
      </w:r>
      <w:r w:rsidRPr="00D627C7">
        <w:rPr>
          <w:lang w:eastAsia="pl-PL"/>
        </w:rPr>
        <w:t xml:space="preserve"> </w:t>
      </w:r>
      <w:r>
        <w:rPr>
          <w:lang w:eastAsia="pl-PL"/>
        </w:rPr>
        <w:t>wsparcie infrastrukturalne</w:t>
      </w:r>
      <w:r w:rsidRPr="00D627C7">
        <w:rPr>
          <w:lang w:eastAsia="pl-PL"/>
        </w:rPr>
        <w:t xml:space="preserve"> </w:t>
      </w:r>
      <w:r>
        <w:rPr>
          <w:lang w:eastAsia="pl-PL"/>
        </w:rPr>
        <w:t>podmiot</w:t>
      </w:r>
      <w:r w:rsidR="00B3133A">
        <w:rPr>
          <w:lang w:eastAsia="pl-PL"/>
        </w:rPr>
        <w:t>ó</w:t>
      </w:r>
      <w:r>
        <w:rPr>
          <w:lang w:eastAsia="pl-PL"/>
        </w:rPr>
        <w:t xml:space="preserve">w w zakresie </w:t>
      </w:r>
      <w:r w:rsidRPr="00D627C7">
        <w:rPr>
          <w:lang w:eastAsia="pl-PL"/>
        </w:rPr>
        <w:t>poziom</w:t>
      </w:r>
      <w:r>
        <w:rPr>
          <w:lang w:eastAsia="pl-PL"/>
        </w:rPr>
        <w:t>ów</w:t>
      </w:r>
      <w:r w:rsidRPr="00D627C7">
        <w:rPr>
          <w:lang w:eastAsia="pl-PL"/>
        </w:rPr>
        <w:t xml:space="preserve"> referencyjn</w:t>
      </w:r>
      <w:r>
        <w:rPr>
          <w:lang w:eastAsia="pl-PL"/>
        </w:rPr>
        <w:t>ych (zwłaszcza I i II)</w:t>
      </w:r>
      <w:r w:rsidRPr="00D627C7">
        <w:rPr>
          <w:lang w:eastAsia="pl-PL"/>
        </w:rPr>
        <w:t xml:space="preserve">. </w:t>
      </w:r>
      <w:r>
        <w:rPr>
          <w:lang w:eastAsia="pl-PL"/>
        </w:rPr>
        <w:t>Konieczne jest</w:t>
      </w:r>
      <w:r w:rsidRPr="00D627C7">
        <w:rPr>
          <w:lang w:eastAsia="pl-PL"/>
        </w:rPr>
        <w:t xml:space="preserve"> dostosowania infrastruktury</w:t>
      </w:r>
      <w:r>
        <w:rPr>
          <w:lang w:eastAsia="pl-PL"/>
        </w:rPr>
        <w:t xml:space="preserve"> placówek</w:t>
      </w:r>
      <w:r w:rsidRPr="00D627C7">
        <w:rPr>
          <w:lang w:eastAsia="pl-PL"/>
        </w:rPr>
        <w:t xml:space="preserve"> </w:t>
      </w:r>
      <w:r w:rsidR="00996DE4">
        <w:rPr>
          <w:lang w:eastAsia="pl-PL"/>
        </w:rPr>
        <w:br/>
      </w:r>
      <w:r w:rsidRPr="00D627C7">
        <w:rPr>
          <w:lang w:eastAsia="pl-PL"/>
        </w:rPr>
        <w:t xml:space="preserve">do wymogów aktualnych rekomendacji dotyczących udzielania świadczeń dla dzieci i młodzieży </w:t>
      </w:r>
      <w:r w:rsidR="00996DE4">
        <w:rPr>
          <w:lang w:eastAsia="pl-PL"/>
        </w:rPr>
        <w:br/>
      </w:r>
      <w:r w:rsidRPr="00D627C7">
        <w:rPr>
          <w:lang w:eastAsia="pl-PL"/>
        </w:rPr>
        <w:t>z zaburzeniami psychicznymi</w:t>
      </w:r>
      <w:r>
        <w:rPr>
          <w:lang w:eastAsia="pl-PL"/>
        </w:rPr>
        <w:t>.</w:t>
      </w:r>
    </w:p>
    <w:p w14:paraId="20D937E6" w14:textId="77777777" w:rsidR="00F72842" w:rsidRDefault="00F72842" w:rsidP="00F72842">
      <w:pPr>
        <w:jc w:val="both"/>
        <w:rPr>
          <w:b/>
          <w:color w:val="1F4E79" w:themeColor="accent1" w:themeShade="80"/>
          <w:lang w:eastAsia="pl-PL"/>
        </w:rPr>
      </w:pPr>
      <w:r>
        <w:rPr>
          <w:lang w:eastAsia="pl-PL"/>
        </w:rPr>
        <w:lastRenderedPageBreak/>
        <w:t xml:space="preserve">W ramach rozwoju sieci placówek całodobowych konieczna jest współpraca ze świadczeniodawcami oraz samorządem województwa podlaskiego (gdzie obecnie nie ma możliwości skorzystania ze świadczeń całodobowej opieki psychiatrycznej dla dzieci i młodzieży). Obecnie </w:t>
      </w:r>
      <w:r w:rsidRPr="00824795">
        <w:rPr>
          <w:lang w:eastAsia="pl-PL"/>
        </w:rPr>
        <w:t xml:space="preserve">dzięki wsparciu finansowym Ministerstwa Zdrowia oraz Unii Europejskiej w województwie podlaskim realizowany jest projekt budowy Centrum Psychiatrii Uniwersyteckiego Szpitala Klinicznego i Uniwersyteckiego Dziecięcego Szpitala Klinicznego im. L. Zamenhofa w Białymstoku. Oddział całodobowy dla dzieci </w:t>
      </w:r>
      <w:r>
        <w:rPr>
          <w:lang w:eastAsia="pl-PL"/>
        </w:rPr>
        <w:br/>
      </w:r>
      <w:r w:rsidRPr="00824795">
        <w:rPr>
          <w:lang w:eastAsia="pl-PL"/>
        </w:rPr>
        <w:t xml:space="preserve">i młodzieży, który będzie działał w Centrum ma docelowo liczyć 36 łóżek. </w:t>
      </w:r>
    </w:p>
    <w:p w14:paraId="484223EF" w14:textId="77777777" w:rsidR="00F72842" w:rsidRDefault="00F72842" w:rsidP="00F72842">
      <w:pPr>
        <w:rPr>
          <w:b/>
          <w:color w:val="1F4E79" w:themeColor="accent1" w:themeShade="80"/>
          <w:lang w:eastAsia="pl-PL"/>
        </w:rPr>
      </w:pPr>
      <w:r w:rsidRPr="00D702DB">
        <w:rPr>
          <w:b/>
          <w:color w:val="1F4E79" w:themeColor="accent1" w:themeShade="80"/>
          <w:lang w:eastAsia="pl-PL"/>
        </w:rPr>
        <w:t>Finansowani</w:t>
      </w:r>
      <w:r>
        <w:rPr>
          <w:b/>
          <w:color w:val="1F4E79" w:themeColor="accent1" w:themeShade="80"/>
          <w:lang w:eastAsia="pl-PL"/>
        </w:rPr>
        <w:t>e</w:t>
      </w:r>
    </w:p>
    <w:p w14:paraId="2C695633" w14:textId="64DFCAB6" w:rsidR="00F72842" w:rsidRPr="002A69CB" w:rsidRDefault="00F72842" w:rsidP="00F72842">
      <w:pPr>
        <w:jc w:val="both"/>
        <w:rPr>
          <w:bCs/>
          <w:lang w:eastAsia="pl-PL"/>
        </w:rPr>
      </w:pPr>
      <w:r>
        <w:rPr>
          <w:bCs/>
          <w:lang w:eastAsia="pl-PL"/>
        </w:rPr>
        <w:t>Osiągnięcie oczekiwanego rezultatu wskazanego w pkt 2 opierać się będzie na wsparciu infrastrukturalnym</w:t>
      </w:r>
      <w:r w:rsidRPr="003613F1">
        <w:rPr>
          <w:bCs/>
          <w:lang w:eastAsia="pl-PL"/>
        </w:rPr>
        <w:t xml:space="preserve"> ośrodków I</w:t>
      </w:r>
      <w:r>
        <w:rPr>
          <w:bCs/>
          <w:lang w:eastAsia="pl-PL"/>
        </w:rPr>
        <w:t>,</w:t>
      </w:r>
      <w:r w:rsidR="007F6F30">
        <w:rPr>
          <w:bCs/>
          <w:lang w:eastAsia="pl-PL"/>
        </w:rPr>
        <w:t xml:space="preserve"> </w:t>
      </w:r>
      <w:r w:rsidRPr="003613F1">
        <w:rPr>
          <w:bCs/>
          <w:lang w:eastAsia="pl-PL"/>
        </w:rPr>
        <w:t>II</w:t>
      </w:r>
      <w:r>
        <w:rPr>
          <w:bCs/>
          <w:lang w:eastAsia="pl-PL"/>
        </w:rPr>
        <w:t xml:space="preserve"> i III</w:t>
      </w:r>
      <w:r w:rsidRPr="003613F1">
        <w:rPr>
          <w:bCs/>
          <w:lang w:eastAsia="pl-PL"/>
        </w:rPr>
        <w:t xml:space="preserve"> poziomu referencyjnego</w:t>
      </w:r>
      <w:r>
        <w:rPr>
          <w:bCs/>
          <w:lang w:eastAsia="pl-PL"/>
        </w:rPr>
        <w:t xml:space="preserve"> oraz podmiotów </w:t>
      </w:r>
      <w:bookmarkStart w:id="22" w:name="_Hlk39841301"/>
      <w:r>
        <w:rPr>
          <w:bCs/>
          <w:lang w:eastAsia="pl-PL"/>
        </w:rPr>
        <w:t>wyrażających chęć do włączenia w nowy model opieki psychiatrycznej dla dzieci i młodzieży</w:t>
      </w:r>
      <w:bookmarkEnd w:id="22"/>
      <w:r w:rsidRPr="003613F1">
        <w:rPr>
          <w:bCs/>
          <w:lang w:eastAsia="pl-PL"/>
        </w:rPr>
        <w:t xml:space="preserve">. W ramach wsparcia dla placówek udzielających świadczeń możliwe będzie dofinansowanie dostosowania infrastruktury </w:t>
      </w:r>
      <w:r w:rsidR="007F6F30">
        <w:rPr>
          <w:bCs/>
          <w:lang w:eastAsia="pl-PL"/>
        </w:rPr>
        <w:br/>
      </w:r>
      <w:r w:rsidRPr="003613F1">
        <w:rPr>
          <w:bCs/>
          <w:lang w:eastAsia="pl-PL"/>
        </w:rPr>
        <w:t>do wymogów aktualnych rekomendacji dotyczących udzielania świadczeń dla dzieci i młodzieży z</w:t>
      </w:r>
      <w:r>
        <w:rPr>
          <w:bCs/>
          <w:lang w:eastAsia="pl-PL"/>
        </w:rPr>
        <w:t> </w:t>
      </w:r>
      <w:r w:rsidRPr="003613F1">
        <w:rPr>
          <w:bCs/>
          <w:lang w:eastAsia="pl-PL"/>
        </w:rPr>
        <w:t>zaburzeniami psychicznymi</w:t>
      </w:r>
      <w:r>
        <w:rPr>
          <w:bCs/>
          <w:lang w:eastAsia="pl-PL"/>
        </w:rPr>
        <w:t xml:space="preserve">. </w:t>
      </w:r>
      <w:r w:rsidRPr="003613F1">
        <w:rPr>
          <w:bCs/>
          <w:lang w:eastAsia="pl-PL"/>
        </w:rPr>
        <w:t>W ramach działania wsparcie będzie możliwe również dla ośrodków funkcjonujących na III poziomie referencyjnym</w:t>
      </w:r>
      <w:r>
        <w:rPr>
          <w:bCs/>
          <w:lang w:eastAsia="pl-PL"/>
        </w:rPr>
        <w:t xml:space="preserve">. </w:t>
      </w:r>
      <w:r w:rsidRPr="002A69CB">
        <w:rPr>
          <w:bCs/>
          <w:lang w:eastAsia="pl-PL"/>
        </w:rPr>
        <w:t xml:space="preserve">Dzięki dofinansowaniu poprawione zostaną warunki udzielania świadczeń dla dzieci, młodzieży i ich rodzin w ramach poziomów referencyjnych </w:t>
      </w:r>
      <w:r w:rsidR="007F6F30">
        <w:rPr>
          <w:bCs/>
          <w:lang w:eastAsia="pl-PL"/>
        </w:rPr>
        <w:br/>
      </w:r>
      <w:r w:rsidRPr="002A69CB">
        <w:rPr>
          <w:bCs/>
          <w:lang w:eastAsia="pl-PL"/>
        </w:rPr>
        <w:t xml:space="preserve">w placówkach, które udzielać świadczeń będą także po zakończeniu okresu dofinansowania. </w:t>
      </w:r>
    </w:p>
    <w:p w14:paraId="601CBC37" w14:textId="77777777" w:rsidR="00F72842" w:rsidRDefault="00F72842" w:rsidP="00F72842">
      <w:pPr>
        <w:jc w:val="both"/>
        <w:rPr>
          <w:bCs/>
          <w:lang w:eastAsia="pl-PL"/>
        </w:rPr>
      </w:pPr>
      <w:r w:rsidRPr="002A69CB">
        <w:rPr>
          <w:bCs/>
          <w:lang w:eastAsia="pl-PL"/>
        </w:rPr>
        <w:t>Świadczenia opieki zdrowotnej finansowane w ramach nowego modelu opieki psychiatrycznej dla dzieci i młodzieży są finansowane ze środków Narodowego Funduszu Zdrowia.</w:t>
      </w:r>
    </w:p>
    <w:p w14:paraId="496D7414" w14:textId="77777777" w:rsidR="00F72842" w:rsidRDefault="00F72842" w:rsidP="00F72842">
      <w:pPr>
        <w:jc w:val="both"/>
        <w:rPr>
          <w:bCs/>
          <w:lang w:eastAsia="pl-PL"/>
        </w:rPr>
      </w:pPr>
      <w:r>
        <w:rPr>
          <w:bCs/>
          <w:lang w:eastAsia="pl-PL"/>
        </w:rPr>
        <w:t>Szacuje się, iż w realizację oczekiwanego rezultatu opisanego w pkt 2 zaangażowana powinna zostać kwota 300 mln zł.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980"/>
        <w:gridCol w:w="790"/>
        <w:gridCol w:w="966"/>
        <w:gridCol w:w="966"/>
        <w:gridCol w:w="1105"/>
        <w:gridCol w:w="829"/>
        <w:gridCol w:w="828"/>
        <w:gridCol w:w="829"/>
        <w:gridCol w:w="798"/>
      </w:tblGrid>
      <w:tr w:rsidR="00F72842" w:rsidRPr="00504AE5" w14:paraId="4CC7B908" w14:textId="77777777" w:rsidTr="009D7EFA">
        <w:trPr>
          <w:trHeight w:val="267"/>
        </w:trPr>
        <w:tc>
          <w:tcPr>
            <w:tcW w:w="9493" w:type="dxa"/>
            <w:gridSpan w:val="10"/>
            <w:shd w:val="clear" w:color="000000" w:fill="65A2D9"/>
            <w:vAlign w:val="center"/>
            <w:hideMark/>
          </w:tcPr>
          <w:p w14:paraId="070B04E7" w14:textId="77777777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0B0">
              <w:rPr>
                <w:rFonts w:ascii="Calibri" w:eastAsia="Times New Roman" w:hAnsi="Calibri" w:cs="Calibri"/>
                <w:color w:val="000000"/>
                <w:lang w:eastAsia="pl-PL"/>
              </w:rPr>
              <w:t>Cel - dostosowanie podmiotów leczniczych do środowiskowego modelu psychiatrycznej opieki zdrowotnej dzieci i młodzieży</w:t>
            </w:r>
          </w:p>
        </w:tc>
      </w:tr>
      <w:tr w:rsidR="00F72842" w:rsidRPr="00504AE5" w14:paraId="1318C079" w14:textId="77777777" w:rsidTr="009D7EFA">
        <w:trPr>
          <w:trHeight w:val="267"/>
        </w:trPr>
        <w:tc>
          <w:tcPr>
            <w:tcW w:w="1402" w:type="dxa"/>
            <w:vMerge w:val="restart"/>
            <w:shd w:val="clear" w:color="000000" w:fill="9CC2E5"/>
            <w:vAlign w:val="center"/>
            <w:hideMark/>
          </w:tcPr>
          <w:p w14:paraId="25123AB4" w14:textId="77777777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>Termin realizacji działań</w:t>
            </w:r>
          </w:p>
        </w:tc>
        <w:tc>
          <w:tcPr>
            <w:tcW w:w="980" w:type="dxa"/>
            <w:shd w:val="clear" w:color="000000" w:fill="9CC2E5"/>
            <w:vAlign w:val="center"/>
            <w:hideMark/>
          </w:tcPr>
          <w:p w14:paraId="4762DA37" w14:textId="77777777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 xml:space="preserve">Nr </w:t>
            </w:r>
            <w:r>
              <w:rPr>
                <w:rFonts w:ascii="Calibri" w:eastAsia="Times New Roman" w:hAnsi="Calibri" w:cs="Calibri"/>
                <w:lang w:val="en-US" w:eastAsia="pl-PL"/>
              </w:rPr>
              <w:t>rezultatu</w:t>
            </w:r>
          </w:p>
        </w:tc>
        <w:tc>
          <w:tcPr>
            <w:tcW w:w="790" w:type="dxa"/>
            <w:shd w:val="clear" w:color="000000" w:fill="9CC2E5"/>
            <w:vAlign w:val="center"/>
            <w:hideMark/>
          </w:tcPr>
          <w:p w14:paraId="365A4D1E" w14:textId="77777777" w:rsidR="00F72842" w:rsidRPr="00504AE5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>2020</w:t>
            </w:r>
          </w:p>
        </w:tc>
        <w:tc>
          <w:tcPr>
            <w:tcW w:w="966" w:type="dxa"/>
            <w:shd w:val="clear" w:color="000000" w:fill="9CC2E5"/>
            <w:vAlign w:val="center"/>
            <w:hideMark/>
          </w:tcPr>
          <w:p w14:paraId="414D4945" w14:textId="77777777" w:rsidR="00F72842" w:rsidRPr="00504AE5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>2021</w:t>
            </w:r>
          </w:p>
        </w:tc>
        <w:tc>
          <w:tcPr>
            <w:tcW w:w="966" w:type="dxa"/>
            <w:shd w:val="clear" w:color="000000" w:fill="9CC2E5"/>
            <w:vAlign w:val="center"/>
            <w:hideMark/>
          </w:tcPr>
          <w:p w14:paraId="4D00BFF2" w14:textId="77777777" w:rsidR="00F72842" w:rsidRPr="00504AE5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>2022</w:t>
            </w:r>
          </w:p>
        </w:tc>
        <w:tc>
          <w:tcPr>
            <w:tcW w:w="1105" w:type="dxa"/>
            <w:shd w:val="clear" w:color="000000" w:fill="9CC2E5"/>
            <w:vAlign w:val="center"/>
            <w:hideMark/>
          </w:tcPr>
          <w:p w14:paraId="30D085A0" w14:textId="77777777" w:rsidR="00F72842" w:rsidRPr="00504AE5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>2023</w:t>
            </w:r>
          </w:p>
        </w:tc>
        <w:tc>
          <w:tcPr>
            <w:tcW w:w="829" w:type="dxa"/>
            <w:shd w:val="clear" w:color="000000" w:fill="9CC2E5"/>
            <w:vAlign w:val="center"/>
            <w:hideMark/>
          </w:tcPr>
          <w:p w14:paraId="4AA31561" w14:textId="77777777" w:rsidR="00F72842" w:rsidRPr="00504AE5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>2024</w:t>
            </w:r>
          </w:p>
        </w:tc>
        <w:tc>
          <w:tcPr>
            <w:tcW w:w="828" w:type="dxa"/>
            <w:shd w:val="clear" w:color="000000" w:fill="9CC2E5"/>
            <w:vAlign w:val="center"/>
            <w:hideMark/>
          </w:tcPr>
          <w:p w14:paraId="6D78044D" w14:textId="77777777" w:rsidR="00F72842" w:rsidRPr="00504AE5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>2025</w:t>
            </w:r>
          </w:p>
        </w:tc>
        <w:tc>
          <w:tcPr>
            <w:tcW w:w="829" w:type="dxa"/>
            <w:shd w:val="clear" w:color="000000" w:fill="9CC2E5"/>
            <w:vAlign w:val="center"/>
            <w:hideMark/>
          </w:tcPr>
          <w:p w14:paraId="3049E48D" w14:textId="77777777" w:rsidR="00F72842" w:rsidRPr="00504AE5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>2026</w:t>
            </w:r>
          </w:p>
        </w:tc>
        <w:tc>
          <w:tcPr>
            <w:tcW w:w="798" w:type="dxa"/>
            <w:shd w:val="clear" w:color="000000" w:fill="9CC2E5"/>
            <w:vAlign w:val="center"/>
            <w:hideMark/>
          </w:tcPr>
          <w:p w14:paraId="1DD1C254" w14:textId="77777777" w:rsidR="00F72842" w:rsidRPr="00504AE5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>2027</w:t>
            </w:r>
          </w:p>
        </w:tc>
      </w:tr>
      <w:tr w:rsidR="00F72842" w:rsidRPr="00504AE5" w14:paraId="7A497326" w14:textId="77777777" w:rsidTr="009D7EFA">
        <w:trPr>
          <w:trHeight w:val="536"/>
        </w:trPr>
        <w:tc>
          <w:tcPr>
            <w:tcW w:w="1402" w:type="dxa"/>
            <w:vMerge/>
            <w:vAlign w:val="center"/>
            <w:hideMark/>
          </w:tcPr>
          <w:p w14:paraId="379C9F06" w14:textId="77777777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0" w:type="dxa"/>
            <w:shd w:val="clear" w:color="000000" w:fill="BDD6EE"/>
            <w:vAlign w:val="center"/>
            <w:hideMark/>
          </w:tcPr>
          <w:p w14:paraId="0E8D8472" w14:textId="77777777" w:rsidR="00F72842" w:rsidRPr="00504AE5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1</w:t>
            </w:r>
          </w:p>
        </w:tc>
        <w:tc>
          <w:tcPr>
            <w:tcW w:w="790" w:type="dxa"/>
            <w:shd w:val="clear" w:color="000000" w:fill="DEEAF6"/>
            <w:vAlign w:val="center"/>
            <w:hideMark/>
          </w:tcPr>
          <w:p w14:paraId="661EC607" w14:textId="252CEBB8" w:rsidR="00F72842" w:rsidRPr="00504AE5" w:rsidRDefault="00F72842" w:rsidP="009D7E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</w:p>
        </w:tc>
        <w:tc>
          <w:tcPr>
            <w:tcW w:w="966" w:type="dxa"/>
            <w:shd w:val="clear" w:color="000000" w:fill="DEEAF6"/>
            <w:vAlign w:val="center"/>
            <w:hideMark/>
          </w:tcPr>
          <w:p w14:paraId="459FF8B9" w14:textId="4B6A3BE2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6" w:type="dxa"/>
            <w:shd w:val="clear" w:color="000000" w:fill="DEEAF6"/>
            <w:vAlign w:val="center"/>
            <w:hideMark/>
          </w:tcPr>
          <w:p w14:paraId="2515A68D" w14:textId="45882B49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5" w:type="dxa"/>
            <w:shd w:val="clear" w:color="000000" w:fill="BDD6EE"/>
            <w:vAlign w:val="center"/>
            <w:hideMark/>
          </w:tcPr>
          <w:p w14:paraId="4AA344CA" w14:textId="13F175BA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9" w:type="dxa"/>
            <w:shd w:val="clear" w:color="000000" w:fill="BDD6EE"/>
            <w:vAlign w:val="center"/>
            <w:hideMark/>
          </w:tcPr>
          <w:p w14:paraId="7492E3DA" w14:textId="313E0AC2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8" w:type="dxa"/>
            <w:shd w:val="clear" w:color="000000" w:fill="BDD6EE"/>
            <w:vAlign w:val="center"/>
            <w:hideMark/>
          </w:tcPr>
          <w:p w14:paraId="423C26AB" w14:textId="1B37DBDB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9" w:type="dxa"/>
            <w:shd w:val="clear" w:color="000000" w:fill="BDD6EE"/>
            <w:vAlign w:val="center"/>
            <w:hideMark/>
          </w:tcPr>
          <w:p w14:paraId="18A44D5C" w14:textId="48FA26B1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98" w:type="dxa"/>
            <w:shd w:val="clear" w:color="000000" w:fill="BDD6EE"/>
            <w:vAlign w:val="center"/>
            <w:hideMark/>
          </w:tcPr>
          <w:p w14:paraId="723870BA" w14:textId="3FAB2EBD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72842" w:rsidRPr="00504AE5" w14:paraId="7C8B56D8" w14:textId="77777777" w:rsidTr="009D7EFA">
        <w:trPr>
          <w:trHeight w:val="1344"/>
        </w:trPr>
        <w:tc>
          <w:tcPr>
            <w:tcW w:w="1402" w:type="dxa"/>
            <w:shd w:val="clear" w:color="000000" w:fill="9CC2E5"/>
            <w:vAlign w:val="center"/>
            <w:hideMark/>
          </w:tcPr>
          <w:p w14:paraId="6ED36214" w14:textId="77777777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>Indykatywne źródła finansowania</w:t>
            </w:r>
          </w:p>
        </w:tc>
        <w:tc>
          <w:tcPr>
            <w:tcW w:w="8091" w:type="dxa"/>
            <w:gridSpan w:val="9"/>
            <w:shd w:val="clear" w:color="000000" w:fill="DEEAF6"/>
            <w:vAlign w:val="center"/>
            <w:hideMark/>
          </w:tcPr>
          <w:p w14:paraId="3E667B0C" w14:textId="004063BE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0B0">
              <w:rPr>
                <w:rFonts w:ascii="Calibri" w:eastAsia="Times New Roman" w:hAnsi="Calibri" w:cs="Calibri"/>
                <w:lang w:eastAsia="pl-PL"/>
              </w:rPr>
              <w:t>1 - Finansowanie ze środków Europejski</w:t>
            </w:r>
            <w:r w:rsidR="00452BB0">
              <w:rPr>
                <w:rFonts w:ascii="Calibri" w:eastAsia="Times New Roman" w:hAnsi="Calibri" w:cs="Calibri"/>
                <w:lang w:eastAsia="pl-PL"/>
              </w:rPr>
              <w:t>ch</w:t>
            </w:r>
          </w:p>
        </w:tc>
      </w:tr>
      <w:tr w:rsidR="00F72842" w:rsidRPr="00504AE5" w14:paraId="770EE473" w14:textId="77777777" w:rsidTr="009D7EFA">
        <w:trPr>
          <w:trHeight w:val="1075"/>
        </w:trPr>
        <w:tc>
          <w:tcPr>
            <w:tcW w:w="1402" w:type="dxa"/>
            <w:shd w:val="clear" w:color="000000" w:fill="9CC2E5"/>
            <w:vAlign w:val="center"/>
            <w:hideMark/>
          </w:tcPr>
          <w:p w14:paraId="088F945C" w14:textId="77777777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4AE5">
              <w:rPr>
                <w:rFonts w:ascii="Calibri" w:eastAsia="Times New Roman" w:hAnsi="Calibri" w:cs="Calibri"/>
                <w:lang w:val="en-US" w:eastAsia="pl-PL"/>
              </w:rPr>
              <w:t>Instytucje koordynujące</w:t>
            </w:r>
          </w:p>
        </w:tc>
        <w:tc>
          <w:tcPr>
            <w:tcW w:w="8091" w:type="dxa"/>
            <w:gridSpan w:val="9"/>
            <w:shd w:val="clear" w:color="000000" w:fill="DEEAF6"/>
            <w:vAlign w:val="center"/>
            <w:hideMark/>
          </w:tcPr>
          <w:p w14:paraId="073B3284" w14:textId="77777777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50DA210" w14:textId="77777777" w:rsidR="00F72842" w:rsidRPr="00504AE5" w:rsidRDefault="00F72842" w:rsidP="009D7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0B0">
              <w:rPr>
                <w:rFonts w:ascii="Calibri" w:eastAsia="Times New Roman" w:hAnsi="Calibri" w:cs="Calibri"/>
                <w:lang w:eastAsia="pl-PL"/>
              </w:rPr>
              <w:t>1 - Ministerstwo Zdrowia we współpracy z Ministerstwem Funduszy i Polityki Regionalnej</w:t>
            </w:r>
          </w:p>
        </w:tc>
      </w:tr>
    </w:tbl>
    <w:p w14:paraId="115F092A" w14:textId="77777777" w:rsidR="00F72842" w:rsidRPr="003613F1" w:rsidRDefault="00F72842" w:rsidP="00F72842">
      <w:pPr>
        <w:jc w:val="both"/>
        <w:rPr>
          <w:bCs/>
          <w:lang w:eastAsia="pl-PL"/>
        </w:rPr>
      </w:pPr>
    </w:p>
    <w:p w14:paraId="05EF4DA1" w14:textId="77777777" w:rsidR="00F72842" w:rsidRDefault="00F72842" w:rsidP="00F72842">
      <w:pP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</w:pPr>
      <w:r w:rsidRPr="00464027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Psychiatria Dorosłych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 i Psychiatria Dzieci i Młodzieży</w:t>
      </w:r>
    </w:p>
    <w:p w14:paraId="4881C3E6" w14:textId="77777777" w:rsidR="00F72842" w:rsidRDefault="00F72842" w:rsidP="00F72842">
      <w:pPr>
        <w:jc w:val="both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5.</w:t>
      </w:r>
      <w:r w:rsidRPr="00EE788F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ab/>
        <w:t>Inwestycje w pacjenta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 </w:t>
      </w:r>
      <w:r w:rsidRPr="00EE788F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 -</w:t>
      </w:r>
      <w:r w:rsidRPr="00716983">
        <w:t xml:space="preserve"> </w:t>
      </w:r>
      <w:r w:rsidRPr="00716983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promocja zdrowia psychicznego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,  p</w:t>
      </w:r>
      <w:r w:rsidRPr="00EE788F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rewencja samob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 xml:space="preserve">ójstw </w:t>
      </w: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br/>
        <w:t xml:space="preserve">i zachowań autodestrukcyjnych </w:t>
      </w:r>
    </w:p>
    <w:p w14:paraId="3545210D" w14:textId="77777777" w:rsidR="00F72842" w:rsidRPr="008372AD" w:rsidRDefault="00F72842" w:rsidP="00F72842">
      <w:pPr>
        <w:rPr>
          <w:rFonts w:ascii="Calibri" w:eastAsia="Calibri" w:hAnsi="Calibri" w:cs="Times New Roman"/>
          <w:b/>
          <w:lang w:eastAsia="pl-PL"/>
        </w:rPr>
      </w:pPr>
      <w:r w:rsidRPr="008372AD">
        <w:rPr>
          <w:rFonts w:ascii="Calibri" w:eastAsia="Calibri" w:hAnsi="Calibri" w:cs="Times New Roman"/>
          <w:b/>
          <w:color w:val="1F4E79"/>
          <w:lang w:eastAsia="pl-PL"/>
        </w:rPr>
        <w:t>Cel szczegółowy:</w:t>
      </w:r>
      <w:r w:rsidRPr="008372AD">
        <w:rPr>
          <w:rFonts w:ascii="Calibri" w:eastAsia="Calibri" w:hAnsi="Calibri" w:cs="Times New Roman"/>
          <w:b/>
          <w:lang w:eastAsia="pl-PL"/>
        </w:rPr>
        <w:t xml:space="preserve"> </w:t>
      </w:r>
    </w:p>
    <w:p w14:paraId="3811C90A" w14:textId="77777777" w:rsidR="00F72842" w:rsidRPr="008372AD" w:rsidRDefault="00F72842" w:rsidP="00F72842">
      <w:pPr>
        <w:jc w:val="both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U</w:t>
      </w:r>
      <w:r w:rsidRPr="000D740C">
        <w:rPr>
          <w:rFonts w:ascii="Calibri" w:eastAsia="Calibri" w:hAnsi="Calibri" w:cs="Times New Roman"/>
          <w:lang w:eastAsia="pl-PL"/>
        </w:rPr>
        <w:t xml:space="preserve">tworzenie Zespołu koordynującego i analitycznego </w:t>
      </w:r>
      <w:r w:rsidRPr="00E708DF">
        <w:rPr>
          <w:rFonts w:ascii="Calibri" w:eastAsia="Calibri" w:hAnsi="Calibri" w:cs="Times New Roman"/>
          <w:lang w:eastAsia="pl-PL"/>
        </w:rPr>
        <w:t>w zakresie wspierania</w:t>
      </w:r>
      <w:r w:rsidRPr="000D740C">
        <w:rPr>
          <w:rFonts w:ascii="Calibri" w:eastAsia="Calibri" w:hAnsi="Calibri" w:cs="Times New Roman"/>
          <w:lang w:eastAsia="pl-PL"/>
        </w:rPr>
        <w:t xml:space="preserve"> działa</w:t>
      </w:r>
      <w:r>
        <w:rPr>
          <w:rFonts w:ascii="Calibri" w:eastAsia="Calibri" w:hAnsi="Calibri" w:cs="Times New Roman"/>
          <w:lang w:eastAsia="pl-PL"/>
        </w:rPr>
        <w:t>ń</w:t>
      </w:r>
      <w:r w:rsidRPr="000D740C">
        <w:rPr>
          <w:rFonts w:ascii="Calibri" w:eastAsia="Calibri" w:hAnsi="Calibri" w:cs="Times New Roman"/>
          <w:lang w:eastAsia="pl-PL"/>
        </w:rPr>
        <w:t xml:space="preserve"> na rzecz zapobiegania zachowaniom samobójczym</w:t>
      </w:r>
      <w:r w:rsidRPr="008372AD">
        <w:rPr>
          <w:rFonts w:ascii="Calibri" w:eastAsia="Calibri" w:hAnsi="Calibri" w:cs="Times New Roman"/>
          <w:lang w:eastAsia="pl-PL"/>
        </w:rPr>
        <w:t>.</w:t>
      </w:r>
    </w:p>
    <w:p w14:paraId="1D5A4BE4" w14:textId="77777777" w:rsidR="00F72842" w:rsidRPr="008372AD" w:rsidRDefault="00F72842" w:rsidP="00F72842">
      <w:pPr>
        <w:spacing w:after="0" w:line="276" w:lineRule="auto"/>
        <w:jc w:val="both"/>
        <w:rPr>
          <w:rFonts w:ascii="Calibri" w:eastAsia="Calibri" w:hAnsi="Calibri" w:cs="Times New Roman"/>
          <w:b/>
          <w:color w:val="1F4E79"/>
          <w:lang w:eastAsia="pl-PL"/>
        </w:rPr>
      </w:pPr>
      <w:r w:rsidRPr="008372AD">
        <w:rPr>
          <w:rFonts w:ascii="Calibri" w:eastAsia="Calibri" w:hAnsi="Calibri" w:cs="Times New Roman"/>
          <w:b/>
          <w:color w:val="1F4E79"/>
          <w:lang w:eastAsia="pl-PL"/>
        </w:rPr>
        <w:lastRenderedPageBreak/>
        <w:t xml:space="preserve">Diagnoza: </w:t>
      </w:r>
    </w:p>
    <w:p w14:paraId="2C1E39B4" w14:textId="78708254" w:rsidR="00F72842" w:rsidRPr="008372AD" w:rsidRDefault="00F72842" w:rsidP="00F72842">
      <w:pPr>
        <w:spacing w:before="120" w:after="120" w:line="276" w:lineRule="auto"/>
        <w:jc w:val="both"/>
        <w:rPr>
          <w:rFonts w:ascii="Calibri" w:eastAsia="Calibri" w:hAnsi="Calibri" w:cs="Times New Roman"/>
        </w:rPr>
      </w:pPr>
      <w:r w:rsidRPr="008372AD">
        <w:rPr>
          <w:rFonts w:ascii="Calibri" w:eastAsia="Calibri" w:hAnsi="Calibri" w:cs="Times New Roman"/>
        </w:rPr>
        <w:t xml:space="preserve">Na podstawie danych statystycznych gromadzonych przez Policję wynika, że w 2018 r. podejmowanych było 11167 zamachów samobójczych z czego 5182 zakończyło się zgonem, w tym: 4471 mężczyzn </w:t>
      </w:r>
      <w:r w:rsidR="007F6F30">
        <w:rPr>
          <w:rFonts w:ascii="Calibri" w:eastAsia="Calibri" w:hAnsi="Calibri" w:cs="Times New Roman"/>
        </w:rPr>
        <w:br/>
      </w:r>
      <w:r w:rsidRPr="008372AD">
        <w:rPr>
          <w:rFonts w:ascii="Calibri" w:eastAsia="Calibri" w:hAnsi="Calibri" w:cs="Times New Roman"/>
        </w:rPr>
        <w:t xml:space="preserve">i 711 kobiet. </w:t>
      </w:r>
    </w:p>
    <w:p w14:paraId="1E9879FF" w14:textId="38727042" w:rsidR="00F72842" w:rsidRPr="008372AD" w:rsidRDefault="00F72842" w:rsidP="00F72842">
      <w:pPr>
        <w:spacing w:before="120" w:after="120" w:line="276" w:lineRule="auto"/>
        <w:jc w:val="both"/>
        <w:rPr>
          <w:rFonts w:ascii="Calibri" w:eastAsia="Calibri" w:hAnsi="Calibri" w:cs="Times New Roman"/>
        </w:rPr>
      </w:pPr>
      <w:r w:rsidRPr="008372AD">
        <w:rPr>
          <w:rFonts w:ascii="Calibri" w:eastAsia="Calibri" w:hAnsi="Calibri" w:cs="Times New Roman"/>
        </w:rPr>
        <w:t>Liczba samobójstw była najniższa w 2008 r. i wynosiła 3</w:t>
      </w:r>
      <w:r w:rsidR="00AC6C4D">
        <w:rPr>
          <w:rFonts w:ascii="Calibri" w:eastAsia="Calibri" w:hAnsi="Calibri" w:cs="Times New Roman"/>
        </w:rPr>
        <w:t xml:space="preserve"> </w:t>
      </w:r>
      <w:r w:rsidRPr="008372AD">
        <w:rPr>
          <w:rFonts w:ascii="Calibri" w:eastAsia="Calibri" w:hAnsi="Calibri" w:cs="Times New Roman"/>
        </w:rPr>
        <w:t xml:space="preserve">964 osoby, natomiast od 2013 r. liczba samobójstw zakończonych zgonem sukcesywnie maleje.   </w:t>
      </w:r>
    </w:p>
    <w:p w14:paraId="5A8CE9AD" w14:textId="0F44C508" w:rsidR="00F72842" w:rsidRPr="008372AD" w:rsidRDefault="00F72842" w:rsidP="00F72842">
      <w:pPr>
        <w:spacing w:before="120" w:after="120" w:line="276" w:lineRule="auto"/>
        <w:jc w:val="both"/>
        <w:rPr>
          <w:rFonts w:ascii="Calibri" w:eastAsia="Calibri" w:hAnsi="Calibri" w:cs="Times New Roman"/>
        </w:rPr>
      </w:pPr>
      <w:r w:rsidRPr="008372AD">
        <w:rPr>
          <w:rFonts w:ascii="Calibri" w:eastAsia="Calibri" w:hAnsi="Calibri" w:cs="Times New Roman"/>
        </w:rPr>
        <w:t>Najczęstszym powodem podjęcia próby samobójczej było zaburzenie psychiczne (2</w:t>
      </w:r>
      <w:r w:rsidR="00AC6C4D">
        <w:rPr>
          <w:rFonts w:ascii="Calibri" w:eastAsia="Calibri" w:hAnsi="Calibri" w:cs="Times New Roman"/>
        </w:rPr>
        <w:t xml:space="preserve"> </w:t>
      </w:r>
      <w:r w:rsidRPr="008372AD">
        <w:rPr>
          <w:rFonts w:ascii="Calibri" w:eastAsia="Calibri" w:hAnsi="Calibri" w:cs="Times New Roman"/>
        </w:rPr>
        <w:t xml:space="preserve">434), drugim </w:t>
      </w:r>
      <w:r w:rsidR="007F6F30">
        <w:rPr>
          <w:rFonts w:ascii="Calibri" w:eastAsia="Calibri" w:hAnsi="Calibri" w:cs="Times New Roman"/>
        </w:rPr>
        <w:br/>
      </w:r>
      <w:r w:rsidRPr="008372AD">
        <w:rPr>
          <w:rFonts w:ascii="Calibri" w:eastAsia="Calibri" w:hAnsi="Calibri" w:cs="Times New Roman"/>
        </w:rPr>
        <w:t>w kolejności były nieporozumienia/przemoc w rodzinie (1 191). W 2018 r. mężczyźni umierali przez samobójstwo częściej niż kobiety (4</w:t>
      </w:r>
      <w:r w:rsidR="00AC6C4D">
        <w:rPr>
          <w:rFonts w:ascii="Calibri" w:eastAsia="Calibri" w:hAnsi="Calibri" w:cs="Times New Roman"/>
        </w:rPr>
        <w:t xml:space="preserve"> </w:t>
      </w:r>
      <w:r w:rsidRPr="008372AD">
        <w:rPr>
          <w:rFonts w:ascii="Calibri" w:eastAsia="Calibri" w:hAnsi="Calibri" w:cs="Times New Roman"/>
        </w:rPr>
        <w:t xml:space="preserve">477 - mężczyźni i 711 - kobiety).  Najwyższy wskaźnik samobójstw w liczbie 565 odnotowano wśród osób dorosłych w wieku od 60 do 64 lat. Drugi co do wielkości wskaźnik (551) wystąpił u osób w wieku 55-59 lat lub młodszych w wieku 40-44 lat (472). W grupach młodszych odsetek samobójstw był stale niższy niż u osób w średnim i starszym wieku. </w:t>
      </w:r>
    </w:p>
    <w:p w14:paraId="6AED7AF8" w14:textId="57AE05F3" w:rsidR="00F72842" w:rsidRPr="008372AD" w:rsidRDefault="00F72842" w:rsidP="00F72842">
      <w:pPr>
        <w:spacing w:before="120" w:after="120" w:line="276" w:lineRule="auto"/>
        <w:jc w:val="both"/>
        <w:rPr>
          <w:rFonts w:ascii="Calibri" w:eastAsia="Calibri" w:hAnsi="Calibri" w:cs="Times New Roman"/>
          <w:color w:val="1F4E79"/>
          <w:lang w:eastAsia="pl-PL"/>
        </w:rPr>
      </w:pPr>
      <w:r w:rsidRPr="008372AD">
        <w:rPr>
          <w:rFonts w:ascii="Calibri" w:eastAsia="Calibri" w:hAnsi="Calibri" w:cs="Times New Roman"/>
        </w:rPr>
        <w:t xml:space="preserve">Należy zauważyć, iż w raporcie NIZP-PZH pt. </w:t>
      </w:r>
      <w:r w:rsidRPr="008372AD">
        <w:rPr>
          <w:rFonts w:ascii="Calibri" w:eastAsia="Calibri" w:hAnsi="Calibri" w:cs="Times New Roman"/>
          <w:i/>
          <w:iCs/>
        </w:rPr>
        <w:t xml:space="preserve">Sytuacja zdrowotna ludności Polski i jej uwarunkowania </w:t>
      </w:r>
      <w:r w:rsidRPr="008372AD">
        <w:rPr>
          <w:rFonts w:ascii="Calibri" w:eastAsia="Calibri" w:hAnsi="Calibri" w:cs="Times New Roman"/>
        </w:rPr>
        <w:t>(rok wydania - 2018) wskazano, iż „wśród zewnętrznych przyczyn zgonów najczęstszą przyczyną utraty życia w 2016 r. były samobójstwa. Są one znacznie większym (o 63%) zagrożeniem życia mężczyzn mieszkających na wsi niż kobiet mieszkających w miastach.  We wszystkich województwach poziom umieralności z powodu samobójstw mieszkańców wsi był znacznie wyższy niż mieszkańców miast. Największa względna różnica poziomów umieralności na wsi i w miastach odnotowano w woj. lubelskim, a następnie mazowieckim, warmińsko-mazurskim i łódzkim. Zdecydowanie najniższe zagrożenie życia z powodu samobójstw było w woj. śląskim, które jest jedynym województwem, gdzie współczynnik zgonów mieszkańców wsi jest niższy od przeciętnego dla całego kraju. Tak duże różnice wskaźników między mieszkańcami miast i wsi mogą wskazywać na duże braki w zaspokojeniu potrzeb związanych ze zdrowiem psychicznym”.</w:t>
      </w:r>
    </w:p>
    <w:p w14:paraId="3393763A" w14:textId="77777777" w:rsidR="00F72842" w:rsidRPr="008372AD" w:rsidRDefault="00F72842" w:rsidP="00F72842">
      <w:pPr>
        <w:rPr>
          <w:rFonts w:ascii="Calibri" w:eastAsia="Calibri" w:hAnsi="Calibri" w:cs="Times New Roman"/>
          <w:b/>
          <w:color w:val="1F4E79"/>
          <w:lang w:eastAsia="pl-PL"/>
        </w:rPr>
      </w:pPr>
      <w:r w:rsidRPr="008372AD">
        <w:rPr>
          <w:rFonts w:ascii="Calibri" w:eastAsia="Calibri" w:hAnsi="Calibri" w:cs="Times New Roman"/>
          <w:b/>
          <w:color w:val="1F4E79"/>
          <w:lang w:eastAsia="pl-PL"/>
        </w:rPr>
        <w:t>Oczekiwany rezultat:</w:t>
      </w:r>
    </w:p>
    <w:p w14:paraId="3B2B6BE8" w14:textId="77777777" w:rsidR="00F72842" w:rsidRDefault="00F72842" w:rsidP="00F72842">
      <w:pPr>
        <w:jc w:val="both"/>
        <w:rPr>
          <w:rFonts w:ascii="Calibri" w:eastAsia="Calibri" w:hAnsi="Calibri" w:cs="Times New Roman"/>
          <w:b/>
          <w:lang w:eastAsia="pl-PL"/>
        </w:rPr>
      </w:pPr>
      <w:r w:rsidRPr="008372AD">
        <w:rPr>
          <w:rFonts w:ascii="Calibri" w:eastAsia="Calibri" w:hAnsi="Calibri" w:cs="Times New Roman"/>
          <w:b/>
          <w:lang w:eastAsia="pl-PL"/>
        </w:rPr>
        <w:t>1.</w:t>
      </w:r>
      <w:r w:rsidRPr="008372AD">
        <w:rPr>
          <w:rFonts w:ascii="Calibri" w:eastAsia="Calibri" w:hAnsi="Calibri" w:cs="Times New Roman"/>
          <w:lang w:eastAsia="pl-PL"/>
        </w:rPr>
        <w:t xml:space="preserve"> </w:t>
      </w:r>
      <w:r w:rsidRPr="008372AD">
        <w:rPr>
          <w:rFonts w:ascii="Calibri" w:eastAsia="Calibri" w:hAnsi="Calibri" w:cs="Times New Roman"/>
          <w:b/>
          <w:lang w:eastAsia="pl-PL"/>
        </w:rPr>
        <w:t xml:space="preserve">do 2021 r. </w:t>
      </w:r>
      <w:bookmarkStart w:id="23" w:name="_Hlk39742382"/>
      <w:r>
        <w:rPr>
          <w:rFonts w:ascii="Calibri" w:eastAsia="Calibri" w:hAnsi="Calibri" w:cs="Times New Roman"/>
          <w:b/>
          <w:lang w:eastAsia="pl-PL"/>
        </w:rPr>
        <w:t xml:space="preserve">utworzenie Zespołu </w:t>
      </w:r>
      <w:r w:rsidRPr="008372AD">
        <w:rPr>
          <w:rFonts w:ascii="Calibri" w:eastAsia="Calibri" w:hAnsi="Calibri" w:cs="Times New Roman"/>
          <w:b/>
          <w:lang w:eastAsia="pl-PL"/>
        </w:rPr>
        <w:t xml:space="preserve">koordynującego i </w:t>
      </w:r>
      <w:r>
        <w:rPr>
          <w:rFonts w:ascii="Calibri" w:eastAsia="Calibri" w:hAnsi="Calibri" w:cs="Times New Roman"/>
          <w:b/>
          <w:lang w:eastAsia="pl-PL"/>
        </w:rPr>
        <w:t>analitycznego</w:t>
      </w:r>
      <w:r w:rsidRPr="008372AD">
        <w:rPr>
          <w:rFonts w:ascii="Calibri" w:eastAsia="Calibri" w:hAnsi="Calibri" w:cs="Times New Roman"/>
          <w:b/>
          <w:lang w:eastAsia="pl-PL"/>
        </w:rPr>
        <w:t xml:space="preserve"> </w:t>
      </w:r>
      <w:r>
        <w:rPr>
          <w:rFonts w:ascii="Calibri" w:eastAsia="Calibri" w:hAnsi="Calibri" w:cs="Times New Roman"/>
          <w:b/>
          <w:lang w:eastAsia="pl-PL"/>
        </w:rPr>
        <w:t xml:space="preserve">w zakresie wspierania działań </w:t>
      </w:r>
      <w:r w:rsidRPr="008372AD">
        <w:rPr>
          <w:rFonts w:ascii="Calibri" w:eastAsia="Calibri" w:hAnsi="Calibri" w:cs="Times New Roman"/>
          <w:b/>
          <w:lang w:eastAsia="pl-PL"/>
        </w:rPr>
        <w:t>na rzecz zapobiegania zachowaniom samobójczym.</w:t>
      </w:r>
    </w:p>
    <w:bookmarkEnd w:id="23"/>
    <w:p w14:paraId="0BD77F26" w14:textId="77777777" w:rsidR="00F72842" w:rsidRPr="008372AD" w:rsidRDefault="00F72842" w:rsidP="00F72842">
      <w:pPr>
        <w:rPr>
          <w:rFonts w:ascii="Calibri" w:eastAsia="Calibri" w:hAnsi="Calibri" w:cs="Times New Roman"/>
          <w:b/>
          <w:color w:val="1F4E79"/>
          <w:lang w:eastAsia="pl-PL"/>
        </w:rPr>
      </w:pPr>
      <w:r w:rsidRPr="008372AD">
        <w:rPr>
          <w:rFonts w:ascii="Calibri" w:eastAsia="Calibri" w:hAnsi="Calibri" w:cs="Times New Roman"/>
          <w:b/>
          <w:color w:val="1F4E79"/>
          <w:lang w:eastAsia="pl-PL"/>
        </w:rPr>
        <w:t>Działania</w:t>
      </w:r>
    </w:p>
    <w:p w14:paraId="65357C71" w14:textId="5C4788C4" w:rsidR="00F72842" w:rsidRPr="008372AD" w:rsidRDefault="00F72842" w:rsidP="00F72842">
      <w:pPr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Mając na uwadze podejmowane działania w kraju na rzecz </w:t>
      </w:r>
      <w:r w:rsidRPr="008372AD">
        <w:rPr>
          <w:rFonts w:ascii="Calibri" w:eastAsia="Calibri" w:hAnsi="Calibri" w:cs="Times New Roman"/>
          <w:iCs/>
        </w:rPr>
        <w:t xml:space="preserve">zapobiegania </w:t>
      </w:r>
      <w:r>
        <w:rPr>
          <w:rFonts w:ascii="Calibri" w:eastAsia="Calibri" w:hAnsi="Calibri" w:cs="Times New Roman"/>
          <w:iCs/>
        </w:rPr>
        <w:t xml:space="preserve">zachowaniom samobójczym wydaje się zasadne utworzenie Zespołu, który </w:t>
      </w:r>
      <w:r w:rsidR="00B003E4">
        <w:rPr>
          <w:rFonts w:ascii="Calibri" w:eastAsia="Calibri" w:hAnsi="Calibri" w:cs="Times New Roman"/>
          <w:iCs/>
        </w:rPr>
        <w:t>będzie podejmował</w:t>
      </w:r>
      <w:r w:rsidR="00B003E4" w:rsidRPr="008372AD">
        <w:rPr>
          <w:rFonts w:ascii="Calibri" w:eastAsia="Calibri" w:hAnsi="Calibri" w:cs="Times New Roman"/>
          <w:iCs/>
        </w:rPr>
        <w:t xml:space="preserve"> </w:t>
      </w:r>
      <w:r w:rsidRPr="008372AD">
        <w:rPr>
          <w:rFonts w:ascii="Calibri" w:eastAsia="Calibri" w:hAnsi="Calibri" w:cs="Times New Roman"/>
          <w:iCs/>
        </w:rPr>
        <w:t xml:space="preserve">zadania </w:t>
      </w:r>
      <w:r>
        <w:rPr>
          <w:rFonts w:ascii="Calibri" w:eastAsia="Calibri" w:hAnsi="Calibri" w:cs="Times New Roman"/>
          <w:iCs/>
        </w:rPr>
        <w:t xml:space="preserve">z obszaru </w:t>
      </w:r>
      <w:r w:rsidRPr="008372AD">
        <w:rPr>
          <w:rFonts w:ascii="Calibri" w:eastAsia="Calibri" w:hAnsi="Calibri" w:cs="Times New Roman"/>
          <w:iCs/>
        </w:rPr>
        <w:t xml:space="preserve">analiz zachowań samobójczych w różnych populacjach, </w:t>
      </w:r>
      <w:r w:rsidR="00B003E4">
        <w:rPr>
          <w:rFonts w:ascii="Calibri" w:eastAsia="Calibri" w:hAnsi="Calibri" w:cs="Times New Roman"/>
          <w:iCs/>
        </w:rPr>
        <w:t xml:space="preserve">będzie prowadził </w:t>
      </w:r>
      <w:r w:rsidRPr="008372AD">
        <w:rPr>
          <w:rFonts w:ascii="Calibri" w:eastAsia="Calibri" w:hAnsi="Calibri" w:cs="Times New Roman"/>
          <w:iCs/>
        </w:rPr>
        <w:t>konsultacje eksperckie</w:t>
      </w:r>
      <w:r w:rsidR="00B003E4">
        <w:rPr>
          <w:rFonts w:ascii="Calibri" w:eastAsia="Calibri" w:hAnsi="Calibri" w:cs="Times New Roman"/>
          <w:iCs/>
        </w:rPr>
        <w:t xml:space="preserve"> i</w:t>
      </w:r>
      <w:r w:rsidRPr="008372AD">
        <w:rPr>
          <w:rFonts w:ascii="Calibri" w:eastAsia="Calibri" w:hAnsi="Calibri" w:cs="Times New Roman"/>
          <w:iCs/>
        </w:rPr>
        <w:t xml:space="preserve"> wspierał merytorycznie działania regionalne i lokalne.</w:t>
      </w:r>
      <w:r>
        <w:rPr>
          <w:rFonts w:ascii="Calibri" w:eastAsia="Calibri" w:hAnsi="Calibri" w:cs="Times New Roman"/>
          <w:iCs/>
        </w:rPr>
        <w:t xml:space="preserve"> Zespół </w:t>
      </w:r>
      <w:r w:rsidR="00B003E4">
        <w:rPr>
          <w:rFonts w:ascii="Calibri" w:eastAsia="Calibri" w:hAnsi="Calibri" w:cs="Times New Roman"/>
          <w:iCs/>
        </w:rPr>
        <w:t>będzie również oferował</w:t>
      </w:r>
      <w:r>
        <w:rPr>
          <w:rFonts w:ascii="Calibri" w:eastAsia="Calibri" w:hAnsi="Calibri" w:cs="Times New Roman"/>
          <w:iCs/>
        </w:rPr>
        <w:t xml:space="preserve"> wsparcie </w:t>
      </w:r>
      <w:r w:rsidRPr="008372AD">
        <w:rPr>
          <w:rFonts w:ascii="Calibri" w:eastAsia="Calibri" w:hAnsi="Calibri" w:cs="Times New Roman"/>
          <w:iCs/>
        </w:rPr>
        <w:t>organizacj</w:t>
      </w:r>
      <w:r>
        <w:rPr>
          <w:rFonts w:ascii="Calibri" w:eastAsia="Calibri" w:hAnsi="Calibri" w:cs="Times New Roman"/>
          <w:iCs/>
        </w:rPr>
        <w:t>om</w:t>
      </w:r>
      <w:r w:rsidRPr="008372AD">
        <w:rPr>
          <w:rFonts w:ascii="Calibri" w:eastAsia="Calibri" w:hAnsi="Calibri" w:cs="Times New Roman"/>
          <w:iCs/>
        </w:rPr>
        <w:t xml:space="preserve"> w </w:t>
      </w:r>
      <w:r>
        <w:rPr>
          <w:rFonts w:ascii="Calibri" w:eastAsia="Calibri" w:hAnsi="Calibri" w:cs="Times New Roman"/>
          <w:iCs/>
        </w:rPr>
        <w:t>zakresie właściwego kierunku i adaptacji</w:t>
      </w:r>
      <w:r w:rsidRPr="008372AD">
        <w:rPr>
          <w:rFonts w:ascii="Calibri" w:eastAsia="Calibri" w:hAnsi="Calibri" w:cs="Times New Roman"/>
          <w:iCs/>
        </w:rPr>
        <w:t xml:space="preserve"> </w:t>
      </w:r>
      <w:r>
        <w:rPr>
          <w:rFonts w:ascii="Calibri" w:eastAsia="Calibri" w:hAnsi="Calibri" w:cs="Times New Roman"/>
          <w:iCs/>
        </w:rPr>
        <w:t>właściwych działań</w:t>
      </w:r>
      <w:r w:rsidRPr="008372AD">
        <w:rPr>
          <w:rFonts w:ascii="Calibri" w:eastAsia="Calibri" w:hAnsi="Calibri" w:cs="Times New Roman"/>
          <w:iCs/>
        </w:rPr>
        <w:t xml:space="preserve"> </w:t>
      </w:r>
      <w:r>
        <w:rPr>
          <w:rFonts w:ascii="Calibri" w:eastAsia="Calibri" w:hAnsi="Calibri" w:cs="Times New Roman"/>
          <w:iCs/>
        </w:rPr>
        <w:t xml:space="preserve">na rzecz </w:t>
      </w:r>
      <w:r w:rsidRPr="008372AD">
        <w:rPr>
          <w:rFonts w:ascii="Calibri" w:eastAsia="Calibri" w:hAnsi="Calibri" w:cs="Times New Roman"/>
          <w:iCs/>
        </w:rPr>
        <w:t>zapobiegania samobójstwom opartych na dowodach naukowych.</w:t>
      </w:r>
      <w:r w:rsidRPr="000D740C">
        <w:t xml:space="preserve"> </w:t>
      </w:r>
      <w:r>
        <w:t xml:space="preserve">Niezbędne jest także koordynacja Zespołu w zakresie </w:t>
      </w:r>
      <w:r w:rsidRPr="000D740C">
        <w:rPr>
          <w:rFonts w:ascii="Calibri" w:eastAsia="Calibri" w:hAnsi="Calibri" w:cs="Times New Roman"/>
          <w:iCs/>
        </w:rPr>
        <w:t>działań po zakończeniu interwencj</w:t>
      </w:r>
      <w:r>
        <w:rPr>
          <w:rFonts w:ascii="Calibri" w:eastAsia="Calibri" w:hAnsi="Calibri" w:cs="Times New Roman"/>
          <w:iCs/>
        </w:rPr>
        <w:t>i (samobójczej).</w:t>
      </w:r>
      <w:r w:rsidR="001C4EB4" w:rsidRPr="001C4EB4">
        <w:t xml:space="preserve"> </w:t>
      </w:r>
      <w:r w:rsidR="001C4EB4" w:rsidRPr="001C4EB4">
        <w:rPr>
          <w:rFonts w:ascii="Calibri" w:eastAsia="Calibri" w:hAnsi="Calibri" w:cs="Times New Roman"/>
          <w:iCs/>
        </w:rPr>
        <w:t>Zapewnienie wsparcia od momentu wystąpienia kryzysu do momentu jego rozwiązania</w:t>
      </w:r>
      <w:r w:rsidR="001C4EB4">
        <w:rPr>
          <w:rStyle w:val="Odwoaniedokomentarza"/>
        </w:rPr>
        <w:t>.</w:t>
      </w:r>
    </w:p>
    <w:p w14:paraId="4FF3D843" w14:textId="77777777" w:rsidR="00F72842" w:rsidRPr="008372AD" w:rsidRDefault="00F72842" w:rsidP="00F72842">
      <w:pPr>
        <w:jc w:val="both"/>
        <w:rPr>
          <w:rFonts w:ascii="Calibri" w:eastAsia="Calibri" w:hAnsi="Calibri" w:cs="Times New Roman"/>
          <w:lang w:eastAsia="pl-PL"/>
        </w:rPr>
      </w:pPr>
      <w:r w:rsidRPr="008372AD">
        <w:rPr>
          <w:rFonts w:ascii="Calibri" w:eastAsia="Calibri" w:hAnsi="Calibri" w:cs="Times New Roman"/>
          <w:lang w:eastAsia="pl-PL"/>
        </w:rPr>
        <w:t xml:space="preserve">Priorytetowe </w:t>
      </w:r>
      <w:r>
        <w:rPr>
          <w:rFonts w:ascii="Calibri" w:eastAsia="Calibri" w:hAnsi="Calibri" w:cs="Times New Roman"/>
          <w:lang w:eastAsia="pl-PL"/>
        </w:rPr>
        <w:t>działania Zespołu</w:t>
      </w:r>
      <w:r w:rsidRPr="008372AD">
        <w:rPr>
          <w:rFonts w:ascii="Calibri" w:eastAsia="Calibri" w:hAnsi="Calibri" w:cs="Times New Roman"/>
          <w:lang w:eastAsia="pl-PL"/>
        </w:rPr>
        <w:t xml:space="preserve"> powinny obejmować</w:t>
      </w:r>
      <w:r>
        <w:rPr>
          <w:rFonts w:ascii="Calibri" w:eastAsia="Calibri" w:hAnsi="Calibri" w:cs="Times New Roman"/>
          <w:lang w:eastAsia="pl-PL"/>
        </w:rPr>
        <w:t xml:space="preserve"> niniejszy obszar:</w:t>
      </w:r>
    </w:p>
    <w:p w14:paraId="58BC5AAE" w14:textId="032D5DC3" w:rsidR="00F72842" w:rsidRPr="008372AD" w:rsidRDefault="00F72842" w:rsidP="00F72842">
      <w:pPr>
        <w:numPr>
          <w:ilvl w:val="0"/>
          <w:numId w:val="6"/>
        </w:numPr>
        <w:spacing w:after="0"/>
        <w:jc w:val="both"/>
        <w:rPr>
          <w:rFonts w:ascii="Calibri" w:eastAsia="Calibri" w:hAnsi="Calibri" w:cs="Times New Roman"/>
          <w:iCs/>
        </w:rPr>
      </w:pPr>
      <w:r w:rsidRPr="008372AD">
        <w:rPr>
          <w:rFonts w:ascii="Calibri" w:eastAsia="Calibri" w:hAnsi="Calibri" w:cs="Times New Roman"/>
          <w:b/>
          <w:bCs/>
          <w:iCs/>
        </w:rPr>
        <w:t>Zapewnienie szybkiego dostępu do pomocy w kryzysie psychicznym</w:t>
      </w:r>
      <w:r w:rsidRPr="008372AD">
        <w:rPr>
          <w:rFonts w:ascii="Calibri" w:eastAsia="Calibri" w:hAnsi="Calibri" w:cs="Times New Roman"/>
          <w:iCs/>
        </w:rPr>
        <w:br/>
        <w:t xml:space="preserve">Konieczne jest zorganizowanie szybkiego dostępu do pomocy osobom w kryzysie psychicznym, zagrożeniu życia oraz osobom z grup ryzyka, w tym szczególnie osobom po próbach samobójczych. Niezwykle ważne jest również zapewnienie wsparcia i pomocy rodzinie </w:t>
      </w:r>
      <w:r w:rsidRPr="008372AD">
        <w:rPr>
          <w:rFonts w:ascii="Calibri" w:eastAsia="Calibri" w:hAnsi="Calibri" w:cs="Times New Roman"/>
          <w:iCs/>
        </w:rPr>
        <w:br/>
        <w:t xml:space="preserve">i bliskim, co stanowi kluczowy mechanizm chroniący w zapobieganiu samobójstwom </w:t>
      </w:r>
      <w:r w:rsidRPr="008372AD">
        <w:rPr>
          <w:rFonts w:ascii="Calibri" w:eastAsia="Calibri" w:hAnsi="Calibri" w:cs="Times New Roman"/>
          <w:iCs/>
        </w:rPr>
        <w:lastRenderedPageBreak/>
        <w:t xml:space="preserve">(postwencja). Rozwój </w:t>
      </w:r>
      <w:r w:rsidR="00A313DF">
        <w:rPr>
          <w:rFonts w:ascii="Calibri" w:eastAsia="Calibri" w:hAnsi="Calibri" w:cs="Times New Roman"/>
          <w:iCs/>
        </w:rPr>
        <w:t>c</w:t>
      </w:r>
      <w:r w:rsidRPr="008372AD">
        <w:rPr>
          <w:rFonts w:ascii="Calibri" w:eastAsia="Calibri" w:hAnsi="Calibri" w:cs="Times New Roman"/>
          <w:iCs/>
        </w:rPr>
        <w:t xml:space="preserve">entrów </w:t>
      </w:r>
      <w:r w:rsidR="00A313DF">
        <w:rPr>
          <w:rFonts w:ascii="Calibri" w:eastAsia="Calibri" w:hAnsi="Calibri" w:cs="Times New Roman"/>
          <w:iCs/>
        </w:rPr>
        <w:t>z</w:t>
      </w:r>
      <w:r w:rsidRPr="008372AD">
        <w:rPr>
          <w:rFonts w:ascii="Calibri" w:eastAsia="Calibri" w:hAnsi="Calibri" w:cs="Times New Roman"/>
          <w:iCs/>
        </w:rPr>
        <w:t xml:space="preserve">drowia </w:t>
      </w:r>
      <w:r w:rsidR="00A313DF">
        <w:rPr>
          <w:rFonts w:ascii="Calibri" w:eastAsia="Calibri" w:hAnsi="Calibri" w:cs="Times New Roman"/>
          <w:iCs/>
        </w:rPr>
        <w:t>p</w:t>
      </w:r>
      <w:r w:rsidRPr="008372AD">
        <w:rPr>
          <w:rFonts w:ascii="Calibri" w:eastAsia="Calibri" w:hAnsi="Calibri" w:cs="Times New Roman"/>
          <w:iCs/>
        </w:rPr>
        <w:t>sychicznego oraz Punktów Zgłoszeniowo-Koordynacyjnych.</w:t>
      </w:r>
    </w:p>
    <w:p w14:paraId="4CEFA4F8" w14:textId="77777777" w:rsidR="00F72842" w:rsidRPr="008372AD" w:rsidRDefault="00F72842" w:rsidP="00F72842">
      <w:pPr>
        <w:spacing w:after="0"/>
        <w:ind w:left="360"/>
        <w:jc w:val="both"/>
        <w:rPr>
          <w:rFonts w:ascii="Calibri" w:eastAsia="Calibri" w:hAnsi="Calibri" w:cs="Times New Roman"/>
          <w:iCs/>
        </w:rPr>
      </w:pPr>
    </w:p>
    <w:p w14:paraId="20989D2E" w14:textId="5DAB025E" w:rsidR="00F72842" w:rsidRPr="008372AD" w:rsidRDefault="00F72842" w:rsidP="00F72842">
      <w:pPr>
        <w:numPr>
          <w:ilvl w:val="0"/>
          <w:numId w:val="7"/>
        </w:numPr>
        <w:spacing w:after="0"/>
        <w:jc w:val="both"/>
        <w:rPr>
          <w:rFonts w:ascii="Calibri" w:eastAsia="Calibri" w:hAnsi="Calibri" w:cs="Times New Roman"/>
          <w:iCs/>
        </w:rPr>
      </w:pPr>
      <w:r w:rsidRPr="008372AD">
        <w:rPr>
          <w:rFonts w:ascii="Calibri" w:eastAsia="Calibri" w:hAnsi="Calibri" w:cs="Times New Roman"/>
          <w:b/>
          <w:bCs/>
          <w:iCs/>
        </w:rPr>
        <w:t>Poprawę dostępu do leczenia osób z problemami psychicznymi</w:t>
      </w:r>
      <w:r w:rsidRPr="008372AD">
        <w:rPr>
          <w:rFonts w:ascii="Calibri" w:eastAsia="Calibri" w:hAnsi="Calibri" w:cs="Times New Roman"/>
          <w:iCs/>
        </w:rPr>
        <w:br/>
        <w:t xml:space="preserve">Podjęcie działań zwiększających szybki dostęp do kompleksowej pomocy leczniczej dla osób cierpiących na depresję, uzależnienia i inne zaburzenia psychiczne. Jest to szczególnie pilne zadanie w zakresie opieki psychologiczno-psychiatrycznej dla dzieci i młodzieży. Rozwój </w:t>
      </w:r>
      <w:r w:rsidR="00A313DF">
        <w:rPr>
          <w:rFonts w:ascii="Calibri" w:eastAsia="Calibri" w:hAnsi="Calibri" w:cs="Times New Roman"/>
          <w:iCs/>
        </w:rPr>
        <w:t>c</w:t>
      </w:r>
      <w:r w:rsidRPr="008372AD">
        <w:rPr>
          <w:rFonts w:ascii="Calibri" w:eastAsia="Calibri" w:hAnsi="Calibri" w:cs="Times New Roman"/>
          <w:iCs/>
        </w:rPr>
        <w:t xml:space="preserve">entrów </w:t>
      </w:r>
      <w:r w:rsidR="00A313DF">
        <w:rPr>
          <w:rFonts w:ascii="Calibri" w:eastAsia="Calibri" w:hAnsi="Calibri" w:cs="Times New Roman"/>
          <w:iCs/>
        </w:rPr>
        <w:t>z</w:t>
      </w:r>
      <w:r w:rsidRPr="008372AD">
        <w:rPr>
          <w:rFonts w:ascii="Calibri" w:eastAsia="Calibri" w:hAnsi="Calibri" w:cs="Times New Roman"/>
          <w:iCs/>
        </w:rPr>
        <w:t xml:space="preserve">drowia </w:t>
      </w:r>
      <w:r w:rsidR="00A313DF">
        <w:rPr>
          <w:rFonts w:ascii="Calibri" w:eastAsia="Calibri" w:hAnsi="Calibri" w:cs="Times New Roman"/>
          <w:iCs/>
        </w:rPr>
        <w:t>p</w:t>
      </w:r>
      <w:r w:rsidRPr="008372AD">
        <w:rPr>
          <w:rFonts w:ascii="Calibri" w:eastAsia="Calibri" w:hAnsi="Calibri" w:cs="Times New Roman"/>
          <w:iCs/>
        </w:rPr>
        <w:t xml:space="preserve">sychicznego oraz Punktów Zgłoszeniowo-Koordynacyjnych. </w:t>
      </w:r>
      <w:r w:rsidR="001C4EB4">
        <w:rPr>
          <w:rFonts w:ascii="Calibri" w:eastAsia="Calibri" w:hAnsi="Calibri" w:cs="Times New Roman"/>
          <w:iCs/>
        </w:rPr>
        <w:tab/>
      </w:r>
      <w:r w:rsidRPr="008372AD">
        <w:rPr>
          <w:rFonts w:ascii="Calibri" w:eastAsia="Calibri" w:hAnsi="Calibri" w:cs="Times New Roman"/>
          <w:iCs/>
        </w:rPr>
        <w:br/>
      </w:r>
    </w:p>
    <w:p w14:paraId="19D2B472" w14:textId="77777777" w:rsidR="00F72842" w:rsidRPr="008372AD" w:rsidRDefault="00F72842" w:rsidP="00F72842">
      <w:pPr>
        <w:numPr>
          <w:ilvl w:val="0"/>
          <w:numId w:val="8"/>
        </w:numPr>
        <w:spacing w:after="0"/>
        <w:jc w:val="both"/>
        <w:rPr>
          <w:rFonts w:ascii="Calibri" w:eastAsia="Calibri" w:hAnsi="Calibri" w:cs="Times New Roman"/>
          <w:b/>
          <w:bCs/>
          <w:iCs/>
        </w:rPr>
      </w:pPr>
      <w:r w:rsidRPr="008372AD">
        <w:rPr>
          <w:rFonts w:ascii="Calibri" w:eastAsia="Calibri" w:hAnsi="Calibri" w:cs="Times New Roman"/>
          <w:b/>
          <w:bCs/>
          <w:iCs/>
        </w:rPr>
        <w:t>Rejestrację, monitoring i badania</w:t>
      </w:r>
    </w:p>
    <w:p w14:paraId="43613EDF" w14:textId="4021587B" w:rsidR="00F72842" w:rsidRPr="008372AD" w:rsidRDefault="00F72842" w:rsidP="00F72842">
      <w:pPr>
        <w:spacing w:after="0"/>
        <w:ind w:left="720"/>
        <w:jc w:val="both"/>
        <w:rPr>
          <w:rFonts w:ascii="Calibri" w:eastAsia="Calibri" w:hAnsi="Calibri" w:cs="Times New Roman"/>
          <w:iCs/>
        </w:rPr>
      </w:pPr>
      <w:r w:rsidRPr="008372AD">
        <w:rPr>
          <w:rFonts w:ascii="Calibri" w:eastAsia="Calibri" w:hAnsi="Calibri" w:cs="Times New Roman"/>
          <w:iCs/>
        </w:rPr>
        <w:t xml:space="preserve">Podstawą profilaktyki jest aktualna diagnoza w zakresie samobójstw, prób samobójczych </w:t>
      </w:r>
      <w:r w:rsidRPr="008372AD">
        <w:rPr>
          <w:rFonts w:ascii="Calibri" w:eastAsia="Calibri" w:hAnsi="Calibri" w:cs="Times New Roman"/>
          <w:iCs/>
        </w:rPr>
        <w:br/>
        <w:t xml:space="preserve">i innych zachowań autodestrukcyjnych. W tym celu konieczne jest utworzenie systemu zbieranych danych, który integrowałby dane z Komendy Głównej Policji, Głównego Urzędu Statystycznego i systemu opieki zdrowotnej. Niezbędne jest rozwijanie badań naukowych </w:t>
      </w:r>
      <w:r w:rsidR="004A1CB0">
        <w:rPr>
          <w:rFonts w:ascii="Calibri" w:eastAsia="Calibri" w:hAnsi="Calibri" w:cs="Times New Roman"/>
          <w:iCs/>
        </w:rPr>
        <w:br/>
      </w:r>
      <w:r w:rsidRPr="008372AD">
        <w:rPr>
          <w:rFonts w:ascii="Calibri" w:eastAsia="Calibri" w:hAnsi="Calibri" w:cs="Times New Roman"/>
          <w:iCs/>
        </w:rPr>
        <w:t>z zakresu suicydologii i programów profilaktycznych opartych na dowodach.</w:t>
      </w:r>
      <w:r w:rsidRPr="008372AD">
        <w:rPr>
          <w:rFonts w:ascii="Calibri" w:eastAsia="Calibri" w:hAnsi="Calibri" w:cs="Times New Roman"/>
          <w:iCs/>
        </w:rPr>
        <w:br/>
      </w:r>
    </w:p>
    <w:p w14:paraId="04B5D977" w14:textId="77777777" w:rsidR="00F72842" w:rsidRPr="008372AD" w:rsidRDefault="00F72842" w:rsidP="00F72842">
      <w:pPr>
        <w:numPr>
          <w:ilvl w:val="0"/>
          <w:numId w:val="9"/>
        </w:numPr>
        <w:spacing w:after="0"/>
        <w:jc w:val="both"/>
        <w:rPr>
          <w:rFonts w:ascii="Calibri" w:eastAsia="Calibri" w:hAnsi="Calibri" w:cs="Times New Roman"/>
          <w:iCs/>
        </w:rPr>
      </w:pPr>
      <w:r w:rsidRPr="008372AD">
        <w:rPr>
          <w:rFonts w:ascii="Calibri" w:eastAsia="Calibri" w:hAnsi="Calibri" w:cs="Times New Roman"/>
          <w:b/>
          <w:bCs/>
          <w:iCs/>
        </w:rPr>
        <w:t>Edukację grup zawodowych, które stanowią pierwszą linię pomocy w sytuacjach kryzysu psychicznego.</w:t>
      </w:r>
      <w:r w:rsidRPr="008372AD">
        <w:rPr>
          <w:rFonts w:ascii="Calibri" w:eastAsia="Calibri" w:hAnsi="Calibri" w:cs="Times New Roman"/>
          <w:iCs/>
        </w:rPr>
        <w:t xml:space="preserve"> Podnoszenie umiejętności pracowników opieki zdrowotnej, numeru alarmowego 112 i telefonów zaufania, nauczycieli i pedagogów, policjantów, strażaków, pracowników socjalnych, osób duchownych jest bardzo ważnym czynnikiem chroniącym </w:t>
      </w:r>
      <w:r w:rsidRPr="008372AD">
        <w:rPr>
          <w:rFonts w:ascii="Calibri" w:eastAsia="Calibri" w:hAnsi="Calibri" w:cs="Times New Roman"/>
          <w:iCs/>
        </w:rPr>
        <w:br/>
        <w:t>w profilaktyce samobójstw.</w:t>
      </w:r>
    </w:p>
    <w:p w14:paraId="4F6465A6" w14:textId="77777777" w:rsidR="00F72842" w:rsidRPr="008372AD" w:rsidRDefault="00F72842" w:rsidP="00F72842">
      <w:pPr>
        <w:spacing w:after="0"/>
        <w:ind w:left="720"/>
        <w:jc w:val="both"/>
        <w:rPr>
          <w:rFonts w:ascii="Calibri" w:eastAsia="Calibri" w:hAnsi="Calibri" w:cs="Times New Roman"/>
          <w:iCs/>
        </w:rPr>
      </w:pPr>
    </w:p>
    <w:p w14:paraId="599C6CB7" w14:textId="77777777" w:rsidR="00F72842" w:rsidRPr="008372AD" w:rsidRDefault="00F72842" w:rsidP="00F72842">
      <w:pPr>
        <w:numPr>
          <w:ilvl w:val="0"/>
          <w:numId w:val="10"/>
        </w:numPr>
        <w:spacing w:after="0"/>
        <w:jc w:val="both"/>
        <w:rPr>
          <w:rFonts w:ascii="Calibri" w:eastAsia="Calibri" w:hAnsi="Calibri" w:cs="Times New Roman"/>
          <w:iCs/>
        </w:rPr>
      </w:pPr>
      <w:r w:rsidRPr="008372AD">
        <w:rPr>
          <w:rFonts w:ascii="Calibri" w:eastAsia="Calibri" w:hAnsi="Calibri" w:cs="Times New Roman"/>
          <w:b/>
          <w:bCs/>
          <w:iCs/>
        </w:rPr>
        <w:t>Współpracę z mediami.</w:t>
      </w:r>
      <w:r w:rsidRPr="008372AD">
        <w:rPr>
          <w:rFonts w:ascii="Calibri" w:eastAsia="Calibri" w:hAnsi="Calibri" w:cs="Times New Roman"/>
          <w:iCs/>
        </w:rPr>
        <w:t xml:space="preserve"> Istotną rolę w zapobieganiu samobójstwom odgrywają media. Ważne jest monitorowanie czy społeczeństwo informowane jest o zachowaniach samobójczych w sposób rzetelny i odpowiedzialny oraz czy przestrzegane są zalecenia polskich ekspertów jak również Światowej Organizacji Zdrowia. W publikacjach prasowych, internetowych, audycjach telewizyjnych i radiowych poświęconych problematyce samobójstw powinna zawsze znaleźć się informacja o miejscach, gdzie można uzyskać pomoc.</w:t>
      </w:r>
    </w:p>
    <w:p w14:paraId="61039965" w14:textId="77777777" w:rsidR="00F72842" w:rsidRPr="008372AD" w:rsidRDefault="00F72842" w:rsidP="00F72842">
      <w:pPr>
        <w:spacing w:after="0"/>
        <w:jc w:val="both"/>
        <w:rPr>
          <w:rFonts w:ascii="Calibri" w:eastAsia="Calibri" w:hAnsi="Calibri" w:cs="Times New Roman"/>
          <w:iCs/>
        </w:rPr>
      </w:pPr>
    </w:p>
    <w:p w14:paraId="6220ADA0" w14:textId="73C5CF8E" w:rsidR="00F72842" w:rsidRPr="008372AD" w:rsidRDefault="00F72842" w:rsidP="00F72842">
      <w:pPr>
        <w:numPr>
          <w:ilvl w:val="0"/>
          <w:numId w:val="11"/>
        </w:numPr>
        <w:spacing w:after="0"/>
        <w:jc w:val="both"/>
        <w:rPr>
          <w:rFonts w:ascii="Calibri" w:eastAsia="Calibri" w:hAnsi="Calibri" w:cs="Times New Roman"/>
          <w:iCs/>
        </w:rPr>
      </w:pPr>
      <w:r w:rsidRPr="008372AD">
        <w:rPr>
          <w:rFonts w:ascii="Calibri" w:eastAsia="Calibri" w:hAnsi="Calibri" w:cs="Times New Roman"/>
          <w:b/>
          <w:bCs/>
          <w:iCs/>
        </w:rPr>
        <w:t>Ograniczanie dostępności do metod samobójstw.</w:t>
      </w:r>
      <w:r w:rsidRPr="008372AD">
        <w:rPr>
          <w:rFonts w:ascii="Calibri" w:eastAsia="Calibri" w:hAnsi="Calibri" w:cs="Times New Roman"/>
          <w:iCs/>
        </w:rPr>
        <w:t xml:space="preserve"> Ograniczenie dostępu do środków toksycznych, broni a także budowanie odpowiednich fizycznych zabezpieczeń. Konieczne jest monitorowanie i usuwanie zagrożeń, szczególnie wśród dzieci i młodzieży, związanych </w:t>
      </w:r>
      <w:r w:rsidR="007F6F30">
        <w:rPr>
          <w:rFonts w:ascii="Calibri" w:eastAsia="Calibri" w:hAnsi="Calibri" w:cs="Times New Roman"/>
          <w:iCs/>
        </w:rPr>
        <w:br/>
      </w:r>
      <w:r w:rsidRPr="008372AD">
        <w:rPr>
          <w:rFonts w:ascii="Calibri" w:eastAsia="Calibri" w:hAnsi="Calibri" w:cs="Times New Roman"/>
          <w:iCs/>
        </w:rPr>
        <w:t xml:space="preserve">ze szkodliwymi treściami w </w:t>
      </w:r>
      <w:r w:rsidR="004A1CB0" w:rsidRPr="008372AD">
        <w:rPr>
          <w:rFonts w:ascii="Calibri" w:eastAsia="Calibri" w:hAnsi="Calibri" w:cs="Times New Roman"/>
          <w:iCs/>
        </w:rPr>
        <w:t>Internecie</w:t>
      </w:r>
      <w:r w:rsidRPr="008372AD">
        <w:rPr>
          <w:rFonts w:ascii="Calibri" w:eastAsia="Calibri" w:hAnsi="Calibri" w:cs="Times New Roman"/>
          <w:iCs/>
        </w:rPr>
        <w:t xml:space="preserve"> i cyberprzemocą.</w:t>
      </w:r>
    </w:p>
    <w:p w14:paraId="1AB1CF95" w14:textId="77777777" w:rsidR="00F72842" w:rsidRPr="008372AD" w:rsidRDefault="00F72842" w:rsidP="00F72842">
      <w:pPr>
        <w:spacing w:after="0"/>
        <w:jc w:val="both"/>
        <w:rPr>
          <w:rFonts w:ascii="Calibri" w:eastAsia="Calibri" w:hAnsi="Calibri" w:cs="Times New Roman"/>
          <w:iCs/>
        </w:rPr>
      </w:pPr>
    </w:p>
    <w:p w14:paraId="327555A8" w14:textId="140B6524" w:rsidR="00F72842" w:rsidRDefault="00F72842" w:rsidP="00F72842">
      <w:pPr>
        <w:spacing w:after="0"/>
        <w:jc w:val="both"/>
      </w:pPr>
      <w:r w:rsidRPr="008372AD">
        <w:rPr>
          <w:rFonts w:ascii="Calibri" w:eastAsia="Calibri" w:hAnsi="Calibri" w:cs="Times New Roman"/>
          <w:iCs/>
        </w:rPr>
        <w:t>Bardzo istotne jest również prowadzenie działań z zakresu promocji zdrowia psychicznego mających na celu podniesienie świadomości obywateli na temat znaczeni</w:t>
      </w:r>
      <w:r w:rsidR="00097C0B">
        <w:rPr>
          <w:rFonts w:ascii="Calibri" w:eastAsia="Calibri" w:hAnsi="Calibri" w:cs="Times New Roman"/>
          <w:iCs/>
        </w:rPr>
        <w:t>a</w:t>
      </w:r>
      <w:r w:rsidR="004A1CB0">
        <w:rPr>
          <w:rFonts w:ascii="Calibri" w:eastAsia="Calibri" w:hAnsi="Calibri" w:cs="Times New Roman"/>
          <w:iCs/>
        </w:rPr>
        <w:t xml:space="preserve"> </w:t>
      </w:r>
      <w:r w:rsidRPr="008372AD">
        <w:rPr>
          <w:rFonts w:ascii="Calibri" w:eastAsia="Calibri" w:hAnsi="Calibri" w:cs="Times New Roman"/>
          <w:iCs/>
        </w:rPr>
        <w:t>zdrowia psychicznego.</w:t>
      </w:r>
      <w:r w:rsidRPr="000D740C">
        <w:t xml:space="preserve"> </w:t>
      </w:r>
    </w:p>
    <w:p w14:paraId="5A63CF4B" w14:textId="77777777" w:rsidR="00F72842" w:rsidRPr="009C2C88" w:rsidRDefault="00F72842" w:rsidP="00F72842">
      <w:pPr>
        <w:spacing w:after="0"/>
        <w:jc w:val="both"/>
        <w:rPr>
          <w:rFonts w:ascii="Calibri" w:eastAsia="Calibri" w:hAnsi="Calibri" w:cs="Times New Roman"/>
          <w:iCs/>
        </w:rPr>
      </w:pPr>
      <w:r w:rsidRPr="009C2C88">
        <w:rPr>
          <w:rFonts w:ascii="Calibri" w:eastAsia="Calibri" w:hAnsi="Calibri" w:cs="Times New Roman"/>
          <w:iCs/>
        </w:rPr>
        <w:t xml:space="preserve">Należy zauważyć, iż po wprowadzeniu ogólnokrajowych programów zapobiegania samobójstwom odnotowywany jest spadek ogólnego wskaźnika liczby samobójstw. </w:t>
      </w:r>
    </w:p>
    <w:p w14:paraId="209E91D4" w14:textId="79029973" w:rsidR="00F72842" w:rsidRDefault="00F72842" w:rsidP="004A1CB0">
      <w:pPr>
        <w:spacing w:after="0"/>
        <w:jc w:val="both"/>
        <w:rPr>
          <w:rFonts w:ascii="Calibri" w:eastAsia="Calibri" w:hAnsi="Calibri" w:cs="Times New Roman"/>
          <w:b/>
          <w:color w:val="1F4E79"/>
          <w:lang w:eastAsia="pl-PL"/>
        </w:rPr>
      </w:pPr>
      <w:r w:rsidRPr="009C2C88">
        <w:rPr>
          <w:rFonts w:ascii="Calibri" w:eastAsia="Calibri" w:hAnsi="Calibri" w:cs="Times New Roman"/>
          <w:iCs/>
        </w:rPr>
        <w:t>Jak podają dostępne źródła na podstawie danych lat 1980-2004 z 21 krajów OECD, badan</w:t>
      </w:r>
      <w:r w:rsidR="007F6F30">
        <w:rPr>
          <w:rFonts w:ascii="Calibri" w:eastAsia="Calibri" w:hAnsi="Calibri" w:cs="Times New Roman"/>
          <w:iCs/>
        </w:rPr>
        <w:t>o</w:t>
      </w:r>
      <w:r w:rsidRPr="009C2C88">
        <w:rPr>
          <w:rFonts w:ascii="Calibri" w:eastAsia="Calibri" w:hAnsi="Calibri" w:cs="Times New Roman"/>
          <w:iCs/>
        </w:rPr>
        <w:t xml:space="preserve"> czy istnieje statystycznie istotna różnica we wskaźnikach samobójstw przed i po wdrożeniu krajowych programów zapobiegania samobójstwom. Wówczas dowiedziono, iż prowadzone przez rząd programy zapobiegania samobójstwom są najbardziej skuteczne w zapobieganiu samobójstwom wśród populacji osób starszych. Liczba samobójstw na 100 000 seniorów zmniejszyła się o około 3,5 po ich uruchomieniu. Chociaż ich skala jest nieco mniejsza, programy te miały również wpływ na liczbę samobójstw wśród populacji osób poniżej 25 r. ż. Natomiast liczba samobójstw w grupach w wieku produkcyjnym, bez względu na płeć, nie zmieniła się pod wpływem wprowadzenia krajowych </w:t>
      </w:r>
      <w:r w:rsidRPr="009C2C88">
        <w:rPr>
          <w:rFonts w:ascii="Calibri" w:eastAsia="Calibri" w:hAnsi="Calibri" w:cs="Times New Roman"/>
          <w:iCs/>
        </w:rPr>
        <w:lastRenderedPageBreak/>
        <w:t>programów prewencyjnych.</w:t>
      </w:r>
      <w:r w:rsidR="00F00CAA">
        <w:rPr>
          <w:rStyle w:val="Odwoanieprzypisudolnego"/>
          <w:rFonts w:ascii="Calibri" w:eastAsia="Calibri" w:hAnsi="Calibri" w:cs="Times New Roman"/>
          <w:iCs/>
        </w:rPr>
        <w:footnoteReference w:id="14"/>
      </w:r>
      <w:r w:rsidRPr="009C2C88">
        <w:rPr>
          <w:rFonts w:ascii="Calibri" w:eastAsia="Calibri" w:hAnsi="Calibri" w:cs="Times New Roman"/>
          <w:iCs/>
        </w:rPr>
        <w:t>Od czasu rozpoczęcia ogólnokrajowych programów zapobiegania samobójstwom w krajach o liczbie 10 mln osób (np. w Szwecji) liczba zgonów w wyniku samobójstw zmniejszyła się średnio o 140 rocznie. W krajach, w których żyje 50 mln osób (np. w Wielkiej Brytanii), liczba zgonów samobójczych zmniejszyła się o 650, a w krajach, w których żyje ponad 100 mln osób (np. w Niemczech), szacuje się, że dzięki kompleksowym krajowym programom zapobiegania samobójstwom udało się zapobiec 1350 zachowaniom samobójczym.</w:t>
      </w:r>
      <w:r>
        <w:rPr>
          <w:rStyle w:val="Odwoanieprzypisudolnego"/>
          <w:rFonts w:ascii="Calibri" w:eastAsia="Calibri" w:hAnsi="Calibri" w:cs="Times New Roman"/>
          <w:iCs/>
        </w:rPr>
        <w:footnoteReference w:id="15"/>
      </w:r>
    </w:p>
    <w:p w14:paraId="6A7A1519" w14:textId="77777777" w:rsidR="007F6F30" w:rsidRDefault="007F6F30" w:rsidP="00F72842">
      <w:pPr>
        <w:rPr>
          <w:rFonts w:ascii="Calibri" w:eastAsia="Calibri" w:hAnsi="Calibri" w:cs="Times New Roman"/>
          <w:b/>
          <w:color w:val="1F4E79"/>
          <w:lang w:eastAsia="pl-PL"/>
        </w:rPr>
      </w:pPr>
    </w:p>
    <w:p w14:paraId="7E4D3872" w14:textId="06B86151" w:rsidR="00F72842" w:rsidRPr="008372AD" w:rsidRDefault="00F72842" w:rsidP="00F72842">
      <w:pPr>
        <w:rPr>
          <w:rFonts w:ascii="Calibri" w:eastAsia="Calibri" w:hAnsi="Calibri" w:cs="Times New Roman"/>
          <w:b/>
          <w:color w:val="1F4E79"/>
          <w:lang w:eastAsia="pl-PL"/>
        </w:rPr>
      </w:pPr>
      <w:r w:rsidRPr="008372AD">
        <w:rPr>
          <w:rFonts w:ascii="Calibri" w:eastAsia="Calibri" w:hAnsi="Calibri" w:cs="Times New Roman"/>
          <w:b/>
          <w:color w:val="1F4E79"/>
          <w:lang w:eastAsia="pl-PL"/>
        </w:rPr>
        <w:t>Finansowanie</w:t>
      </w:r>
    </w:p>
    <w:p w14:paraId="5FADA937" w14:textId="6A50F30E" w:rsidR="00F72842" w:rsidRPr="008372AD" w:rsidRDefault="008358B4" w:rsidP="00F72842">
      <w:pPr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Finansowanie ze środków publicznych w ramach Narodowego Programu Zdrowia.</w:t>
      </w:r>
      <w:r w:rsidR="004A1CB0">
        <w:rPr>
          <w:rFonts w:ascii="Calibri" w:eastAsia="Calibri" w:hAnsi="Calibri" w:cs="Times New Roman"/>
          <w:iCs/>
        </w:rPr>
        <w:t xml:space="preserve"> </w:t>
      </w:r>
      <w:r w:rsidR="00F72842" w:rsidRPr="008372AD">
        <w:rPr>
          <w:rFonts w:ascii="Calibri" w:eastAsia="Calibri" w:hAnsi="Calibri" w:cs="Times New Roman"/>
          <w:iCs/>
        </w:rPr>
        <w:t xml:space="preserve">Przy perspektywie redukcji o 1% wskaźnika zachowań samobójczych </w:t>
      </w:r>
      <w:r w:rsidR="00F72842">
        <w:rPr>
          <w:rFonts w:ascii="Calibri" w:eastAsia="Calibri" w:hAnsi="Calibri" w:cs="Times New Roman"/>
          <w:iCs/>
        </w:rPr>
        <w:t xml:space="preserve">możliwe byłoby </w:t>
      </w:r>
      <w:r w:rsidR="00F72842" w:rsidRPr="008372AD">
        <w:rPr>
          <w:rFonts w:ascii="Calibri" w:eastAsia="Calibri" w:hAnsi="Calibri" w:cs="Times New Roman"/>
          <w:iCs/>
        </w:rPr>
        <w:t>zapobiegnięci</w:t>
      </w:r>
      <w:r w:rsidR="00F72842">
        <w:rPr>
          <w:rFonts w:ascii="Calibri" w:eastAsia="Calibri" w:hAnsi="Calibri" w:cs="Times New Roman"/>
          <w:iCs/>
        </w:rPr>
        <w:t>e</w:t>
      </w:r>
      <w:r w:rsidR="00F72842" w:rsidRPr="008372AD">
        <w:rPr>
          <w:rFonts w:ascii="Calibri" w:eastAsia="Calibri" w:hAnsi="Calibri" w:cs="Times New Roman"/>
          <w:iCs/>
        </w:rPr>
        <w:t xml:space="preserve"> około 50 zgon</w:t>
      </w:r>
      <w:r w:rsidR="00F72842">
        <w:rPr>
          <w:rFonts w:ascii="Calibri" w:eastAsia="Calibri" w:hAnsi="Calibri" w:cs="Times New Roman"/>
          <w:iCs/>
        </w:rPr>
        <w:t>ów</w:t>
      </w:r>
      <w:r w:rsidR="00F72842" w:rsidRPr="008372AD">
        <w:rPr>
          <w:rFonts w:ascii="Calibri" w:eastAsia="Calibri" w:hAnsi="Calibri" w:cs="Times New Roman"/>
          <w:iCs/>
        </w:rPr>
        <w:t xml:space="preserve"> </w:t>
      </w:r>
      <w:r w:rsidR="004A1CB0">
        <w:rPr>
          <w:rFonts w:ascii="Calibri" w:eastAsia="Calibri" w:hAnsi="Calibri" w:cs="Times New Roman"/>
          <w:iCs/>
        </w:rPr>
        <w:br/>
      </w:r>
      <w:r w:rsidR="00F72842" w:rsidRPr="008372AD">
        <w:rPr>
          <w:rFonts w:ascii="Calibri" w:eastAsia="Calibri" w:hAnsi="Calibri" w:cs="Times New Roman"/>
          <w:iCs/>
        </w:rPr>
        <w:t xml:space="preserve">z powodu zachowań samobójczych. </w:t>
      </w:r>
    </w:p>
    <w:p w14:paraId="24418A4F" w14:textId="3E8942EB" w:rsidR="00F72842" w:rsidRDefault="00F72842" w:rsidP="00F72842">
      <w:pPr>
        <w:jc w:val="both"/>
        <w:rPr>
          <w:iCs/>
        </w:rPr>
      </w:pPr>
      <w:r w:rsidRPr="008372AD">
        <w:rPr>
          <w:rFonts w:ascii="Calibri" w:eastAsia="Calibri" w:hAnsi="Calibri" w:cs="Times New Roman"/>
          <w:iCs/>
        </w:rPr>
        <w:t xml:space="preserve">Przy założeniu </w:t>
      </w:r>
      <w:r>
        <w:rPr>
          <w:rFonts w:ascii="Calibri" w:eastAsia="Calibri" w:hAnsi="Calibri" w:cs="Times New Roman"/>
          <w:iCs/>
        </w:rPr>
        <w:t xml:space="preserve">szacunku </w:t>
      </w:r>
      <w:r w:rsidRPr="008372AD">
        <w:rPr>
          <w:rFonts w:ascii="Calibri" w:eastAsia="Calibri" w:hAnsi="Calibri" w:cs="Times New Roman"/>
          <w:iCs/>
        </w:rPr>
        <w:t xml:space="preserve">kosztów samobójstw w Polsce, szacuje się, iż w przypadku osiągnięcia ww. wskaźnika </w:t>
      </w:r>
      <w:r>
        <w:rPr>
          <w:rFonts w:ascii="Calibri" w:eastAsia="Calibri" w:hAnsi="Calibri" w:cs="Times New Roman"/>
          <w:iCs/>
        </w:rPr>
        <w:t>możliwe byłyby uniknięcie utraty wartości straconych lat życia w wysokości ok.</w:t>
      </w:r>
      <w:r w:rsidR="009C5860">
        <w:rPr>
          <w:rFonts w:ascii="Calibri" w:eastAsia="Calibri" w:hAnsi="Calibri" w:cs="Times New Roman"/>
          <w:iCs/>
        </w:rPr>
        <w:t xml:space="preserve"> </w:t>
      </w:r>
      <w:r w:rsidR="008358B4">
        <w:rPr>
          <w:rFonts w:ascii="Calibri" w:eastAsia="Calibri" w:hAnsi="Calibri" w:cs="Times New Roman"/>
          <w:iCs/>
        </w:rPr>
        <w:t>2</w:t>
      </w:r>
      <w:r w:rsidR="008358B4" w:rsidRPr="008372AD">
        <w:rPr>
          <w:rFonts w:ascii="Calibri" w:eastAsia="Calibri" w:hAnsi="Calibri" w:cs="Times New Roman"/>
          <w:iCs/>
        </w:rPr>
        <w:t xml:space="preserve"> </w:t>
      </w:r>
      <w:r w:rsidRPr="008372AD">
        <w:rPr>
          <w:rFonts w:ascii="Calibri" w:eastAsia="Calibri" w:hAnsi="Calibri" w:cs="Times New Roman"/>
          <w:iCs/>
        </w:rPr>
        <w:t>mln zł</w:t>
      </w:r>
      <w:r>
        <w:rPr>
          <w:rFonts w:ascii="Calibri" w:eastAsia="Calibri" w:hAnsi="Calibri" w:cs="Times New Roman"/>
          <w:iCs/>
        </w:rPr>
        <w:t xml:space="preserve"> rocznie.</w:t>
      </w:r>
      <w:r w:rsidR="00F00CAA">
        <w:rPr>
          <w:rStyle w:val="Odwoanieprzypisudolnego"/>
          <w:rFonts w:ascii="Calibri" w:eastAsia="Calibri" w:hAnsi="Calibri" w:cs="Times New Roman"/>
          <w:iCs/>
        </w:rPr>
        <w:footnoteReference w:id="16"/>
      </w:r>
    </w:p>
    <w:p w14:paraId="67FB1D06" w14:textId="77777777" w:rsidR="00F72842" w:rsidRDefault="00F72842" w:rsidP="00F72842">
      <w:pPr>
        <w:jc w:val="both"/>
        <w:rPr>
          <w:lang w:eastAsia="pl-PL"/>
        </w:rPr>
      </w:pPr>
    </w:p>
    <w:p w14:paraId="27956951" w14:textId="77777777" w:rsidR="00F72842" w:rsidRDefault="00F72842" w:rsidP="00F72842">
      <w:pPr>
        <w:jc w:val="both"/>
        <w:rPr>
          <w:lang w:eastAsia="pl-PL"/>
        </w:rPr>
      </w:pPr>
    </w:p>
    <w:p w14:paraId="29F5FEC0" w14:textId="77777777" w:rsidR="00F72842" w:rsidRDefault="00F72842" w:rsidP="00F72842">
      <w:pPr>
        <w:pStyle w:val="Akapitzlist"/>
        <w:numPr>
          <w:ilvl w:val="0"/>
          <w:numId w:val="10"/>
        </w:numPr>
        <w:jc w:val="both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28"/>
          <w:szCs w:val="56"/>
        </w:rPr>
        <w:t>Ewaluacja i monitoring osiągania oczekiwanych rezultatów</w:t>
      </w:r>
    </w:p>
    <w:p w14:paraId="5D3AD9AD" w14:textId="68885485" w:rsidR="00F72842" w:rsidRDefault="00F72842" w:rsidP="00F72842">
      <w:pPr>
        <w:spacing w:after="0" w:line="240" w:lineRule="auto"/>
        <w:jc w:val="both"/>
      </w:pPr>
      <w:r>
        <w:t xml:space="preserve">Realizacja Strategii wymaga działań w wymiarze prawnym, organizacyjnym, finansowym </w:t>
      </w:r>
      <w:r w:rsidR="007F6F30">
        <w:br/>
      </w:r>
      <w:r>
        <w:t xml:space="preserve">i edukacyjnym, koordynowanych przede wszystkim przez instytucje w ramach administracji publicznej. </w:t>
      </w:r>
    </w:p>
    <w:p w14:paraId="35BD9817" w14:textId="77777777" w:rsidR="00F72842" w:rsidRDefault="00F72842" w:rsidP="00F72842">
      <w:pPr>
        <w:spacing w:after="0" w:line="240" w:lineRule="auto"/>
        <w:jc w:val="both"/>
      </w:pPr>
      <w:r>
        <w:t>Istotnym elementem będzie skorelowanie działań o charakterze krajowym z działaniami realizowanymi w regionach.</w:t>
      </w:r>
    </w:p>
    <w:p w14:paraId="458086D1" w14:textId="77777777" w:rsidR="00F72842" w:rsidRDefault="00F72842" w:rsidP="00F72842">
      <w:pPr>
        <w:spacing w:after="0" w:line="240" w:lineRule="auto"/>
        <w:jc w:val="both"/>
      </w:pPr>
    </w:p>
    <w:p w14:paraId="6EC0DF4F" w14:textId="1116841F" w:rsidR="00F72842" w:rsidRDefault="00F72842" w:rsidP="00F72842">
      <w:pPr>
        <w:spacing w:after="0" w:line="240" w:lineRule="auto"/>
        <w:jc w:val="both"/>
      </w:pPr>
      <w:r>
        <w:t xml:space="preserve">Strategia jest dokumentem zawierającym działania przewidziane do finansowania zarówno ze środków krajowych, jak i funduszy europejskich. Sposób zarządzania środkami budżetowymi, jak i środkami funduszy europejskich jest uregulowany odrębnymi przepisami, podobnie jak sposób ubiegania się </w:t>
      </w:r>
      <w:r w:rsidR="004A1CB0">
        <w:br/>
      </w:r>
      <w:r>
        <w:t xml:space="preserve">o finansowanie przedsięwzięć ze środków budżetowych i unijnych. Realizacja Strategii nie wpływa na zmiany w przepisach w zakresie zarządzania przepływami finansowymi i ich wielkością. </w:t>
      </w:r>
    </w:p>
    <w:p w14:paraId="7843BC4D" w14:textId="77777777" w:rsidR="00F72842" w:rsidRDefault="00F72842" w:rsidP="00F72842">
      <w:pPr>
        <w:spacing w:after="0" w:line="240" w:lineRule="auto"/>
        <w:jc w:val="both"/>
      </w:pPr>
    </w:p>
    <w:p w14:paraId="599BD7AC" w14:textId="1E753247" w:rsidR="00F72842" w:rsidRDefault="00F72842" w:rsidP="00F72842">
      <w:pPr>
        <w:spacing w:after="0" w:line="240" w:lineRule="auto"/>
        <w:jc w:val="both"/>
      </w:pPr>
      <w:r>
        <w:t xml:space="preserve">Strategia stanowi ramy dla procesu deinstytucjonalizacji usług zdrowotnych – wskazuje działania </w:t>
      </w:r>
      <w:r w:rsidR="004A1CB0">
        <w:br/>
      </w:r>
      <w:r>
        <w:t>do realizacji oraz środki, które można wykorzystać na ten cel. Kontrolę w zakresie prawidłowego wykorzystania środków regulują odpowiednie przepisy prawne, zarówno w zakresie środków krajowych, jak i unijnych. Nie planuje się powołania dodatkowych instytucji do kontroli realizacji działań określonych w Strategii.</w:t>
      </w:r>
    </w:p>
    <w:p w14:paraId="4AADCB82" w14:textId="77777777" w:rsidR="00F72842" w:rsidRPr="009C2C88" w:rsidRDefault="00F72842" w:rsidP="00F72842">
      <w:pPr>
        <w:spacing w:after="0" w:line="240" w:lineRule="auto"/>
        <w:jc w:val="both"/>
      </w:pPr>
    </w:p>
    <w:p w14:paraId="086514E5" w14:textId="511F567F" w:rsidR="00F72842" w:rsidRDefault="00F72842" w:rsidP="00F72842">
      <w:pPr>
        <w:spacing w:after="120"/>
        <w:jc w:val="both"/>
        <w:rPr>
          <w:rFonts w:ascii="Calibri" w:eastAsia="Calibri" w:hAnsi="Calibri" w:cs="Times New Roman"/>
          <w:iCs/>
        </w:rPr>
      </w:pPr>
      <w:r w:rsidRPr="00207A09">
        <w:rPr>
          <w:rFonts w:ascii="Calibri" w:eastAsia="Calibri" w:hAnsi="Calibri" w:cs="Times New Roman"/>
          <w:iCs/>
        </w:rPr>
        <w:t xml:space="preserve">Na wstępie należy podkreślić, iż podmiotami monitorującymi osiąganie oczekiwanych rezultatów </w:t>
      </w:r>
      <w:r w:rsidR="004A1CB0">
        <w:rPr>
          <w:rFonts w:ascii="Calibri" w:eastAsia="Calibri" w:hAnsi="Calibri" w:cs="Times New Roman"/>
          <w:iCs/>
        </w:rPr>
        <w:br/>
      </w:r>
      <w:r w:rsidRPr="00207A09">
        <w:rPr>
          <w:rFonts w:ascii="Calibri" w:eastAsia="Calibri" w:hAnsi="Calibri" w:cs="Times New Roman"/>
          <w:iCs/>
        </w:rPr>
        <w:t xml:space="preserve">w określonych niniejszym dokumentem obszarach dotyczących zdrowia psychicznego jest przede wszystkim Ministerstwo Zdrowia jako pomiot odpowiedzialny za wprowadzanie zmian systemowych </w:t>
      </w:r>
      <w:r w:rsidR="004A1CB0">
        <w:rPr>
          <w:rFonts w:ascii="Calibri" w:eastAsia="Calibri" w:hAnsi="Calibri" w:cs="Times New Roman"/>
          <w:iCs/>
        </w:rPr>
        <w:br/>
      </w:r>
      <w:r w:rsidRPr="00207A09">
        <w:rPr>
          <w:rFonts w:ascii="Calibri" w:eastAsia="Calibri" w:hAnsi="Calibri" w:cs="Times New Roman"/>
          <w:iCs/>
        </w:rPr>
        <w:lastRenderedPageBreak/>
        <w:t xml:space="preserve">z zakresu udzielania świadczeń opieki </w:t>
      </w:r>
      <w:r>
        <w:rPr>
          <w:rFonts w:ascii="Calibri" w:eastAsia="Calibri" w:hAnsi="Calibri" w:cs="Times New Roman"/>
          <w:iCs/>
        </w:rPr>
        <w:t>z</w:t>
      </w:r>
      <w:r w:rsidRPr="00207A09">
        <w:rPr>
          <w:rFonts w:ascii="Calibri" w:eastAsia="Calibri" w:hAnsi="Calibri" w:cs="Times New Roman"/>
          <w:iCs/>
        </w:rPr>
        <w:t>drowotnej oraz Narodowy Funduszu Zdrowia jako płatnik systemu. Niewątpliwie</w:t>
      </w:r>
      <w:r>
        <w:rPr>
          <w:rFonts w:ascii="Calibri" w:eastAsia="Calibri" w:hAnsi="Calibri" w:cs="Times New Roman"/>
          <w:iCs/>
        </w:rPr>
        <w:t xml:space="preserve"> kluczowe w monitorowaniu oczekiwanych rezultatów jest współpraca ww. podmiotów z Ministerstwem Funduszy i Rozwoju Regionalnego, które jest odpowiedzialne </w:t>
      </w:r>
      <w:r w:rsidR="007F6F30">
        <w:rPr>
          <w:rFonts w:ascii="Calibri" w:eastAsia="Calibri" w:hAnsi="Calibri" w:cs="Times New Roman"/>
          <w:iCs/>
        </w:rPr>
        <w:br/>
      </w:r>
      <w:r>
        <w:rPr>
          <w:rFonts w:ascii="Calibri" w:eastAsia="Calibri" w:hAnsi="Calibri" w:cs="Times New Roman"/>
          <w:iCs/>
        </w:rPr>
        <w:t>za monitorowanie przeznaczania funduszy unijnych na lata 2021-2027 oraz przygotowywanie krajowych dokumentów niezbędnych do uruchamiania tych środków.</w:t>
      </w:r>
    </w:p>
    <w:p w14:paraId="7DEBFB50" w14:textId="3A461A5B" w:rsidR="00E31112" w:rsidRPr="00F72842" w:rsidRDefault="00F72842" w:rsidP="00F72842">
      <w:pPr>
        <w:spacing w:after="120"/>
        <w:jc w:val="both"/>
      </w:pPr>
      <w:r>
        <w:rPr>
          <w:rFonts w:ascii="Calibri" w:eastAsia="Calibri" w:hAnsi="Calibri" w:cs="Times New Roman"/>
          <w:iCs/>
        </w:rPr>
        <w:t xml:space="preserve">Wdrażanie wskazanych w niniejszym dokumencie działań będzie wiązało się z okresowym monitorowaniem wskaźników zawartych w oczekiwanych rezultatach (m.in.: liczba przeszkolonego, wykształconego personelu, liczba utworzonych centrów zdrowia psychicznego, liczba zlikwidowanych łóżek psychiatrycznych w szpitalach monospecjalistycznych, liczba podmiotów objętych wsparciem </w:t>
      </w:r>
      <w:r w:rsidR="007F6F30">
        <w:rPr>
          <w:rFonts w:ascii="Calibri" w:eastAsia="Calibri" w:hAnsi="Calibri" w:cs="Times New Roman"/>
          <w:iCs/>
        </w:rPr>
        <w:br/>
      </w:r>
      <w:r w:rsidR="001A2FD0">
        <w:rPr>
          <w:rFonts w:ascii="Calibri" w:eastAsia="Calibri" w:hAnsi="Calibri" w:cs="Times New Roman"/>
          <w:iCs/>
        </w:rPr>
        <w:t xml:space="preserve">z </w:t>
      </w:r>
      <w:r>
        <w:rPr>
          <w:rFonts w:ascii="Calibri" w:eastAsia="Calibri" w:hAnsi="Calibri" w:cs="Times New Roman"/>
          <w:iCs/>
        </w:rPr>
        <w:t xml:space="preserve">zakresu psychiatrii dzieci i młodzieży). </w:t>
      </w:r>
      <w:r>
        <w:t>Źródłem danych dla wybranych do monitorowania celów jest m.in.: statystyka publiczna, dane Narodowego Funduszu Zdrowia, mapy potrzeb zdrowotnych.</w:t>
      </w:r>
    </w:p>
    <w:sectPr w:rsidR="00E31112" w:rsidRPr="00F7284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A04A2" w14:textId="77777777" w:rsidR="002D00AA" w:rsidRDefault="002D00AA" w:rsidP="00C9180E">
      <w:pPr>
        <w:spacing w:after="0" w:line="240" w:lineRule="auto"/>
      </w:pPr>
      <w:r>
        <w:separator/>
      </w:r>
    </w:p>
  </w:endnote>
  <w:endnote w:type="continuationSeparator" w:id="0">
    <w:p w14:paraId="6D69CE26" w14:textId="77777777" w:rsidR="002D00AA" w:rsidRDefault="002D00AA" w:rsidP="00C9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073626"/>
      <w:docPartObj>
        <w:docPartGallery w:val="Page Numbers (Bottom of Page)"/>
        <w:docPartUnique/>
      </w:docPartObj>
    </w:sdtPr>
    <w:sdtEndPr/>
    <w:sdtContent>
      <w:p w14:paraId="06AAE878" w14:textId="5AB272A8" w:rsidR="00F662B2" w:rsidRDefault="00F662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F99">
          <w:rPr>
            <w:noProof/>
          </w:rPr>
          <w:t>2</w:t>
        </w:r>
        <w:r>
          <w:fldChar w:fldCharType="end"/>
        </w:r>
      </w:p>
    </w:sdtContent>
  </w:sdt>
  <w:p w14:paraId="65A4E503" w14:textId="77777777" w:rsidR="00F662B2" w:rsidRDefault="00F662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25241" w14:textId="77777777" w:rsidR="002D00AA" w:rsidRDefault="002D00AA" w:rsidP="00C9180E">
      <w:pPr>
        <w:spacing w:after="0" w:line="240" w:lineRule="auto"/>
      </w:pPr>
      <w:r>
        <w:separator/>
      </w:r>
    </w:p>
  </w:footnote>
  <w:footnote w:type="continuationSeparator" w:id="0">
    <w:p w14:paraId="2B8D9729" w14:textId="77777777" w:rsidR="002D00AA" w:rsidRDefault="002D00AA" w:rsidP="00C9180E">
      <w:pPr>
        <w:spacing w:after="0" w:line="240" w:lineRule="auto"/>
      </w:pPr>
      <w:r>
        <w:continuationSeparator/>
      </w:r>
    </w:p>
  </w:footnote>
  <w:footnote w:id="1">
    <w:p w14:paraId="6C245796" w14:textId="6E5436E2" w:rsidR="00F662B2" w:rsidRPr="00F662B2" w:rsidRDefault="00F662B2" w:rsidP="00F662B2">
      <w:pPr>
        <w:pStyle w:val="Tekstprzypisudolnego"/>
        <w:jc w:val="both"/>
        <w:rPr>
          <w:rFonts w:cstheme="minorHAnsi"/>
          <w:sz w:val="17"/>
          <w:szCs w:val="17"/>
          <w:lang w:val="pl-PL"/>
        </w:rPr>
      </w:pPr>
      <w:r w:rsidRPr="00F662B2">
        <w:rPr>
          <w:rFonts w:cstheme="minorHAnsi"/>
          <w:sz w:val="17"/>
          <w:szCs w:val="17"/>
          <w:lang w:val="pl-PL"/>
        </w:rPr>
        <w:footnoteRef/>
      </w:r>
      <w:r w:rsidRPr="00F662B2">
        <w:rPr>
          <w:rFonts w:cstheme="minorHAnsi"/>
          <w:sz w:val="17"/>
          <w:szCs w:val="17"/>
          <w:lang w:val="pl-PL"/>
        </w:rPr>
        <w:t xml:space="preserve"> Należy zaznaczyć, iż ze względów metodologicznych badanie EZOP nie objęło zaburzeń psychotycznych, w tym schizofrenicznych, stanowiących poważny problem zdrowotny o znaczących konsekwencjach społecznych dla chorujących i ich rodzin.</w:t>
      </w:r>
    </w:p>
  </w:footnote>
  <w:footnote w:id="2">
    <w:p w14:paraId="03792C18" w14:textId="2304A2D8" w:rsidR="00F662B2" w:rsidRPr="00F662B2" w:rsidRDefault="00F662B2" w:rsidP="00F662B2">
      <w:pPr>
        <w:pStyle w:val="Tekstprzypisudolnego"/>
        <w:jc w:val="both"/>
      </w:pPr>
      <w:r w:rsidRPr="00F662B2">
        <w:rPr>
          <w:rFonts w:cstheme="minorHAnsi"/>
          <w:sz w:val="17"/>
          <w:szCs w:val="17"/>
          <w:lang w:val="pl-PL"/>
        </w:rPr>
        <w:footnoteRef/>
      </w:r>
      <w:r w:rsidRPr="00F662B2">
        <w:rPr>
          <w:rFonts w:cstheme="minorHAnsi"/>
          <w:sz w:val="17"/>
          <w:szCs w:val="17"/>
          <w:lang w:val="pl-PL"/>
        </w:rPr>
        <w:t xml:space="preserve"> „Size and Burden of Mental Disorders and other Disorders of the Brain in Europe 2010”.</w:t>
      </w:r>
    </w:p>
  </w:footnote>
  <w:footnote w:id="3">
    <w:p w14:paraId="146A9E17" w14:textId="77777777" w:rsidR="00F662B2" w:rsidRPr="00FD78E3" w:rsidRDefault="00F662B2" w:rsidP="007C7342">
      <w:pPr>
        <w:pStyle w:val="Tekstprzypisudolnego"/>
        <w:jc w:val="both"/>
        <w:rPr>
          <w:rFonts w:cstheme="minorHAnsi"/>
          <w:sz w:val="17"/>
          <w:szCs w:val="17"/>
          <w:lang w:val="pl-PL"/>
        </w:rPr>
      </w:pPr>
      <w:r w:rsidRPr="00FD78E3">
        <w:rPr>
          <w:rStyle w:val="Odwoanieprzypisudolnego"/>
          <w:rFonts w:cstheme="minorHAnsi"/>
          <w:sz w:val="17"/>
          <w:szCs w:val="17"/>
        </w:rPr>
        <w:footnoteRef/>
      </w:r>
      <w:r w:rsidRPr="00FD78E3">
        <w:rPr>
          <w:rFonts w:cstheme="minorHAnsi"/>
          <w:sz w:val="17"/>
          <w:szCs w:val="17"/>
          <w:lang w:val="pl-PL"/>
        </w:rPr>
        <w:t xml:space="preserve"> Biechowska D., Rabczenko D., Moskalewicz B., Zaburzenia psychiczne i zaburzenia zachowania [w:], Wojtyniak B., Goryński P. (red.), </w:t>
      </w:r>
      <w:r w:rsidRPr="00FD78E3">
        <w:rPr>
          <w:rFonts w:cstheme="minorHAnsi"/>
          <w:i/>
          <w:sz w:val="17"/>
          <w:szCs w:val="17"/>
          <w:lang w:val="pl-PL"/>
        </w:rPr>
        <w:t>Sytuacja zdrowotna ludności polski i jej uwarunkowania,</w:t>
      </w:r>
      <w:r w:rsidRPr="00FD78E3">
        <w:rPr>
          <w:rFonts w:cstheme="minorHAnsi"/>
          <w:sz w:val="17"/>
          <w:szCs w:val="17"/>
          <w:lang w:val="pl-PL"/>
        </w:rPr>
        <w:t xml:space="preserve"> Narodowy Instytut Zdrowia Publicznego – Państwowy Zakład Higieny, Warszawa 2018, s.231.</w:t>
      </w:r>
    </w:p>
  </w:footnote>
  <w:footnote w:id="4">
    <w:p w14:paraId="593F9978" w14:textId="4D773841" w:rsidR="00F662B2" w:rsidRPr="00FD78E3" w:rsidRDefault="00F662B2" w:rsidP="00F662B2">
      <w:pPr>
        <w:pStyle w:val="Tekstprzypisudolnego"/>
        <w:jc w:val="both"/>
        <w:rPr>
          <w:sz w:val="17"/>
          <w:szCs w:val="17"/>
          <w:lang w:val="pl-PL"/>
        </w:rPr>
      </w:pPr>
      <w:r w:rsidRPr="00FD78E3">
        <w:rPr>
          <w:rStyle w:val="Odwoanieprzypisudolnego"/>
          <w:rFonts w:cstheme="minorHAnsi"/>
          <w:sz w:val="17"/>
          <w:szCs w:val="17"/>
        </w:rPr>
        <w:footnoteRef/>
      </w:r>
      <w:r w:rsidRPr="00FD78E3">
        <w:rPr>
          <w:rFonts w:cstheme="minorHAnsi"/>
          <w:sz w:val="17"/>
          <w:szCs w:val="17"/>
          <w:lang w:val="pl-PL"/>
        </w:rPr>
        <w:t xml:space="preserve"> </w:t>
      </w:r>
      <w:r w:rsidRPr="00956E51">
        <w:rPr>
          <w:rFonts w:cstheme="minorHAnsi"/>
          <w:sz w:val="17"/>
          <w:szCs w:val="17"/>
          <w:lang w:val="pl-PL"/>
        </w:rPr>
        <w:t>https://ec.europa.eu/eurostat/databrowser/view/tps00122/default/table?lang=en</w:t>
      </w:r>
    </w:p>
  </w:footnote>
  <w:footnote w:id="5">
    <w:p w14:paraId="18E3FC19" w14:textId="55552416" w:rsidR="00F662B2" w:rsidRPr="00F662B2" w:rsidRDefault="00F662B2" w:rsidP="00F662B2">
      <w:pPr>
        <w:pStyle w:val="Tekstprzypisudolnego"/>
        <w:jc w:val="both"/>
        <w:rPr>
          <w:lang w:val="pl-PL"/>
        </w:rPr>
      </w:pPr>
      <w:r w:rsidRPr="00F662B2">
        <w:rPr>
          <w:rFonts w:cstheme="minorHAnsi"/>
          <w:sz w:val="17"/>
          <w:szCs w:val="17"/>
          <w:lang w:val="pl-PL"/>
        </w:rPr>
        <w:footnoteRef/>
      </w:r>
      <w:r w:rsidRPr="00F662B2">
        <w:rPr>
          <w:rFonts w:cstheme="minorHAnsi"/>
          <w:sz w:val="17"/>
          <w:szCs w:val="17"/>
          <w:lang w:val="pl-PL"/>
        </w:rPr>
        <w:t xml:space="preserve"> https://www.who.int/mental_health/publications/action_plan/en/</w:t>
      </w:r>
    </w:p>
  </w:footnote>
  <w:footnote w:id="6">
    <w:p w14:paraId="1AABB1C3" w14:textId="183C7475" w:rsidR="00F662B2" w:rsidRPr="00F662B2" w:rsidRDefault="00F662B2" w:rsidP="00F662B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D78E3">
        <w:rPr>
          <w:rFonts w:cstheme="minorHAnsi"/>
          <w:sz w:val="17"/>
          <w:szCs w:val="17"/>
          <w:lang w:val="pl-PL"/>
        </w:rPr>
        <w:t xml:space="preserve">Biechowska D., Rabczenko D., Moskalewicz B., Zaburzenia psychiczne i zaburzenia zachowania [w:], Wojtyniak B., Goryński P. (red.), </w:t>
      </w:r>
      <w:r w:rsidRPr="00FD78E3">
        <w:rPr>
          <w:rFonts w:cstheme="minorHAnsi"/>
          <w:i/>
          <w:sz w:val="17"/>
          <w:szCs w:val="17"/>
          <w:lang w:val="pl-PL"/>
        </w:rPr>
        <w:t>Sytuacja zdrowotna ludności polski i jej uwarunkowania,</w:t>
      </w:r>
      <w:r w:rsidRPr="00FD78E3">
        <w:rPr>
          <w:rFonts w:cstheme="minorHAnsi"/>
          <w:sz w:val="17"/>
          <w:szCs w:val="17"/>
          <w:lang w:val="pl-PL"/>
        </w:rPr>
        <w:t xml:space="preserve"> Narodowy Instytut Zdrowia Publicznego – Państwowy Zakład Higieny, Warszawa 2018</w:t>
      </w:r>
      <w:r>
        <w:rPr>
          <w:rFonts w:cstheme="minorHAnsi"/>
          <w:sz w:val="17"/>
          <w:szCs w:val="17"/>
          <w:lang w:val="pl-PL"/>
        </w:rPr>
        <w:t>, s 159</w:t>
      </w:r>
    </w:p>
  </w:footnote>
  <w:footnote w:id="7">
    <w:p w14:paraId="5F71DAC6" w14:textId="38B04F12" w:rsidR="00F662B2" w:rsidRPr="00F662B2" w:rsidRDefault="00F662B2">
      <w:pPr>
        <w:pStyle w:val="Tekstprzypisudolnego"/>
        <w:rPr>
          <w:rFonts w:cstheme="minorHAnsi"/>
          <w:sz w:val="17"/>
          <w:szCs w:val="17"/>
          <w:lang w:val="pl-PL"/>
        </w:rPr>
      </w:pPr>
      <w:r w:rsidRPr="00F662B2">
        <w:rPr>
          <w:rFonts w:cstheme="minorHAnsi"/>
          <w:sz w:val="17"/>
          <w:szCs w:val="17"/>
          <w:lang w:val="pl-PL"/>
        </w:rPr>
        <w:footnoteRef/>
      </w:r>
      <w:r w:rsidRPr="00F662B2">
        <w:rPr>
          <w:rFonts w:cstheme="minorHAnsi"/>
          <w:sz w:val="17"/>
          <w:szCs w:val="17"/>
          <w:lang w:val="pl-PL"/>
        </w:rPr>
        <w:t xml:space="preserve"> https://izwoz.lazarski.pl/projekty-badawcze/raport-nt-schizofrenii/</w:t>
      </w:r>
    </w:p>
  </w:footnote>
  <w:footnote w:id="8">
    <w:p w14:paraId="63BBA460" w14:textId="104E4B0D" w:rsidR="00F662B2" w:rsidRPr="00F662B2" w:rsidRDefault="00F662B2">
      <w:pPr>
        <w:pStyle w:val="Tekstprzypisudolnego"/>
        <w:rPr>
          <w:rFonts w:cstheme="minorHAnsi"/>
          <w:sz w:val="17"/>
          <w:szCs w:val="17"/>
          <w:lang w:val="pl-PL"/>
        </w:rPr>
      </w:pPr>
      <w:r w:rsidRPr="00F662B2">
        <w:rPr>
          <w:rFonts w:cstheme="minorHAnsi"/>
          <w:sz w:val="17"/>
          <w:szCs w:val="17"/>
          <w:lang w:val="pl-PL"/>
        </w:rPr>
        <w:footnoteRef/>
      </w:r>
      <w:r w:rsidRPr="00F662B2">
        <w:rPr>
          <w:rFonts w:cstheme="minorHAnsi"/>
          <w:sz w:val="17"/>
          <w:szCs w:val="17"/>
          <w:lang w:val="pl-PL"/>
        </w:rPr>
        <w:t xml:space="preserve"> https://izwoz.lazarski.pl/projekty-badawcze/raport-nt-schizofrenii/</w:t>
      </w:r>
    </w:p>
  </w:footnote>
  <w:footnote w:id="9">
    <w:p w14:paraId="77EF6483" w14:textId="77777777" w:rsidR="00F662B2" w:rsidRPr="00F662B2" w:rsidRDefault="00F662B2" w:rsidP="00857715">
      <w:pPr>
        <w:pStyle w:val="Tekstprzypisudolnego"/>
        <w:jc w:val="both"/>
        <w:rPr>
          <w:rFonts w:cstheme="minorHAnsi"/>
          <w:sz w:val="17"/>
          <w:szCs w:val="17"/>
          <w:lang w:val="pl-PL"/>
        </w:rPr>
      </w:pPr>
      <w:r w:rsidRPr="00F662B2">
        <w:rPr>
          <w:rFonts w:cstheme="minorHAnsi"/>
          <w:sz w:val="17"/>
          <w:szCs w:val="17"/>
          <w:lang w:val="pl-PL"/>
        </w:rPr>
        <w:footnoteRef/>
      </w:r>
      <w:r w:rsidRPr="00F662B2">
        <w:rPr>
          <w:rFonts w:cstheme="minorHAnsi"/>
          <w:sz w:val="17"/>
          <w:szCs w:val="17"/>
          <w:lang w:val="pl-PL"/>
        </w:rPr>
        <w:t xml:space="preserve"> Janas-Kozik Małgorzata. "Sytuacja psychiatrii dzieci i młodzieży w Polsce w 2016 roku. Aktualne występowanie i obraz zaburzeń psychicznych wieku rozwojowego." Psychiatria 14.1 (2017): 61-63.</w:t>
      </w:r>
    </w:p>
  </w:footnote>
  <w:footnote w:id="10">
    <w:p w14:paraId="35EFE037" w14:textId="77777777" w:rsidR="00F662B2" w:rsidRPr="00246BC7" w:rsidRDefault="00F662B2" w:rsidP="00857715">
      <w:pPr>
        <w:pStyle w:val="Tekstprzypisudolnego"/>
        <w:jc w:val="both"/>
        <w:rPr>
          <w:lang w:val="pl-PL"/>
        </w:rPr>
      </w:pPr>
      <w:r w:rsidRPr="00F662B2">
        <w:rPr>
          <w:rFonts w:cstheme="minorHAnsi"/>
          <w:sz w:val="17"/>
          <w:szCs w:val="17"/>
          <w:lang w:val="pl-PL"/>
        </w:rPr>
        <w:footnoteRef/>
      </w:r>
      <w:r w:rsidRPr="00F662B2">
        <w:rPr>
          <w:rFonts w:cstheme="minorHAnsi"/>
          <w:sz w:val="17"/>
          <w:szCs w:val="17"/>
          <w:lang w:val="pl-PL"/>
        </w:rPr>
        <w:t xml:space="preserve"> Ostaszewski K., Moskalewicz J., Kucharski M., Stokwiszewski J., Mental health problems among Polish children and adolescents: Preliminary results of the MINI Kid survey.</w:t>
      </w:r>
    </w:p>
  </w:footnote>
  <w:footnote w:id="11">
    <w:p w14:paraId="4E7963BD" w14:textId="4A1C3DB8" w:rsidR="00F662B2" w:rsidRPr="00F662B2" w:rsidRDefault="00F662B2" w:rsidP="00F662B2">
      <w:pPr>
        <w:spacing w:after="0" w:line="240" w:lineRule="auto"/>
        <w:jc w:val="both"/>
        <w:rPr>
          <w:lang w:val="en-US"/>
        </w:rPr>
      </w:pPr>
      <w:r w:rsidRPr="00F662B2">
        <w:rPr>
          <w:rFonts w:cstheme="minorHAnsi"/>
          <w:sz w:val="17"/>
          <w:szCs w:val="17"/>
          <w:vertAlign w:val="superscript"/>
        </w:rPr>
        <w:footnoteRef/>
      </w:r>
      <w:r>
        <w:rPr>
          <w:rFonts w:cstheme="minorHAnsi"/>
          <w:sz w:val="17"/>
          <w:szCs w:val="17"/>
        </w:rPr>
        <w:t xml:space="preserve"> </w:t>
      </w:r>
      <w:r w:rsidRPr="00F662B2">
        <w:rPr>
          <w:rFonts w:cstheme="minorHAnsi"/>
          <w:sz w:val="17"/>
          <w:szCs w:val="17"/>
        </w:rPr>
        <w:t>Kielan Aleksandra, Dominik Olejniczak. "Czynniki ryzyka oraz konsekwencje zachowań samobójczych z</w:t>
      </w:r>
      <w:r w:rsidRPr="00F662B2">
        <w:rPr>
          <w:rFonts w:cstheme="minorHAnsi"/>
          <w:sz w:val="17"/>
          <w:szCs w:val="17"/>
        </w:rPr>
        <w:br/>
        <w:t xml:space="preserve"> uwzględnieniem problematyki samobójstw dzieci i młodzieży." Dziecko Krzywdzone. Teoria, badania, praktyka 17.3 (2018): 9-26</w:t>
      </w:r>
      <w:r>
        <w:rPr>
          <w:rFonts w:cstheme="minorHAnsi"/>
          <w:sz w:val="17"/>
          <w:szCs w:val="17"/>
        </w:rPr>
        <w:t>.</w:t>
      </w:r>
    </w:p>
  </w:footnote>
  <w:footnote w:id="12">
    <w:p w14:paraId="45454086" w14:textId="56A464FF" w:rsidR="00F662B2" w:rsidRPr="004A1CB0" w:rsidRDefault="00F662B2" w:rsidP="00AF10AD">
      <w:pPr>
        <w:pStyle w:val="Legenda"/>
        <w:jc w:val="both"/>
        <w:rPr>
          <w:color w:val="000000" w:themeColor="text1"/>
          <w:lang w:val="pl-PL"/>
        </w:rPr>
      </w:pPr>
      <w:r w:rsidRPr="004A1CB0">
        <w:rPr>
          <w:rStyle w:val="Odwoanieprzypisudolnego"/>
          <w:color w:val="000000" w:themeColor="text1"/>
        </w:rPr>
        <w:footnoteRef/>
      </w:r>
      <w:r w:rsidRPr="004A1CB0">
        <w:rPr>
          <w:color w:val="000000" w:themeColor="text1"/>
        </w:rPr>
        <w:t xml:space="preserve"> </w:t>
      </w:r>
      <w:r w:rsidRPr="004A1CB0">
        <w:rPr>
          <w:color w:val="000000" w:themeColor="text1"/>
          <w:lang w:val="pl-PL"/>
        </w:rPr>
        <w:t>Wystąpienie pokontrolne NIK P/19/059 Dostępność lecznictwa psychiatrycznego dla dzieci i młodzieży 2019.</w:t>
      </w:r>
    </w:p>
    <w:p w14:paraId="0CC926CE" w14:textId="77777777" w:rsidR="00F662B2" w:rsidRPr="009223A4" w:rsidRDefault="00F662B2" w:rsidP="00AF10AD">
      <w:pPr>
        <w:pStyle w:val="Tekstprzypisudolnego"/>
        <w:rPr>
          <w:lang w:val="pl-PL"/>
        </w:rPr>
      </w:pPr>
    </w:p>
  </w:footnote>
  <w:footnote w:id="13">
    <w:p w14:paraId="4AFB3399" w14:textId="79789412" w:rsidR="00F662B2" w:rsidRPr="001F584D" w:rsidRDefault="00F662B2">
      <w:pPr>
        <w:pStyle w:val="Tekstprzypisudolnego"/>
        <w:rPr>
          <w:lang w:val="pl-PL"/>
        </w:rPr>
      </w:pPr>
      <w:r w:rsidRPr="001F584D">
        <w:rPr>
          <w:rFonts w:cstheme="minorHAnsi"/>
          <w:sz w:val="17"/>
          <w:szCs w:val="17"/>
          <w:lang w:val="pl-PL"/>
        </w:rPr>
        <w:footnoteRef/>
      </w:r>
      <w:r w:rsidRPr="001F584D">
        <w:rPr>
          <w:rFonts w:cstheme="minorHAnsi"/>
          <w:sz w:val="17"/>
          <w:szCs w:val="17"/>
          <w:lang w:val="pl-PL"/>
        </w:rPr>
        <w:t xml:space="preserve"> https://wyleczdepresje.pl/wp-content/uploads/2019/04/Depresja_rekomendacje_calosc.pdf</w:t>
      </w:r>
    </w:p>
  </w:footnote>
  <w:footnote w:id="14">
    <w:p w14:paraId="1DD0EDE3" w14:textId="460D655B" w:rsidR="00F662B2" w:rsidRPr="004A1CB0" w:rsidRDefault="00F662B2">
      <w:pPr>
        <w:pStyle w:val="Tekstprzypisudolnego"/>
        <w:rPr>
          <w:rFonts w:cstheme="minorHAnsi"/>
          <w:sz w:val="17"/>
          <w:szCs w:val="17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A1CB0">
        <w:rPr>
          <w:rFonts w:cstheme="minorHAnsi"/>
          <w:sz w:val="17"/>
          <w:szCs w:val="17"/>
          <w:lang w:val="pl-PL"/>
        </w:rPr>
        <w:t>Matsubayashi, T., &amp; Ueda, M. (2011). The effect of national suicide prevention programs on suicide rates in 21 OECD nations. Social Science &amp; Medicine, 73, 1395–1400.</w:t>
      </w:r>
    </w:p>
  </w:footnote>
  <w:footnote w:id="15">
    <w:p w14:paraId="60BECF58" w14:textId="18613F9B" w:rsidR="00F662B2" w:rsidRPr="004A1CB0" w:rsidRDefault="00F662B2" w:rsidP="007F6F30">
      <w:pPr>
        <w:spacing w:after="0"/>
        <w:rPr>
          <w:rFonts w:cstheme="minorHAnsi"/>
          <w:sz w:val="17"/>
          <w:szCs w:val="17"/>
        </w:rPr>
      </w:pPr>
      <w:r w:rsidRPr="007F6F30">
        <w:rPr>
          <w:rFonts w:cstheme="minorHAnsi"/>
          <w:sz w:val="17"/>
          <w:szCs w:val="17"/>
          <w:vertAlign w:val="superscript"/>
        </w:rPr>
        <w:footnoteRef/>
      </w:r>
      <w:r w:rsidRPr="004A1CB0">
        <w:rPr>
          <w:rFonts w:cstheme="minorHAnsi"/>
          <w:sz w:val="17"/>
          <w:szCs w:val="17"/>
        </w:rPr>
        <w:t xml:space="preserve"> Matsubayashi, T., &amp; Ueda, M. (2011). The effect of national suicide prevention programs on suicide rates in 21 OECD nations. Social Science &amp; Medicine, 73, 1395–1400.</w:t>
      </w:r>
      <w:r w:rsidR="004A1CB0">
        <w:rPr>
          <w:rFonts w:cstheme="minorHAnsi"/>
          <w:sz w:val="17"/>
          <w:szCs w:val="17"/>
        </w:rPr>
        <w:t xml:space="preserve"> </w:t>
      </w:r>
      <w:r w:rsidRPr="004A1CB0">
        <w:rPr>
          <w:rFonts w:cstheme="minorHAnsi"/>
          <w:sz w:val="17"/>
          <w:szCs w:val="17"/>
        </w:rPr>
        <w:t>https://www.researchgate.net/publication/51663589_The_effect_of_national_suicide_prevention_programs_on_suicide_rates_in_21_OECD_nations</w:t>
      </w:r>
    </w:p>
  </w:footnote>
  <w:footnote w:id="16">
    <w:p w14:paraId="5485C16C" w14:textId="1506F08A" w:rsidR="00F662B2" w:rsidRPr="004A1CB0" w:rsidRDefault="00F662B2" w:rsidP="004A1CB0">
      <w:pPr>
        <w:pStyle w:val="Tekstprzypisudolnego"/>
        <w:rPr>
          <w:lang w:val="pl-PL"/>
        </w:rPr>
      </w:pPr>
      <w:r w:rsidRPr="007F6F30">
        <w:rPr>
          <w:rFonts w:cstheme="minorHAnsi"/>
          <w:sz w:val="17"/>
          <w:szCs w:val="17"/>
          <w:vertAlign w:val="superscript"/>
          <w:lang w:val="pl-PL"/>
        </w:rPr>
        <w:footnoteRef/>
      </w:r>
      <w:r w:rsidRPr="007F6F30">
        <w:rPr>
          <w:rFonts w:cstheme="minorHAnsi"/>
          <w:sz w:val="17"/>
          <w:szCs w:val="17"/>
          <w:vertAlign w:val="superscript"/>
          <w:lang w:val="pl-PL"/>
        </w:rPr>
        <w:t xml:space="preserve"> </w:t>
      </w:r>
      <w:r w:rsidRPr="004A1CB0">
        <w:rPr>
          <w:rFonts w:cstheme="minorHAnsi"/>
          <w:sz w:val="17"/>
          <w:szCs w:val="17"/>
          <w:lang w:val="pl-PL"/>
        </w:rPr>
        <w:t>Rola mediów w promocji zdrowia psychicznego i w zapobieganiu samobójstwom. Poradnik dla pracowników mediów. Baran A., Gmitrowicz A., Koszewska I. i wsp. Grupa ds. mediów przy Zespole roboczym ds. prewencji samobójstw i depresji przy Radzie ds. Zdrowia Publicznego Ministerstwa Zdrowia. Warszawa 2018.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6457"/>
    <w:multiLevelType w:val="hybridMultilevel"/>
    <w:tmpl w:val="4EF6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739"/>
    <w:multiLevelType w:val="hybridMultilevel"/>
    <w:tmpl w:val="74DA5E8E"/>
    <w:lvl w:ilvl="0" w:tplc="42148FDE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" w15:restartNumberingAfterBreak="0">
    <w:nsid w:val="0E045433"/>
    <w:multiLevelType w:val="multilevel"/>
    <w:tmpl w:val="EA708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51FC2"/>
    <w:multiLevelType w:val="hybridMultilevel"/>
    <w:tmpl w:val="565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5B87"/>
    <w:multiLevelType w:val="hybridMultilevel"/>
    <w:tmpl w:val="1F8457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7F331B"/>
    <w:multiLevelType w:val="hybridMultilevel"/>
    <w:tmpl w:val="8530E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84E78"/>
    <w:multiLevelType w:val="multilevel"/>
    <w:tmpl w:val="4852C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D48CD"/>
    <w:multiLevelType w:val="multilevel"/>
    <w:tmpl w:val="4F9C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D7C0C"/>
    <w:multiLevelType w:val="hybridMultilevel"/>
    <w:tmpl w:val="1270CF52"/>
    <w:lvl w:ilvl="0" w:tplc="2D183A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23322"/>
    <w:multiLevelType w:val="multilevel"/>
    <w:tmpl w:val="CAC43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AC3E7B"/>
    <w:multiLevelType w:val="multilevel"/>
    <w:tmpl w:val="46AEE3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27F13"/>
    <w:multiLevelType w:val="multilevel"/>
    <w:tmpl w:val="C5D05C3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8D93F19"/>
    <w:multiLevelType w:val="multilevel"/>
    <w:tmpl w:val="BCE2A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2069B"/>
    <w:multiLevelType w:val="hybridMultilevel"/>
    <w:tmpl w:val="9BE0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B53C6"/>
    <w:multiLevelType w:val="hybridMultilevel"/>
    <w:tmpl w:val="24AC3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C0B97"/>
    <w:multiLevelType w:val="hybridMultilevel"/>
    <w:tmpl w:val="485437C0"/>
    <w:lvl w:ilvl="0" w:tplc="2C0C16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5546D"/>
    <w:multiLevelType w:val="hybridMultilevel"/>
    <w:tmpl w:val="98043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86AC7"/>
    <w:multiLevelType w:val="hybridMultilevel"/>
    <w:tmpl w:val="24BEDED8"/>
    <w:lvl w:ilvl="0" w:tplc="97C604B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9458A"/>
    <w:multiLevelType w:val="hybridMultilevel"/>
    <w:tmpl w:val="6B9A4B5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213353"/>
    <w:multiLevelType w:val="hybridMultilevel"/>
    <w:tmpl w:val="2960C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64700"/>
    <w:multiLevelType w:val="hybridMultilevel"/>
    <w:tmpl w:val="4EF6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8"/>
  </w:num>
  <w:num w:numId="14">
    <w:abstractNumId w:val="5"/>
  </w:num>
  <w:num w:numId="15">
    <w:abstractNumId w:val="17"/>
  </w:num>
  <w:num w:numId="16">
    <w:abstractNumId w:val="20"/>
  </w:num>
  <w:num w:numId="17">
    <w:abstractNumId w:val="0"/>
  </w:num>
  <w:num w:numId="18">
    <w:abstractNumId w:val="14"/>
  </w:num>
  <w:num w:numId="19">
    <w:abstractNumId w:val="16"/>
  </w:num>
  <w:num w:numId="20">
    <w:abstractNumId w:val="13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B7"/>
    <w:rsid w:val="0000481C"/>
    <w:rsid w:val="00007332"/>
    <w:rsid w:val="000148DF"/>
    <w:rsid w:val="000157CB"/>
    <w:rsid w:val="00015A34"/>
    <w:rsid w:val="000171E4"/>
    <w:rsid w:val="00021CCD"/>
    <w:rsid w:val="00024361"/>
    <w:rsid w:val="00032AA3"/>
    <w:rsid w:val="0003306F"/>
    <w:rsid w:val="000336D1"/>
    <w:rsid w:val="00034BF6"/>
    <w:rsid w:val="00037AD4"/>
    <w:rsid w:val="00040E51"/>
    <w:rsid w:val="000437E6"/>
    <w:rsid w:val="00043B44"/>
    <w:rsid w:val="00044CA3"/>
    <w:rsid w:val="0005006D"/>
    <w:rsid w:val="000504BC"/>
    <w:rsid w:val="00050C1E"/>
    <w:rsid w:val="000524BC"/>
    <w:rsid w:val="00052D2C"/>
    <w:rsid w:val="00054403"/>
    <w:rsid w:val="00054C4D"/>
    <w:rsid w:val="0006074A"/>
    <w:rsid w:val="00062470"/>
    <w:rsid w:val="000638F1"/>
    <w:rsid w:val="00063ACA"/>
    <w:rsid w:val="000652AD"/>
    <w:rsid w:val="00070F8C"/>
    <w:rsid w:val="0007140D"/>
    <w:rsid w:val="00084694"/>
    <w:rsid w:val="000851B4"/>
    <w:rsid w:val="00085A12"/>
    <w:rsid w:val="00093A02"/>
    <w:rsid w:val="00097C0B"/>
    <w:rsid w:val="000A067C"/>
    <w:rsid w:val="000A59BE"/>
    <w:rsid w:val="000A638C"/>
    <w:rsid w:val="000A6EA7"/>
    <w:rsid w:val="000B2BEA"/>
    <w:rsid w:val="000C1491"/>
    <w:rsid w:val="000C2028"/>
    <w:rsid w:val="000C396E"/>
    <w:rsid w:val="000C7237"/>
    <w:rsid w:val="000D2CFB"/>
    <w:rsid w:val="000D3F6B"/>
    <w:rsid w:val="000D5E42"/>
    <w:rsid w:val="000D71BA"/>
    <w:rsid w:val="000E07C7"/>
    <w:rsid w:val="000E54CB"/>
    <w:rsid w:val="000E5B37"/>
    <w:rsid w:val="000E64D1"/>
    <w:rsid w:val="000F0BDE"/>
    <w:rsid w:val="001010FA"/>
    <w:rsid w:val="001028A2"/>
    <w:rsid w:val="0010517B"/>
    <w:rsid w:val="0010550F"/>
    <w:rsid w:val="001068CD"/>
    <w:rsid w:val="001124B5"/>
    <w:rsid w:val="00113C92"/>
    <w:rsid w:val="00114860"/>
    <w:rsid w:val="00114F99"/>
    <w:rsid w:val="00121616"/>
    <w:rsid w:val="00121EF4"/>
    <w:rsid w:val="001236F7"/>
    <w:rsid w:val="00125842"/>
    <w:rsid w:val="00131FDE"/>
    <w:rsid w:val="001364D7"/>
    <w:rsid w:val="00140044"/>
    <w:rsid w:val="0014636D"/>
    <w:rsid w:val="0014733E"/>
    <w:rsid w:val="0015135D"/>
    <w:rsid w:val="00152D87"/>
    <w:rsid w:val="00155EF4"/>
    <w:rsid w:val="001578B7"/>
    <w:rsid w:val="0016092C"/>
    <w:rsid w:val="00161FE1"/>
    <w:rsid w:val="00162A25"/>
    <w:rsid w:val="0016307E"/>
    <w:rsid w:val="00165FB9"/>
    <w:rsid w:val="0016798A"/>
    <w:rsid w:val="0017110B"/>
    <w:rsid w:val="00173229"/>
    <w:rsid w:val="00174527"/>
    <w:rsid w:val="00174F11"/>
    <w:rsid w:val="00177B4F"/>
    <w:rsid w:val="0018678A"/>
    <w:rsid w:val="00190DFD"/>
    <w:rsid w:val="00190E27"/>
    <w:rsid w:val="00194442"/>
    <w:rsid w:val="001952C3"/>
    <w:rsid w:val="001961FA"/>
    <w:rsid w:val="00196F65"/>
    <w:rsid w:val="00197FF4"/>
    <w:rsid w:val="001A2FD0"/>
    <w:rsid w:val="001A5D55"/>
    <w:rsid w:val="001B415C"/>
    <w:rsid w:val="001C2E64"/>
    <w:rsid w:val="001C4EB4"/>
    <w:rsid w:val="001E18E1"/>
    <w:rsid w:val="001E2003"/>
    <w:rsid w:val="001E744D"/>
    <w:rsid w:val="001E7682"/>
    <w:rsid w:val="001F3CC8"/>
    <w:rsid w:val="001F44D8"/>
    <w:rsid w:val="001F584D"/>
    <w:rsid w:val="001F5BA1"/>
    <w:rsid w:val="00200475"/>
    <w:rsid w:val="00204776"/>
    <w:rsid w:val="00205623"/>
    <w:rsid w:val="00210576"/>
    <w:rsid w:val="00211683"/>
    <w:rsid w:val="002217FA"/>
    <w:rsid w:val="0022501E"/>
    <w:rsid w:val="00226184"/>
    <w:rsid w:val="0022699E"/>
    <w:rsid w:val="002275B9"/>
    <w:rsid w:val="00231DAA"/>
    <w:rsid w:val="0023273F"/>
    <w:rsid w:val="002334F2"/>
    <w:rsid w:val="00235D2B"/>
    <w:rsid w:val="002366F1"/>
    <w:rsid w:val="00237B4B"/>
    <w:rsid w:val="002420A9"/>
    <w:rsid w:val="00243D21"/>
    <w:rsid w:val="002458EF"/>
    <w:rsid w:val="00246470"/>
    <w:rsid w:val="00246BC7"/>
    <w:rsid w:val="002517F4"/>
    <w:rsid w:val="00251CF9"/>
    <w:rsid w:val="00254BEA"/>
    <w:rsid w:val="00260034"/>
    <w:rsid w:val="002611EF"/>
    <w:rsid w:val="00265920"/>
    <w:rsid w:val="002741F8"/>
    <w:rsid w:val="002744F1"/>
    <w:rsid w:val="0027567F"/>
    <w:rsid w:val="002766C5"/>
    <w:rsid w:val="00276EFD"/>
    <w:rsid w:val="00277270"/>
    <w:rsid w:val="00281E2E"/>
    <w:rsid w:val="00285526"/>
    <w:rsid w:val="0029109B"/>
    <w:rsid w:val="00294A93"/>
    <w:rsid w:val="002B1A7C"/>
    <w:rsid w:val="002B1CDA"/>
    <w:rsid w:val="002B206F"/>
    <w:rsid w:val="002B2388"/>
    <w:rsid w:val="002B54E7"/>
    <w:rsid w:val="002B5C96"/>
    <w:rsid w:val="002B63FC"/>
    <w:rsid w:val="002B7A99"/>
    <w:rsid w:val="002C1312"/>
    <w:rsid w:val="002C34B8"/>
    <w:rsid w:val="002D00AA"/>
    <w:rsid w:val="002D00CF"/>
    <w:rsid w:val="002D31E3"/>
    <w:rsid w:val="002D55D9"/>
    <w:rsid w:val="002E00C3"/>
    <w:rsid w:val="002E05DC"/>
    <w:rsid w:val="002E0C84"/>
    <w:rsid w:val="002E66BA"/>
    <w:rsid w:val="002E7DB8"/>
    <w:rsid w:val="002F4561"/>
    <w:rsid w:val="002F52EB"/>
    <w:rsid w:val="002F5D6C"/>
    <w:rsid w:val="002F6181"/>
    <w:rsid w:val="002F7700"/>
    <w:rsid w:val="00301897"/>
    <w:rsid w:val="00302682"/>
    <w:rsid w:val="003050CD"/>
    <w:rsid w:val="00306EA2"/>
    <w:rsid w:val="00306EA8"/>
    <w:rsid w:val="00314C3E"/>
    <w:rsid w:val="00315E96"/>
    <w:rsid w:val="00316255"/>
    <w:rsid w:val="00322D39"/>
    <w:rsid w:val="003230B1"/>
    <w:rsid w:val="0032374F"/>
    <w:rsid w:val="0032405A"/>
    <w:rsid w:val="00327440"/>
    <w:rsid w:val="00327D43"/>
    <w:rsid w:val="00331D4A"/>
    <w:rsid w:val="003321AD"/>
    <w:rsid w:val="00335D5E"/>
    <w:rsid w:val="00337DAA"/>
    <w:rsid w:val="00340DB4"/>
    <w:rsid w:val="00341CD9"/>
    <w:rsid w:val="00341E76"/>
    <w:rsid w:val="00343F5D"/>
    <w:rsid w:val="00343F8D"/>
    <w:rsid w:val="00347CD8"/>
    <w:rsid w:val="003507AA"/>
    <w:rsid w:val="003529E0"/>
    <w:rsid w:val="00360134"/>
    <w:rsid w:val="00360EF0"/>
    <w:rsid w:val="003636C0"/>
    <w:rsid w:val="0036551B"/>
    <w:rsid w:val="00370AB9"/>
    <w:rsid w:val="00373CE6"/>
    <w:rsid w:val="00374391"/>
    <w:rsid w:val="0038378C"/>
    <w:rsid w:val="00386881"/>
    <w:rsid w:val="00391D8C"/>
    <w:rsid w:val="00392F40"/>
    <w:rsid w:val="00397E3E"/>
    <w:rsid w:val="003A128F"/>
    <w:rsid w:val="003A2F99"/>
    <w:rsid w:val="003A4589"/>
    <w:rsid w:val="003A4E96"/>
    <w:rsid w:val="003A64A0"/>
    <w:rsid w:val="003B0A1F"/>
    <w:rsid w:val="003B19BE"/>
    <w:rsid w:val="003B254D"/>
    <w:rsid w:val="003B269F"/>
    <w:rsid w:val="003B5505"/>
    <w:rsid w:val="003B5E15"/>
    <w:rsid w:val="003B6519"/>
    <w:rsid w:val="003B6928"/>
    <w:rsid w:val="003B77B7"/>
    <w:rsid w:val="003C197C"/>
    <w:rsid w:val="003C332B"/>
    <w:rsid w:val="003C5FD1"/>
    <w:rsid w:val="003D0460"/>
    <w:rsid w:val="003D19C9"/>
    <w:rsid w:val="003D7766"/>
    <w:rsid w:val="003E064C"/>
    <w:rsid w:val="003E0AF0"/>
    <w:rsid w:val="003E23DA"/>
    <w:rsid w:val="003E26D2"/>
    <w:rsid w:val="003E3DB0"/>
    <w:rsid w:val="003E4CB4"/>
    <w:rsid w:val="003E78BD"/>
    <w:rsid w:val="003F40C3"/>
    <w:rsid w:val="00400E58"/>
    <w:rsid w:val="00401875"/>
    <w:rsid w:val="00402B83"/>
    <w:rsid w:val="004033AB"/>
    <w:rsid w:val="00403BCC"/>
    <w:rsid w:val="004103CA"/>
    <w:rsid w:val="00414F35"/>
    <w:rsid w:val="00415564"/>
    <w:rsid w:val="00420D4D"/>
    <w:rsid w:val="004327F4"/>
    <w:rsid w:val="00433629"/>
    <w:rsid w:val="004342C9"/>
    <w:rsid w:val="00434C5F"/>
    <w:rsid w:val="00437785"/>
    <w:rsid w:val="004401AC"/>
    <w:rsid w:val="00445E5E"/>
    <w:rsid w:val="00446764"/>
    <w:rsid w:val="0045167E"/>
    <w:rsid w:val="00452BB0"/>
    <w:rsid w:val="00454C12"/>
    <w:rsid w:val="00464CB8"/>
    <w:rsid w:val="00470A4C"/>
    <w:rsid w:val="0047439D"/>
    <w:rsid w:val="004750A7"/>
    <w:rsid w:val="00475D44"/>
    <w:rsid w:val="0047758B"/>
    <w:rsid w:val="00477971"/>
    <w:rsid w:val="00481480"/>
    <w:rsid w:val="0048149A"/>
    <w:rsid w:val="00482121"/>
    <w:rsid w:val="00485CBB"/>
    <w:rsid w:val="00492D36"/>
    <w:rsid w:val="00492FB3"/>
    <w:rsid w:val="00494F33"/>
    <w:rsid w:val="00495E4F"/>
    <w:rsid w:val="0049624C"/>
    <w:rsid w:val="00496458"/>
    <w:rsid w:val="004A103D"/>
    <w:rsid w:val="004A11AC"/>
    <w:rsid w:val="004A1949"/>
    <w:rsid w:val="004A1CB0"/>
    <w:rsid w:val="004A2241"/>
    <w:rsid w:val="004A5F50"/>
    <w:rsid w:val="004B4F9A"/>
    <w:rsid w:val="004B5E6E"/>
    <w:rsid w:val="004C231E"/>
    <w:rsid w:val="004C5C72"/>
    <w:rsid w:val="004C7763"/>
    <w:rsid w:val="004D0299"/>
    <w:rsid w:val="004E3E6E"/>
    <w:rsid w:val="004E4B08"/>
    <w:rsid w:val="004E7379"/>
    <w:rsid w:val="004F15BA"/>
    <w:rsid w:val="004F3C25"/>
    <w:rsid w:val="004F5513"/>
    <w:rsid w:val="004F59FE"/>
    <w:rsid w:val="004F5D52"/>
    <w:rsid w:val="004F63D9"/>
    <w:rsid w:val="00500840"/>
    <w:rsid w:val="0050559A"/>
    <w:rsid w:val="00511EC5"/>
    <w:rsid w:val="00515032"/>
    <w:rsid w:val="00515D09"/>
    <w:rsid w:val="00515FD6"/>
    <w:rsid w:val="005169AF"/>
    <w:rsid w:val="00517363"/>
    <w:rsid w:val="00523DCD"/>
    <w:rsid w:val="00527BAF"/>
    <w:rsid w:val="00533D9D"/>
    <w:rsid w:val="00535A49"/>
    <w:rsid w:val="00541598"/>
    <w:rsid w:val="005462F1"/>
    <w:rsid w:val="005509DA"/>
    <w:rsid w:val="005513CF"/>
    <w:rsid w:val="00554206"/>
    <w:rsid w:val="00554636"/>
    <w:rsid w:val="00555209"/>
    <w:rsid w:val="00560154"/>
    <w:rsid w:val="00562449"/>
    <w:rsid w:val="005716AC"/>
    <w:rsid w:val="00574D11"/>
    <w:rsid w:val="00576573"/>
    <w:rsid w:val="005768B8"/>
    <w:rsid w:val="00580CEF"/>
    <w:rsid w:val="00580FEA"/>
    <w:rsid w:val="00581F4D"/>
    <w:rsid w:val="0058258F"/>
    <w:rsid w:val="005840D0"/>
    <w:rsid w:val="005861AD"/>
    <w:rsid w:val="00596378"/>
    <w:rsid w:val="00597245"/>
    <w:rsid w:val="005A1DA3"/>
    <w:rsid w:val="005A3828"/>
    <w:rsid w:val="005A7948"/>
    <w:rsid w:val="005B5B66"/>
    <w:rsid w:val="005C4696"/>
    <w:rsid w:val="005C5259"/>
    <w:rsid w:val="005C541D"/>
    <w:rsid w:val="005C65F6"/>
    <w:rsid w:val="005D5C6B"/>
    <w:rsid w:val="005D6FF1"/>
    <w:rsid w:val="005E209E"/>
    <w:rsid w:val="005E63EE"/>
    <w:rsid w:val="005F2142"/>
    <w:rsid w:val="00600D4D"/>
    <w:rsid w:val="00601BDB"/>
    <w:rsid w:val="00603660"/>
    <w:rsid w:val="006047FB"/>
    <w:rsid w:val="00611377"/>
    <w:rsid w:val="006130E9"/>
    <w:rsid w:val="00613491"/>
    <w:rsid w:val="0061441D"/>
    <w:rsid w:val="00617A30"/>
    <w:rsid w:val="0062009C"/>
    <w:rsid w:val="00625907"/>
    <w:rsid w:val="00625E35"/>
    <w:rsid w:val="00636BE2"/>
    <w:rsid w:val="00637418"/>
    <w:rsid w:val="00637EEF"/>
    <w:rsid w:val="0064063E"/>
    <w:rsid w:val="00646381"/>
    <w:rsid w:val="006513BB"/>
    <w:rsid w:val="00654384"/>
    <w:rsid w:val="00654D85"/>
    <w:rsid w:val="00655D31"/>
    <w:rsid w:val="00656895"/>
    <w:rsid w:val="0066543D"/>
    <w:rsid w:val="0066681D"/>
    <w:rsid w:val="00670163"/>
    <w:rsid w:val="00671668"/>
    <w:rsid w:val="00674421"/>
    <w:rsid w:val="0067621B"/>
    <w:rsid w:val="006838C7"/>
    <w:rsid w:val="0068707D"/>
    <w:rsid w:val="00697207"/>
    <w:rsid w:val="006C5089"/>
    <w:rsid w:val="006D2C35"/>
    <w:rsid w:val="006D2DBC"/>
    <w:rsid w:val="006D6486"/>
    <w:rsid w:val="006E1212"/>
    <w:rsid w:val="006E294C"/>
    <w:rsid w:val="006F0E51"/>
    <w:rsid w:val="006F3FC9"/>
    <w:rsid w:val="006F510B"/>
    <w:rsid w:val="00701F97"/>
    <w:rsid w:val="0070270A"/>
    <w:rsid w:val="00703818"/>
    <w:rsid w:val="0070527E"/>
    <w:rsid w:val="007072AE"/>
    <w:rsid w:val="00710187"/>
    <w:rsid w:val="00714C42"/>
    <w:rsid w:val="00714C6C"/>
    <w:rsid w:val="00720966"/>
    <w:rsid w:val="00732FA2"/>
    <w:rsid w:val="007426C2"/>
    <w:rsid w:val="0074644C"/>
    <w:rsid w:val="00746CBB"/>
    <w:rsid w:val="00750653"/>
    <w:rsid w:val="007536D3"/>
    <w:rsid w:val="007574B5"/>
    <w:rsid w:val="007578F6"/>
    <w:rsid w:val="00761C9D"/>
    <w:rsid w:val="0076280D"/>
    <w:rsid w:val="00772C86"/>
    <w:rsid w:val="00773743"/>
    <w:rsid w:val="0077388F"/>
    <w:rsid w:val="0077626D"/>
    <w:rsid w:val="0077646F"/>
    <w:rsid w:val="007806D2"/>
    <w:rsid w:val="00782EA7"/>
    <w:rsid w:val="007856F9"/>
    <w:rsid w:val="0079374B"/>
    <w:rsid w:val="00793914"/>
    <w:rsid w:val="00794566"/>
    <w:rsid w:val="007A46B7"/>
    <w:rsid w:val="007A65FA"/>
    <w:rsid w:val="007B0132"/>
    <w:rsid w:val="007B306C"/>
    <w:rsid w:val="007C169E"/>
    <w:rsid w:val="007C28E4"/>
    <w:rsid w:val="007C3FE3"/>
    <w:rsid w:val="007C42D0"/>
    <w:rsid w:val="007C7342"/>
    <w:rsid w:val="007D0D96"/>
    <w:rsid w:val="007D44F5"/>
    <w:rsid w:val="007D5746"/>
    <w:rsid w:val="007D652E"/>
    <w:rsid w:val="007E156B"/>
    <w:rsid w:val="007E3BDC"/>
    <w:rsid w:val="007E3C36"/>
    <w:rsid w:val="007E6E43"/>
    <w:rsid w:val="007F0595"/>
    <w:rsid w:val="007F1ADA"/>
    <w:rsid w:val="007F5474"/>
    <w:rsid w:val="007F6F30"/>
    <w:rsid w:val="007F74A7"/>
    <w:rsid w:val="008031EA"/>
    <w:rsid w:val="0080322F"/>
    <w:rsid w:val="00805129"/>
    <w:rsid w:val="00805592"/>
    <w:rsid w:val="0081005D"/>
    <w:rsid w:val="00815B9A"/>
    <w:rsid w:val="008223E2"/>
    <w:rsid w:val="00822D66"/>
    <w:rsid w:val="00826C5D"/>
    <w:rsid w:val="00826CDC"/>
    <w:rsid w:val="008356DF"/>
    <w:rsid w:val="008358B4"/>
    <w:rsid w:val="00843A6D"/>
    <w:rsid w:val="00843B15"/>
    <w:rsid w:val="00844153"/>
    <w:rsid w:val="00845024"/>
    <w:rsid w:val="008464A2"/>
    <w:rsid w:val="00855CC7"/>
    <w:rsid w:val="00857715"/>
    <w:rsid w:val="0086143E"/>
    <w:rsid w:val="00861DF1"/>
    <w:rsid w:val="00864A99"/>
    <w:rsid w:val="0087282A"/>
    <w:rsid w:val="00872933"/>
    <w:rsid w:val="00874B80"/>
    <w:rsid w:val="0087664B"/>
    <w:rsid w:val="00884592"/>
    <w:rsid w:val="00884756"/>
    <w:rsid w:val="00886E47"/>
    <w:rsid w:val="0089251E"/>
    <w:rsid w:val="008926FB"/>
    <w:rsid w:val="0089345E"/>
    <w:rsid w:val="00893E41"/>
    <w:rsid w:val="008A0E80"/>
    <w:rsid w:val="008A0F0C"/>
    <w:rsid w:val="008A1376"/>
    <w:rsid w:val="008A298C"/>
    <w:rsid w:val="008A3982"/>
    <w:rsid w:val="008A77C8"/>
    <w:rsid w:val="008C07C5"/>
    <w:rsid w:val="008C0805"/>
    <w:rsid w:val="008C277F"/>
    <w:rsid w:val="008C62FF"/>
    <w:rsid w:val="008D32EC"/>
    <w:rsid w:val="008D5803"/>
    <w:rsid w:val="008E0E9D"/>
    <w:rsid w:val="008E1E39"/>
    <w:rsid w:val="008E270F"/>
    <w:rsid w:val="008E49CD"/>
    <w:rsid w:val="008E4E8A"/>
    <w:rsid w:val="008F0FFC"/>
    <w:rsid w:val="008F1FCE"/>
    <w:rsid w:val="009012E1"/>
    <w:rsid w:val="009178FB"/>
    <w:rsid w:val="00925B3C"/>
    <w:rsid w:val="009262EF"/>
    <w:rsid w:val="009300C3"/>
    <w:rsid w:val="0093085D"/>
    <w:rsid w:val="009366F8"/>
    <w:rsid w:val="009413D8"/>
    <w:rsid w:val="009428DA"/>
    <w:rsid w:val="00943B67"/>
    <w:rsid w:val="0095074D"/>
    <w:rsid w:val="00956E51"/>
    <w:rsid w:val="00961D15"/>
    <w:rsid w:val="00961D58"/>
    <w:rsid w:val="00963A67"/>
    <w:rsid w:val="009658F8"/>
    <w:rsid w:val="00970F0C"/>
    <w:rsid w:val="00971480"/>
    <w:rsid w:val="00972908"/>
    <w:rsid w:val="00973EFC"/>
    <w:rsid w:val="00974F2C"/>
    <w:rsid w:val="0097514A"/>
    <w:rsid w:val="009755F5"/>
    <w:rsid w:val="00982B69"/>
    <w:rsid w:val="00987E8E"/>
    <w:rsid w:val="00991A53"/>
    <w:rsid w:val="009930F6"/>
    <w:rsid w:val="00996DE4"/>
    <w:rsid w:val="009A0FA7"/>
    <w:rsid w:val="009A16A6"/>
    <w:rsid w:val="009A33E4"/>
    <w:rsid w:val="009A3A04"/>
    <w:rsid w:val="009A4EA3"/>
    <w:rsid w:val="009A506A"/>
    <w:rsid w:val="009B46D2"/>
    <w:rsid w:val="009B5DB6"/>
    <w:rsid w:val="009C1260"/>
    <w:rsid w:val="009C18D2"/>
    <w:rsid w:val="009C329A"/>
    <w:rsid w:val="009C4257"/>
    <w:rsid w:val="009C448D"/>
    <w:rsid w:val="009C5860"/>
    <w:rsid w:val="009C6206"/>
    <w:rsid w:val="009D0E22"/>
    <w:rsid w:val="009D5CF8"/>
    <w:rsid w:val="009D608D"/>
    <w:rsid w:val="009D7457"/>
    <w:rsid w:val="009D7829"/>
    <w:rsid w:val="009D7EFA"/>
    <w:rsid w:val="009E502D"/>
    <w:rsid w:val="009E541E"/>
    <w:rsid w:val="00A033F4"/>
    <w:rsid w:val="00A03FED"/>
    <w:rsid w:val="00A10277"/>
    <w:rsid w:val="00A137E5"/>
    <w:rsid w:val="00A137F8"/>
    <w:rsid w:val="00A14AC0"/>
    <w:rsid w:val="00A14DA1"/>
    <w:rsid w:val="00A20135"/>
    <w:rsid w:val="00A21BF1"/>
    <w:rsid w:val="00A241EE"/>
    <w:rsid w:val="00A24711"/>
    <w:rsid w:val="00A26C8E"/>
    <w:rsid w:val="00A313DF"/>
    <w:rsid w:val="00A31AEF"/>
    <w:rsid w:val="00A3253E"/>
    <w:rsid w:val="00A32C77"/>
    <w:rsid w:val="00A36DA1"/>
    <w:rsid w:val="00A40C0E"/>
    <w:rsid w:val="00A4341C"/>
    <w:rsid w:val="00A458BE"/>
    <w:rsid w:val="00A4597E"/>
    <w:rsid w:val="00A45CE9"/>
    <w:rsid w:val="00A46028"/>
    <w:rsid w:val="00A467BA"/>
    <w:rsid w:val="00A46E02"/>
    <w:rsid w:val="00A51EA9"/>
    <w:rsid w:val="00A52BA4"/>
    <w:rsid w:val="00A574DD"/>
    <w:rsid w:val="00A65E9A"/>
    <w:rsid w:val="00A7119A"/>
    <w:rsid w:val="00A7121B"/>
    <w:rsid w:val="00A74A73"/>
    <w:rsid w:val="00A75368"/>
    <w:rsid w:val="00A81C2C"/>
    <w:rsid w:val="00A8612D"/>
    <w:rsid w:val="00A90668"/>
    <w:rsid w:val="00A91364"/>
    <w:rsid w:val="00A92357"/>
    <w:rsid w:val="00A949E8"/>
    <w:rsid w:val="00A972E9"/>
    <w:rsid w:val="00AA1DE0"/>
    <w:rsid w:val="00AA3BB5"/>
    <w:rsid w:val="00AA7513"/>
    <w:rsid w:val="00AB16A3"/>
    <w:rsid w:val="00AB1B5A"/>
    <w:rsid w:val="00AB5540"/>
    <w:rsid w:val="00AB57E5"/>
    <w:rsid w:val="00AB5C00"/>
    <w:rsid w:val="00AB701D"/>
    <w:rsid w:val="00AC01BD"/>
    <w:rsid w:val="00AC1E70"/>
    <w:rsid w:val="00AC6C4D"/>
    <w:rsid w:val="00AE7BE5"/>
    <w:rsid w:val="00AF10AD"/>
    <w:rsid w:val="00AF1F22"/>
    <w:rsid w:val="00AF6DDD"/>
    <w:rsid w:val="00B003E4"/>
    <w:rsid w:val="00B0221B"/>
    <w:rsid w:val="00B0565A"/>
    <w:rsid w:val="00B05A0C"/>
    <w:rsid w:val="00B154DF"/>
    <w:rsid w:val="00B15B63"/>
    <w:rsid w:val="00B272D2"/>
    <w:rsid w:val="00B31265"/>
    <w:rsid w:val="00B3133A"/>
    <w:rsid w:val="00B333C2"/>
    <w:rsid w:val="00B34A79"/>
    <w:rsid w:val="00B3528A"/>
    <w:rsid w:val="00B35B2C"/>
    <w:rsid w:val="00B43144"/>
    <w:rsid w:val="00B50156"/>
    <w:rsid w:val="00B52AF9"/>
    <w:rsid w:val="00B5304B"/>
    <w:rsid w:val="00B56279"/>
    <w:rsid w:val="00B57978"/>
    <w:rsid w:val="00B6277E"/>
    <w:rsid w:val="00B64381"/>
    <w:rsid w:val="00B651E9"/>
    <w:rsid w:val="00B80D47"/>
    <w:rsid w:val="00B81C74"/>
    <w:rsid w:val="00B82E5D"/>
    <w:rsid w:val="00B8308B"/>
    <w:rsid w:val="00B9013C"/>
    <w:rsid w:val="00B978B4"/>
    <w:rsid w:val="00BA36AC"/>
    <w:rsid w:val="00BA4D16"/>
    <w:rsid w:val="00BB07C3"/>
    <w:rsid w:val="00BB1AE9"/>
    <w:rsid w:val="00BB1B63"/>
    <w:rsid w:val="00BC026D"/>
    <w:rsid w:val="00BC0F35"/>
    <w:rsid w:val="00BC1967"/>
    <w:rsid w:val="00BC3B3B"/>
    <w:rsid w:val="00BD3C1C"/>
    <w:rsid w:val="00BE7010"/>
    <w:rsid w:val="00BF16B1"/>
    <w:rsid w:val="00BF33F1"/>
    <w:rsid w:val="00C171F8"/>
    <w:rsid w:val="00C26EA4"/>
    <w:rsid w:val="00C26EDA"/>
    <w:rsid w:val="00C27BB3"/>
    <w:rsid w:val="00C31CF8"/>
    <w:rsid w:val="00C34D88"/>
    <w:rsid w:val="00C3553D"/>
    <w:rsid w:val="00C372E2"/>
    <w:rsid w:val="00C37872"/>
    <w:rsid w:val="00C4020E"/>
    <w:rsid w:val="00C40DF6"/>
    <w:rsid w:val="00C41E1E"/>
    <w:rsid w:val="00C41EB9"/>
    <w:rsid w:val="00C43537"/>
    <w:rsid w:val="00C51C9E"/>
    <w:rsid w:val="00C61165"/>
    <w:rsid w:val="00C619D7"/>
    <w:rsid w:val="00C61BBC"/>
    <w:rsid w:val="00C65400"/>
    <w:rsid w:val="00C67706"/>
    <w:rsid w:val="00C71530"/>
    <w:rsid w:val="00C9180E"/>
    <w:rsid w:val="00C91D8D"/>
    <w:rsid w:val="00C930D3"/>
    <w:rsid w:val="00C93B1E"/>
    <w:rsid w:val="00C94B1A"/>
    <w:rsid w:val="00C94C23"/>
    <w:rsid w:val="00CA236C"/>
    <w:rsid w:val="00CA32BE"/>
    <w:rsid w:val="00CA4392"/>
    <w:rsid w:val="00CA6052"/>
    <w:rsid w:val="00CB0783"/>
    <w:rsid w:val="00CB1C7F"/>
    <w:rsid w:val="00CB520F"/>
    <w:rsid w:val="00CC3F56"/>
    <w:rsid w:val="00CD096E"/>
    <w:rsid w:val="00CD5853"/>
    <w:rsid w:val="00CD5A2C"/>
    <w:rsid w:val="00CE1616"/>
    <w:rsid w:val="00CE4A3C"/>
    <w:rsid w:val="00CF4988"/>
    <w:rsid w:val="00D00678"/>
    <w:rsid w:val="00D02721"/>
    <w:rsid w:val="00D036AE"/>
    <w:rsid w:val="00D044CD"/>
    <w:rsid w:val="00D1227A"/>
    <w:rsid w:val="00D13198"/>
    <w:rsid w:val="00D1576B"/>
    <w:rsid w:val="00D15C63"/>
    <w:rsid w:val="00D24066"/>
    <w:rsid w:val="00D255D4"/>
    <w:rsid w:val="00D27646"/>
    <w:rsid w:val="00D305F8"/>
    <w:rsid w:val="00D3270F"/>
    <w:rsid w:val="00D4102E"/>
    <w:rsid w:val="00D41DF0"/>
    <w:rsid w:val="00D42742"/>
    <w:rsid w:val="00D506B7"/>
    <w:rsid w:val="00D523F9"/>
    <w:rsid w:val="00D529DB"/>
    <w:rsid w:val="00D54B85"/>
    <w:rsid w:val="00D56AC1"/>
    <w:rsid w:val="00D60689"/>
    <w:rsid w:val="00D620C6"/>
    <w:rsid w:val="00D6234A"/>
    <w:rsid w:val="00D63608"/>
    <w:rsid w:val="00D65412"/>
    <w:rsid w:val="00D71BB1"/>
    <w:rsid w:val="00D73483"/>
    <w:rsid w:val="00D759E8"/>
    <w:rsid w:val="00D769D6"/>
    <w:rsid w:val="00D81AED"/>
    <w:rsid w:val="00D84133"/>
    <w:rsid w:val="00D84BD0"/>
    <w:rsid w:val="00D85735"/>
    <w:rsid w:val="00D91252"/>
    <w:rsid w:val="00D923D3"/>
    <w:rsid w:val="00D92AB7"/>
    <w:rsid w:val="00D95ADE"/>
    <w:rsid w:val="00D96C68"/>
    <w:rsid w:val="00D97B70"/>
    <w:rsid w:val="00DA0856"/>
    <w:rsid w:val="00DA4EF0"/>
    <w:rsid w:val="00DA4F36"/>
    <w:rsid w:val="00DA5028"/>
    <w:rsid w:val="00DB13B4"/>
    <w:rsid w:val="00DB1ABE"/>
    <w:rsid w:val="00DB56D9"/>
    <w:rsid w:val="00DB6CA2"/>
    <w:rsid w:val="00DB6E97"/>
    <w:rsid w:val="00DB7E89"/>
    <w:rsid w:val="00DC1D64"/>
    <w:rsid w:val="00DC2AEE"/>
    <w:rsid w:val="00DC4A12"/>
    <w:rsid w:val="00DC69D7"/>
    <w:rsid w:val="00DD55FD"/>
    <w:rsid w:val="00DD6441"/>
    <w:rsid w:val="00DD795E"/>
    <w:rsid w:val="00DE2162"/>
    <w:rsid w:val="00DE246C"/>
    <w:rsid w:val="00DE7B13"/>
    <w:rsid w:val="00E01C99"/>
    <w:rsid w:val="00E033F5"/>
    <w:rsid w:val="00E03EE4"/>
    <w:rsid w:val="00E140DD"/>
    <w:rsid w:val="00E142A9"/>
    <w:rsid w:val="00E14B66"/>
    <w:rsid w:val="00E15A00"/>
    <w:rsid w:val="00E16475"/>
    <w:rsid w:val="00E21574"/>
    <w:rsid w:val="00E229C5"/>
    <w:rsid w:val="00E31112"/>
    <w:rsid w:val="00E32679"/>
    <w:rsid w:val="00E34A22"/>
    <w:rsid w:val="00E34C5A"/>
    <w:rsid w:val="00E42D8D"/>
    <w:rsid w:val="00E440CC"/>
    <w:rsid w:val="00E456A6"/>
    <w:rsid w:val="00E472F8"/>
    <w:rsid w:val="00E50B5F"/>
    <w:rsid w:val="00E52F92"/>
    <w:rsid w:val="00E53C16"/>
    <w:rsid w:val="00E6060E"/>
    <w:rsid w:val="00E62BCA"/>
    <w:rsid w:val="00E72279"/>
    <w:rsid w:val="00E726F2"/>
    <w:rsid w:val="00E7453F"/>
    <w:rsid w:val="00E74D62"/>
    <w:rsid w:val="00E7796E"/>
    <w:rsid w:val="00E82253"/>
    <w:rsid w:val="00E84101"/>
    <w:rsid w:val="00E922E4"/>
    <w:rsid w:val="00E94C4B"/>
    <w:rsid w:val="00E95DD7"/>
    <w:rsid w:val="00E96B6B"/>
    <w:rsid w:val="00EA083F"/>
    <w:rsid w:val="00EA1979"/>
    <w:rsid w:val="00EA5238"/>
    <w:rsid w:val="00EB12FA"/>
    <w:rsid w:val="00EB1BA8"/>
    <w:rsid w:val="00EB3509"/>
    <w:rsid w:val="00EB508F"/>
    <w:rsid w:val="00EB550E"/>
    <w:rsid w:val="00EC2370"/>
    <w:rsid w:val="00EC2435"/>
    <w:rsid w:val="00EC2970"/>
    <w:rsid w:val="00EC4CE2"/>
    <w:rsid w:val="00EC5548"/>
    <w:rsid w:val="00EC5DB8"/>
    <w:rsid w:val="00EC7AD7"/>
    <w:rsid w:val="00ED0BFC"/>
    <w:rsid w:val="00ED17C1"/>
    <w:rsid w:val="00ED3028"/>
    <w:rsid w:val="00ED5283"/>
    <w:rsid w:val="00EE00FA"/>
    <w:rsid w:val="00EE03BD"/>
    <w:rsid w:val="00EE4554"/>
    <w:rsid w:val="00EE4664"/>
    <w:rsid w:val="00EF32E0"/>
    <w:rsid w:val="00EF3ADC"/>
    <w:rsid w:val="00EF49D6"/>
    <w:rsid w:val="00F00CAA"/>
    <w:rsid w:val="00F01084"/>
    <w:rsid w:val="00F01675"/>
    <w:rsid w:val="00F0382B"/>
    <w:rsid w:val="00F03E0A"/>
    <w:rsid w:val="00F12492"/>
    <w:rsid w:val="00F15AFD"/>
    <w:rsid w:val="00F175B2"/>
    <w:rsid w:val="00F17FF0"/>
    <w:rsid w:val="00F23D9F"/>
    <w:rsid w:val="00F27C62"/>
    <w:rsid w:val="00F36444"/>
    <w:rsid w:val="00F41990"/>
    <w:rsid w:val="00F437B6"/>
    <w:rsid w:val="00F44EF9"/>
    <w:rsid w:val="00F45BE9"/>
    <w:rsid w:val="00F46D15"/>
    <w:rsid w:val="00F523A7"/>
    <w:rsid w:val="00F5315D"/>
    <w:rsid w:val="00F53A0B"/>
    <w:rsid w:val="00F54386"/>
    <w:rsid w:val="00F56E3D"/>
    <w:rsid w:val="00F63400"/>
    <w:rsid w:val="00F63732"/>
    <w:rsid w:val="00F660FC"/>
    <w:rsid w:val="00F662B2"/>
    <w:rsid w:val="00F67533"/>
    <w:rsid w:val="00F67F32"/>
    <w:rsid w:val="00F701BD"/>
    <w:rsid w:val="00F70F05"/>
    <w:rsid w:val="00F72842"/>
    <w:rsid w:val="00F80BDC"/>
    <w:rsid w:val="00F81BE5"/>
    <w:rsid w:val="00F82FAC"/>
    <w:rsid w:val="00F84D7A"/>
    <w:rsid w:val="00F972B4"/>
    <w:rsid w:val="00FA0ED8"/>
    <w:rsid w:val="00FA17E1"/>
    <w:rsid w:val="00FA61AB"/>
    <w:rsid w:val="00FA71A6"/>
    <w:rsid w:val="00FA7A19"/>
    <w:rsid w:val="00FB2637"/>
    <w:rsid w:val="00FB298C"/>
    <w:rsid w:val="00FB3E45"/>
    <w:rsid w:val="00FB3E62"/>
    <w:rsid w:val="00FC180D"/>
    <w:rsid w:val="00FC46BA"/>
    <w:rsid w:val="00FC6982"/>
    <w:rsid w:val="00FD0829"/>
    <w:rsid w:val="00FD1AFF"/>
    <w:rsid w:val="00FD3156"/>
    <w:rsid w:val="00FD3BD9"/>
    <w:rsid w:val="00FD5D70"/>
    <w:rsid w:val="00FD6B2F"/>
    <w:rsid w:val="00FE0105"/>
    <w:rsid w:val="00FE1931"/>
    <w:rsid w:val="00FE2358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AC5C"/>
  <w15:chartTrackingRefBased/>
  <w15:docId w15:val="{7B41E81E-312D-4AB1-B544-18CA8819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392"/>
  </w:style>
  <w:style w:type="paragraph" w:styleId="Nagwek1">
    <w:name w:val="heading 1"/>
    <w:basedOn w:val="Normalny"/>
    <w:next w:val="Normalny"/>
    <w:link w:val="Nagwek1Znak"/>
    <w:uiPriority w:val="9"/>
    <w:qFormat/>
    <w:rsid w:val="00C9180E"/>
    <w:pPr>
      <w:keepNext/>
      <w:keepLines/>
      <w:pageBreakBefore/>
      <w:spacing w:before="240" w:after="240"/>
      <w:outlineLvl w:val="0"/>
    </w:pPr>
    <w:rPr>
      <w:rFonts w:asciiTheme="majorHAnsi" w:eastAsiaTheme="majorEastAsia" w:hAnsiTheme="majorHAnsi" w:cstheme="majorBidi"/>
      <w:b/>
      <w:color w:val="C00000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3C92"/>
    <w:pPr>
      <w:keepNext/>
      <w:keepLines/>
      <w:spacing w:before="360" w:after="240" w:line="240" w:lineRule="auto"/>
      <w:outlineLvl w:val="1"/>
    </w:pPr>
    <w:rPr>
      <w:rFonts w:asciiTheme="majorHAnsi" w:eastAsiaTheme="majorEastAsia" w:hAnsiTheme="majorHAnsi" w:cstheme="majorBidi"/>
      <w:b/>
      <w:color w:val="C00000"/>
      <w:sz w:val="28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3C9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C00000"/>
      <w:sz w:val="26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BDC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C00000"/>
      <w:sz w:val="25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46E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C00000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46E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C00000"/>
      <w:sz w:val="2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1005D"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C0000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46E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506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180E"/>
    <w:rPr>
      <w:rFonts w:asciiTheme="majorHAnsi" w:eastAsiaTheme="majorEastAsia" w:hAnsiTheme="majorHAnsi" w:cstheme="majorBidi"/>
      <w:b/>
      <w:color w:val="C00000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13C92"/>
    <w:rPr>
      <w:rFonts w:asciiTheme="majorHAnsi" w:eastAsiaTheme="majorEastAsia" w:hAnsiTheme="majorHAnsi" w:cstheme="majorBidi"/>
      <w:b/>
      <w:color w:val="C0000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3C92"/>
    <w:rPr>
      <w:rFonts w:asciiTheme="majorHAnsi" w:eastAsiaTheme="majorEastAsia" w:hAnsiTheme="majorHAnsi" w:cstheme="majorBidi"/>
      <w:b/>
      <w:color w:val="C00000"/>
      <w:sz w:val="26"/>
      <w:szCs w:val="24"/>
      <w:lang w:val="en-US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,footnote text"/>
    <w:basedOn w:val="Normalny"/>
    <w:link w:val="TekstprzypisudolnegoZnak"/>
    <w:uiPriority w:val="99"/>
    <w:unhideWhenUsed/>
    <w:rsid w:val="00C9180E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uiPriority w:val="99"/>
    <w:rsid w:val="00C9180E"/>
    <w:rPr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reference number,note TESI,Footnote Reference Superscript,Appel note de bas de p,Times 10 Point,Exposant 3 Point,EN Footnote Reference,BVI fnr,E FNZ"/>
    <w:basedOn w:val="Domylnaczcionkaakapitu"/>
    <w:link w:val="FootnoteReferneceCarcter"/>
    <w:uiPriority w:val="99"/>
    <w:unhideWhenUsed/>
    <w:qFormat/>
    <w:rsid w:val="00C9180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C91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9180E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9180E"/>
    <w:rPr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C9180E"/>
  </w:style>
  <w:style w:type="paragraph" w:customStyle="1" w:styleId="FootnoteReferneceCarcter">
    <w:name w:val="Footnote Refernece Carácter"/>
    <w:aliases w:val="ftref Carácter,4_G Carácter"/>
    <w:basedOn w:val="Normalny"/>
    <w:link w:val="Odwoanieprzypisudolnego"/>
    <w:uiPriority w:val="99"/>
    <w:rsid w:val="00C9180E"/>
    <w:pPr>
      <w:spacing w:before="120" w:line="240" w:lineRule="exact"/>
      <w:jc w:val="both"/>
    </w:pPr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80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028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028"/>
    <w:rPr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B6277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6277E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7E3BDC"/>
    <w:rPr>
      <w:rFonts w:asciiTheme="majorHAnsi" w:eastAsiaTheme="majorEastAsia" w:hAnsiTheme="majorHAnsi" w:cstheme="majorBidi"/>
      <w:b/>
      <w:iCs/>
      <w:color w:val="C00000"/>
      <w:sz w:val="25"/>
    </w:rPr>
  </w:style>
  <w:style w:type="character" w:customStyle="1" w:styleId="Nagwek5Znak">
    <w:name w:val="Nagłówek 5 Znak"/>
    <w:basedOn w:val="Domylnaczcionkaakapitu"/>
    <w:link w:val="Nagwek5"/>
    <w:uiPriority w:val="9"/>
    <w:rsid w:val="00A46E02"/>
    <w:rPr>
      <w:rFonts w:asciiTheme="majorHAnsi" w:eastAsiaTheme="majorEastAsia" w:hAnsiTheme="majorHAnsi" w:cstheme="majorBidi"/>
      <w:b/>
      <w:color w:val="C0000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46E02"/>
    <w:rPr>
      <w:rFonts w:asciiTheme="majorHAnsi" w:eastAsiaTheme="majorEastAsia" w:hAnsiTheme="majorHAnsi" w:cstheme="majorBidi"/>
      <w:b/>
      <w:color w:val="C00000"/>
      <w:sz w:val="23"/>
    </w:rPr>
  </w:style>
  <w:style w:type="paragraph" w:styleId="Nagwek">
    <w:name w:val="header"/>
    <w:basedOn w:val="Normalny"/>
    <w:link w:val="NagwekZnak"/>
    <w:uiPriority w:val="99"/>
    <w:unhideWhenUsed/>
    <w:rsid w:val="005E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3EE"/>
  </w:style>
  <w:style w:type="paragraph" w:styleId="Stopka">
    <w:name w:val="footer"/>
    <w:basedOn w:val="Normalny"/>
    <w:link w:val="StopkaZnak"/>
    <w:uiPriority w:val="99"/>
    <w:unhideWhenUsed/>
    <w:rsid w:val="005E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3EE"/>
  </w:style>
  <w:style w:type="paragraph" w:styleId="Nagwekspisutreci">
    <w:name w:val="TOC Heading"/>
    <w:basedOn w:val="Nagwek1"/>
    <w:next w:val="Normalny"/>
    <w:uiPriority w:val="39"/>
    <w:unhideWhenUsed/>
    <w:qFormat/>
    <w:rsid w:val="007A65FA"/>
    <w:pPr>
      <w:pageBreakBefore w:val="0"/>
      <w:spacing w:after="0"/>
      <w:outlineLvl w:val="9"/>
    </w:pPr>
    <w:rPr>
      <w:b w:val="0"/>
      <w:color w:val="2E74B5" w:themeColor="accent1" w:themeShade="BF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D5746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D5746"/>
    <w:pPr>
      <w:tabs>
        <w:tab w:val="right" w:leader="dot" w:pos="9062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A65FA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7A65FA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87293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87293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87293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872933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72933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72933"/>
    <w:pPr>
      <w:spacing w:after="100"/>
      <w:ind w:left="1760"/>
    </w:pPr>
    <w:rPr>
      <w:rFonts w:eastAsiaTheme="minorEastAsia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1005D"/>
    <w:rPr>
      <w:rFonts w:asciiTheme="majorHAnsi" w:eastAsiaTheme="majorEastAsia" w:hAnsiTheme="majorHAnsi" w:cstheme="majorBidi"/>
      <w:i/>
      <w:iCs/>
      <w:color w:val="C00000"/>
    </w:rPr>
  </w:style>
  <w:style w:type="character" w:customStyle="1" w:styleId="Nagwek8Znak">
    <w:name w:val="Nagłówek 8 Znak"/>
    <w:basedOn w:val="Domylnaczcionkaakapitu"/>
    <w:link w:val="Nagwek8"/>
    <w:uiPriority w:val="9"/>
    <w:rsid w:val="00A46E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e24kjd">
    <w:name w:val="e24kjd"/>
    <w:basedOn w:val="Domylnaczcionkaakapitu"/>
    <w:rsid w:val="007C7342"/>
  </w:style>
  <w:style w:type="paragraph" w:styleId="Poprawka">
    <w:name w:val="Revision"/>
    <w:hidden/>
    <w:uiPriority w:val="99"/>
    <w:semiHidden/>
    <w:rsid w:val="00A1027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050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050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10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0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10F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3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akcent1">
    <w:name w:val="Grid Table 1 Light Accent 1"/>
    <w:basedOn w:val="Standardowy"/>
    <w:uiPriority w:val="46"/>
    <w:rsid w:val="004F55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ytu">
    <w:name w:val="Title"/>
    <w:basedOn w:val="Normalny"/>
    <w:next w:val="Normalny"/>
    <w:link w:val="TytuZnak"/>
    <w:uiPriority w:val="10"/>
    <w:qFormat/>
    <w:rsid w:val="00246BC7"/>
    <w:pPr>
      <w:spacing w:after="600" w:line="240" w:lineRule="auto"/>
    </w:pPr>
    <w:rPr>
      <w:rFonts w:asciiTheme="majorHAnsi" w:eastAsiaTheme="majorEastAsia" w:hAnsiTheme="majorHAnsi" w:cstheme="majorBidi"/>
      <w:b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BC7"/>
    <w:rPr>
      <w:rFonts w:asciiTheme="majorHAnsi" w:eastAsiaTheme="majorEastAsia" w:hAnsiTheme="majorHAnsi" w:cstheme="majorBidi"/>
      <w:b/>
      <w:color w:val="0070C0"/>
      <w:spacing w:val="-10"/>
      <w:kern w:val="28"/>
      <w:sz w:val="36"/>
      <w:szCs w:val="56"/>
    </w:rPr>
  </w:style>
  <w:style w:type="table" w:styleId="Siatkatabelijasna">
    <w:name w:val="Grid Table Light"/>
    <w:basedOn w:val="Standardowy"/>
    <w:uiPriority w:val="40"/>
    <w:rsid w:val="00F728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7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zp$\ZPP\Pisma\m.strzemieczna\Statystyki%20psychiatria%20dzieci%20i%20m&#322;odzie&#380;\Samob&#243;jstwa%20Dzieci%20i%20m&#322;odzie&#3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zp$\ZPP\Pisma\m.strzemieczna\Statystyki%20psychiatria%20dzieci%20i%20m&#322;odzie&#380;\2018%20Liczba%20psychiatr&#243;w%20na%2010%20000%20dzieci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4886004015549881E-2"/>
          <c:y val="2.7516390668929958E-2"/>
          <c:w val="0.96250458952609086"/>
          <c:h val="0.65027987143522892"/>
        </c:manualLayout>
      </c:layout>
      <c:lineChart>
        <c:grouping val="standard"/>
        <c:varyColors val="0"/>
        <c:ser>
          <c:idx val="0"/>
          <c:order val="0"/>
          <c:tx>
            <c:v>Zamachy samobójcze zakończone zgonem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Arkusz1!$A$3:$A$22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Arkusz1!$C$3:$C$22</c:f>
              <c:numCache>
                <c:formatCode>General</c:formatCode>
                <c:ptCount val="11"/>
                <c:pt idx="0">
                  <c:v>170</c:v>
                </c:pt>
                <c:pt idx="1">
                  <c:v>155</c:v>
                </c:pt>
                <c:pt idx="2">
                  <c:v>123</c:v>
                </c:pt>
                <c:pt idx="3">
                  <c:v>114</c:v>
                </c:pt>
                <c:pt idx="4">
                  <c:v>139</c:v>
                </c:pt>
                <c:pt idx="5">
                  <c:v>148</c:v>
                </c:pt>
                <c:pt idx="6">
                  <c:v>127</c:v>
                </c:pt>
                <c:pt idx="7">
                  <c:v>119</c:v>
                </c:pt>
                <c:pt idx="8">
                  <c:v>103</c:v>
                </c:pt>
                <c:pt idx="9">
                  <c:v>116</c:v>
                </c:pt>
                <c:pt idx="10">
                  <c:v>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A5-4CCB-997C-40B58A1D3F5C}"/>
            </c:ext>
          </c:extLst>
        </c:ser>
        <c:ser>
          <c:idx val="1"/>
          <c:order val="1"/>
          <c:tx>
            <c:v>Zamachy samobójcze nie zakończone zgonem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Arkusz1!$A$3:$A$22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Arkusz1!$H$3:$H$22</c:f>
              <c:numCache>
                <c:formatCode>#,##0</c:formatCode>
                <c:ptCount val="11"/>
                <c:pt idx="0">
                  <c:v>330</c:v>
                </c:pt>
                <c:pt idx="1">
                  <c:v>318</c:v>
                </c:pt>
                <c:pt idx="2">
                  <c:v>273</c:v>
                </c:pt>
                <c:pt idx="3">
                  <c:v>248</c:v>
                </c:pt>
                <c:pt idx="4">
                  <c:v>291</c:v>
                </c:pt>
                <c:pt idx="5">
                  <c:v>357</c:v>
                </c:pt>
                <c:pt idx="6">
                  <c:v>442</c:v>
                </c:pt>
                <c:pt idx="7">
                  <c:v>481</c:v>
                </c:pt>
                <c:pt idx="8">
                  <c:v>475</c:v>
                </c:pt>
                <c:pt idx="9">
                  <c:v>730</c:v>
                </c:pt>
                <c:pt idx="10">
                  <c:v>772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A5-4CCB-997C-40B58A1D3F5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6256816"/>
        <c:axId val="476258776"/>
      </c:lineChart>
      <c:catAx>
        <c:axId val="47625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6258776"/>
        <c:crosses val="autoZero"/>
        <c:auto val="1"/>
        <c:lblAlgn val="ctr"/>
        <c:lblOffset val="100"/>
        <c:noMultiLvlLbl val="0"/>
      </c:catAx>
      <c:valAx>
        <c:axId val="4762587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625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7563377763E-2"/>
          <c:y val="0.85809604431249098"/>
          <c:w val="0.89999995126755528"/>
          <c:h val="0.126397839725366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Wskaźnik liczby lekarzy psychiatrii dzieci i młodzieży na 10 000 dzieci i młodzieży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Arkusz1!$A$2:$A$19</c:f>
              <c:strCache>
                <c:ptCount val="17"/>
                <c:pt idx="0">
                  <c:v>Woj. łódzkie</c:v>
                </c:pt>
                <c:pt idx="1">
                  <c:v>Woj. mazowieckie</c:v>
                </c:pt>
                <c:pt idx="2">
                  <c:v>Woj. dolnośląskie</c:v>
                </c:pt>
                <c:pt idx="3">
                  <c:v>Woj. kujawsko-pomorskie</c:v>
                </c:pt>
                <c:pt idx="4">
                  <c:v>Woj. małopolskie</c:v>
                </c:pt>
                <c:pt idx="5">
                  <c:v>Woj. wielkopolskie</c:v>
                </c:pt>
                <c:pt idx="6">
                  <c:v>Woj. podlaskie</c:v>
                </c:pt>
                <c:pt idx="7">
                  <c:v>Woj. pomorskie</c:v>
                </c:pt>
                <c:pt idx="8">
                  <c:v>Woj. świętokrzyskie</c:v>
                </c:pt>
                <c:pt idx="9">
                  <c:v>Woj. zachodniopomorskie</c:v>
                </c:pt>
                <c:pt idx="10">
                  <c:v>Woj. śląskie</c:v>
                </c:pt>
                <c:pt idx="11">
                  <c:v>Woj. lubelskie</c:v>
                </c:pt>
                <c:pt idx="12">
                  <c:v>Woj. warmińsko- mazurskie</c:v>
                </c:pt>
                <c:pt idx="13">
                  <c:v>Woj. opolskie</c:v>
                </c:pt>
                <c:pt idx="14">
                  <c:v>Woj. podkarpackie</c:v>
                </c:pt>
                <c:pt idx="15">
                  <c:v>Woj. lubuskie</c:v>
                </c:pt>
                <c:pt idx="16">
                  <c:v>Polska</c:v>
                </c:pt>
              </c:strCache>
            </c:strRef>
          </c:cat>
          <c:val>
            <c:numRef>
              <c:f>Arkusz1!$B$2:$B$19</c:f>
              <c:numCache>
                <c:formatCode>General</c:formatCode>
                <c:ptCount val="18"/>
                <c:pt idx="0">
                  <c:v>0.79</c:v>
                </c:pt>
                <c:pt idx="1">
                  <c:v>0.74</c:v>
                </c:pt>
                <c:pt idx="2">
                  <c:v>0.71</c:v>
                </c:pt>
                <c:pt idx="3">
                  <c:v>0.56000000000000005</c:v>
                </c:pt>
                <c:pt idx="4">
                  <c:v>0.53</c:v>
                </c:pt>
                <c:pt idx="5">
                  <c:v>0.52</c:v>
                </c:pt>
                <c:pt idx="6">
                  <c:v>0.51</c:v>
                </c:pt>
                <c:pt idx="7">
                  <c:v>0.48</c:v>
                </c:pt>
                <c:pt idx="8">
                  <c:v>0.46</c:v>
                </c:pt>
                <c:pt idx="9">
                  <c:v>0.45</c:v>
                </c:pt>
                <c:pt idx="10">
                  <c:v>0.42</c:v>
                </c:pt>
                <c:pt idx="11">
                  <c:v>0.28000000000000003</c:v>
                </c:pt>
                <c:pt idx="12">
                  <c:v>0.25</c:v>
                </c:pt>
                <c:pt idx="13">
                  <c:v>0.24</c:v>
                </c:pt>
                <c:pt idx="14">
                  <c:v>0.17</c:v>
                </c:pt>
                <c:pt idx="15">
                  <c:v>0.16</c:v>
                </c:pt>
                <c:pt idx="16">
                  <c:v>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72-45A7-8168-2DABCCFB1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76259168"/>
        <c:axId val="476256424"/>
      </c:barChart>
      <c:catAx>
        <c:axId val="4762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6256424"/>
        <c:crosses val="autoZero"/>
        <c:auto val="1"/>
        <c:lblAlgn val="ctr"/>
        <c:lblOffset val="100"/>
        <c:noMultiLvlLbl val="0"/>
      </c:catAx>
      <c:valAx>
        <c:axId val="476256424"/>
        <c:scaling>
          <c:orientation val="minMax"/>
          <c:max val="1.2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62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D3D0F6-770E-48F8-80F6-60DB563660F1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E24528B5-26CC-40F9-96AA-CCA0E287264A}">
      <dgm:prSet phldrT="[Tekst]" custT="1"/>
      <dgm:spPr/>
      <dgm:t>
        <a:bodyPr/>
        <a:lstStyle/>
        <a:p>
          <a:pPr algn="ctr"/>
          <a:r>
            <a:rPr lang="pl-PL" sz="1000" b="1" dirty="0"/>
            <a:t>III poziom referencyjny </a:t>
          </a:r>
          <a:r>
            <a:rPr lang="pl-PL" sz="1000" dirty="0"/>
            <a:t>– </a:t>
          </a:r>
          <a:r>
            <a:rPr lang="pl-PL" sz="1000"/>
            <a:t>Ośrodek Wysokospecjalistycznej Całodobowej Opieki Psychiatrycznej</a:t>
          </a:r>
          <a:r>
            <a:rPr lang="pl-PL" sz="1000" dirty="0"/>
            <a:t>:</a:t>
          </a:r>
        </a:p>
        <a:p>
          <a:pPr algn="ctr"/>
          <a:r>
            <a:rPr lang="pl-PL" sz="1000" dirty="0"/>
            <a:t>izba przyjęć/oddział całodobowy </a:t>
          </a:r>
        </a:p>
        <a:p>
          <a:pPr algn="ctr"/>
          <a:r>
            <a:rPr lang="pl-PL" sz="1000" dirty="0"/>
            <a:t>(planowe przyjęcia oraz przyjęcia w sytuacji zagrożenia życia). </a:t>
          </a:r>
        </a:p>
      </dgm:t>
    </dgm:pt>
    <dgm:pt modelId="{88CD1FFF-B48C-4DCD-9663-8470A39EFFC5}" type="parTrans" cxnId="{280AE062-B960-4F8A-9629-23EB2345032A}">
      <dgm:prSet/>
      <dgm:spPr/>
      <dgm:t>
        <a:bodyPr/>
        <a:lstStyle/>
        <a:p>
          <a:pPr algn="ctr"/>
          <a:endParaRPr lang="pl-PL"/>
        </a:p>
      </dgm:t>
    </dgm:pt>
    <dgm:pt modelId="{60D4A9C4-DE36-47CD-844E-4E3A896B7D03}" type="sibTrans" cxnId="{280AE062-B960-4F8A-9629-23EB2345032A}">
      <dgm:prSet/>
      <dgm:spPr/>
      <dgm:t>
        <a:bodyPr/>
        <a:lstStyle/>
        <a:p>
          <a:pPr algn="ctr"/>
          <a:endParaRPr lang="pl-PL"/>
        </a:p>
      </dgm:t>
    </dgm:pt>
    <dgm:pt modelId="{45FB8773-0D6D-4054-8C12-672E73E953BA}">
      <dgm:prSet phldrT="[Tekst]" custT="1"/>
      <dgm:spPr/>
      <dgm:t>
        <a:bodyPr/>
        <a:lstStyle/>
        <a:p>
          <a:pPr algn="ctr"/>
          <a:r>
            <a:rPr lang="pl-PL" sz="1000" b="1" dirty="0"/>
            <a:t>II poziom referencyjny </a:t>
          </a:r>
          <a:r>
            <a:rPr lang="pl-PL" sz="1000" dirty="0"/>
            <a:t>– Środowiskowe Centrum Zdrowia Psychicznego dla Dzieci i Młodzieży:</a:t>
          </a:r>
        </a:p>
        <a:p>
          <a:pPr algn="ctr"/>
          <a:r>
            <a:rPr lang="pl-PL" sz="1000" dirty="0"/>
            <a:t>psychiatra dzieci i młodzieży/ oddział dzienny/zespół leczenia środowiskowego</a:t>
          </a:r>
        </a:p>
      </dgm:t>
    </dgm:pt>
    <dgm:pt modelId="{023D587D-7D9B-4FE8-BA08-319A8175676C}" type="parTrans" cxnId="{AD5270B5-10DE-4879-B46A-45FA0F18F1B2}">
      <dgm:prSet/>
      <dgm:spPr/>
      <dgm:t>
        <a:bodyPr/>
        <a:lstStyle/>
        <a:p>
          <a:pPr algn="ctr"/>
          <a:endParaRPr lang="pl-PL"/>
        </a:p>
      </dgm:t>
    </dgm:pt>
    <dgm:pt modelId="{538417D0-0FC9-4B95-BCD1-0119C0951034}" type="sibTrans" cxnId="{AD5270B5-10DE-4879-B46A-45FA0F18F1B2}">
      <dgm:prSet/>
      <dgm:spPr/>
      <dgm:t>
        <a:bodyPr/>
        <a:lstStyle/>
        <a:p>
          <a:pPr algn="ctr"/>
          <a:endParaRPr lang="pl-PL"/>
        </a:p>
      </dgm:t>
    </dgm:pt>
    <dgm:pt modelId="{200955E0-7191-4553-931F-38DF731DA6E4}">
      <dgm:prSet phldrT="[Tekst]" custT="1"/>
      <dgm:spPr/>
      <dgm:t>
        <a:bodyPr/>
        <a:lstStyle/>
        <a:p>
          <a:pPr algn="ctr"/>
          <a:r>
            <a:rPr lang="pl-PL" sz="1000" b="1" dirty="0"/>
            <a:t>I poziom referencyjny </a:t>
          </a:r>
          <a:r>
            <a:rPr lang="pl-PL" sz="1000" dirty="0"/>
            <a:t>– </a:t>
          </a:r>
          <a:r>
            <a:rPr lang="pl-PL" sz="1000"/>
            <a:t>Ośrodek Środowiskowej Opieki Psychologicznej i Psychoterapeutycznej  dla Dzieci i Młodzieży</a:t>
          </a:r>
          <a:r>
            <a:rPr lang="pl-PL" sz="1000" dirty="0"/>
            <a:t>:</a:t>
          </a:r>
        </a:p>
        <a:p>
          <a:pPr algn="ctr"/>
          <a:r>
            <a:rPr lang="pl-PL" sz="1000" dirty="0"/>
            <a:t>psycholog, psychoterapeuci, terapeuta środowiskowy</a:t>
          </a:r>
          <a:endParaRPr lang="pl-PL" sz="1050" dirty="0"/>
        </a:p>
      </dgm:t>
    </dgm:pt>
    <dgm:pt modelId="{9E380869-AF61-4A76-BB35-3B6E55C15A02}" type="parTrans" cxnId="{53247B6B-498C-40BD-84D7-9F504DF4E69C}">
      <dgm:prSet/>
      <dgm:spPr/>
      <dgm:t>
        <a:bodyPr/>
        <a:lstStyle/>
        <a:p>
          <a:pPr algn="ctr"/>
          <a:endParaRPr lang="pl-PL"/>
        </a:p>
      </dgm:t>
    </dgm:pt>
    <dgm:pt modelId="{4BFD08C0-CED5-48F0-B7A6-4499233B8B57}" type="sibTrans" cxnId="{53247B6B-498C-40BD-84D7-9F504DF4E69C}">
      <dgm:prSet/>
      <dgm:spPr/>
      <dgm:t>
        <a:bodyPr/>
        <a:lstStyle/>
        <a:p>
          <a:pPr algn="ctr"/>
          <a:endParaRPr lang="pl-PL"/>
        </a:p>
      </dgm:t>
    </dgm:pt>
    <dgm:pt modelId="{28408ED8-C6C7-449A-A5E1-B2E677E59ABD}" type="pres">
      <dgm:prSet presAssocID="{6CD3D0F6-770E-48F8-80F6-60DB563660F1}" presName="compositeShape" presStyleCnt="0">
        <dgm:presLayoutVars>
          <dgm:dir/>
          <dgm:resizeHandles/>
        </dgm:presLayoutVars>
      </dgm:prSet>
      <dgm:spPr/>
    </dgm:pt>
    <dgm:pt modelId="{C5ADF6C0-A506-44FF-A698-557D72DCEFE6}" type="pres">
      <dgm:prSet presAssocID="{6CD3D0F6-770E-48F8-80F6-60DB563660F1}" presName="pyramid" presStyleLbl="node1" presStyleIdx="0" presStyleCnt="1" custLinFactNeighborX="3407"/>
      <dgm:spPr/>
    </dgm:pt>
    <dgm:pt modelId="{1B37D46E-C326-4863-AFCD-4AAA5F1C8232}" type="pres">
      <dgm:prSet presAssocID="{6CD3D0F6-770E-48F8-80F6-60DB563660F1}" presName="theList" presStyleCnt="0"/>
      <dgm:spPr/>
    </dgm:pt>
    <dgm:pt modelId="{F2EF8A2D-2DA7-425A-AF01-246E9D2E7631}" type="pres">
      <dgm:prSet presAssocID="{E24528B5-26CC-40F9-96AA-CCA0E287264A}" presName="aNode" presStyleLbl="fgAcc1" presStyleIdx="0" presStyleCnt="3" custScaleX="283920" custScaleY="118224" custLinFactNeighborX="-68866" custLinFactNeighborY="600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DD0CC8C-0D13-42EA-BF9E-51BF626D6D10}" type="pres">
      <dgm:prSet presAssocID="{E24528B5-26CC-40F9-96AA-CCA0E287264A}" presName="aSpace" presStyleCnt="0"/>
      <dgm:spPr/>
    </dgm:pt>
    <dgm:pt modelId="{EBD3B1D4-98B4-4965-BB7C-BD33AE4597D5}" type="pres">
      <dgm:prSet presAssocID="{45FB8773-0D6D-4054-8C12-672E73E953BA}" presName="aNode" presStyleLbl="fgAcc1" presStyleIdx="1" presStyleCnt="3" custScaleX="283644" custLinFactNeighborX="-45669" custLinFactNeighborY="1796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A0D1A63-2BA9-44A6-AE0C-B5676623BDAF}" type="pres">
      <dgm:prSet presAssocID="{45FB8773-0D6D-4054-8C12-672E73E953BA}" presName="aSpace" presStyleCnt="0"/>
      <dgm:spPr/>
    </dgm:pt>
    <dgm:pt modelId="{B362588D-1663-4F7A-9ABA-785462D190BE}" type="pres">
      <dgm:prSet presAssocID="{200955E0-7191-4553-931F-38DF731DA6E4}" presName="aNode" presStyleLbl="fgAcc1" presStyleIdx="2" presStyleCnt="3" custScaleX="283613" custLinFactNeighborX="-50283" custLinFactNeighborY="-179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11B3961-B39C-4E7A-9F17-7AED33E5F10E}" type="pres">
      <dgm:prSet presAssocID="{200955E0-7191-4553-931F-38DF731DA6E4}" presName="aSpace" presStyleCnt="0"/>
      <dgm:spPr/>
    </dgm:pt>
  </dgm:ptLst>
  <dgm:cxnLst>
    <dgm:cxn modelId="{128BB09A-6830-4AD8-A09B-7B8182157C3D}" type="presOf" srcId="{E24528B5-26CC-40F9-96AA-CCA0E287264A}" destId="{F2EF8A2D-2DA7-425A-AF01-246E9D2E7631}" srcOrd="0" destOrd="0" presId="urn:microsoft.com/office/officeart/2005/8/layout/pyramid2"/>
    <dgm:cxn modelId="{58417CC8-E6EB-4580-B558-BAFC13DEAF2B}" type="presOf" srcId="{6CD3D0F6-770E-48F8-80F6-60DB563660F1}" destId="{28408ED8-C6C7-449A-A5E1-B2E677E59ABD}" srcOrd="0" destOrd="0" presId="urn:microsoft.com/office/officeart/2005/8/layout/pyramid2"/>
    <dgm:cxn modelId="{DAD658A2-11C6-41FC-96CD-50DC2BB755B2}" type="presOf" srcId="{45FB8773-0D6D-4054-8C12-672E73E953BA}" destId="{EBD3B1D4-98B4-4965-BB7C-BD33AE4597D5}" srcOrd="0" destOrd="0" presId="urn:microsoft.com/office/officeart/2005/8/layout/pyramid2"/>
    <dgm:cxn modelId="{53247B6B-498C-40BD-84D7-9F504DF4E69C}" srcId="{6CD3D0F6-770E-48F8-80F6-60DB563660F1}" destId="{200955E0-7191-4553-931F-38DF731DA6E4}" srcOrd="2" destOrd="0" parTransId="{9E380869-AF61-4A76-BB35-3B6E55C15A02}" sibTransId="{4BFD08C0-CED5-48F0-B7A6-4499233B8B57}"/>
    <dgm:cxn modelId="{8CD60BFA-8C06-423C-BB11-6FE9A0435689}" type="presOf" srcId="{200955E0-7191-4553-931F-38DF731DA6E4}" destId="{B362588D-1663-4F7A-9ABA-785462D190BE}" srcOrd="0" destOrd="0" presId="urn:microsoft.com/office/officeart/2005/8/layout/pyramid2"/>
    <dgm:cxn modelId="{AD5270B5-10DE-4879-B46A-45FA0F18F1B2}" srcId="{6CD3D0F6-770E-48F8-80F6-60DB563660F1}" destId="{45FB8773-0D6D-4054-8C12-672E73E953BA}" srcOrd="1" destOrd="0" parTransId="{023D587D-7D9B-4FE8-BA08-319A8175676C}" sibTransId="{538417D0-0FC9-4B95-BCD1-0119C0951034}"/>
    <dgm:cxn modelId="{280AE062-B960-4F8A-9629-23EB2345032A}" srcId="{6CD3D0F6-770E-48F8-80F6-60DB563660F1}" destId="{E24528B5-26CC-40F9-96AA-CCA0E287264A}" srcOrd="0" destOrd="0" parTransId="{88CD1FFF-B48C-4DCD-9663-8470A39EFFC5}" sibTransId="{60D4A9C4-DE36-47CD-844E-4E3A896B7D03}"/>
    <dgm:cxn modelId="{32C67333-DB72-4D98-8B43-8A2A2E06A68C}" type="presParOf" srcId="{28408ED8-C6C7-449A-A5E1-B2E677E59ABD}" destId="{C5ADF6C0-A506-44FF-A698-557D72DCEFE6}" srcOrd="0" destOrd="0" presId="urn:microsoft.com/office/officeart/2005/8/layout/pyramid2"/>
    <dgm:cxn modelId="{0C4833A7-1623-44E9-94B9-C0BE78972E2E}" type="presParOf" srcId="{28408ED8-C6C7-449A-A5E1-B2E677E59ABD}" destId="{1B37D46E-C326-4863-AFCD-4AAA5F1C8232}" srcOrd="1" destOrd="0" presId="urn:microsoft.com/office/officeart/2005/8/layout/pyramid2"/>
    <dgm:cxn modelId="{6AE90242-C935-464C-BE88-72945D85C7E8}" type="presParOf" srcId="{1B37D46E-C326-4863-AFCD-4AAA5F1C8232}" destId="{F2EF8A2D-2DA7-425A-AF01-246E9D2E7631}" srcOrd="0" destOrd="0" presId="urn:microsoft.com/office/officeart/2005/8/layout/pyramid2"/>
    <dgm:cxn modelId="{58152009-6ABB-4117-AAA6-E2DB18112C90}" type="presParOf" srcId="{1B37D46E-C326-4863-AFCD-4AAA5F1C8232}" destId="{1DD0CC8C-0D13-42EA-BF9E-51BF626D6D10}" srcOrd="1" destOrd="0" presId="urn:microsoft.com/office/officeart/2005/8/layout/pyramid2"/>
    <dgm:cxn modelId="{E38C9758-DA2F-48E1-B5DE-D95B57B54985}" type="presParOf" srcId="{1B37D46E-C326-4863-AFCD-4AAA5F1C8232}" destId="{EBD3B1D4-98B4-4965-BB7C-BD33AE4597D5}" srcOrd="2" destOrd="0" presId="urn:microsoft.com/office/officeart/2005/8/layout/pyramid2"/>
    <dgm:cxn modelId="{61A43B7D-5D07-441D-B658-7A5B9F824D64}" type="presParOf" srcId="{1B37D46E-C326-4863-AFCD-4AAA5F1C8232}" destId="{5A0D1A63-2BA9-44A6-AE0C-B5676623BDAF}" srcOrd="3" destOrd="0" presId="urn:microsoft.com/office/officeart/2005/8/layout/pyramid2"/>
    <dgm:cxn modelId="{CB660956-4A34-47A6-ABD8-3AD5B5D1B601}" type="presParOf" srcId="{1B37D46E-C326-4863-AFCD-4AAA5F1C8232}" destId="{B362588D-1663-4F7A-9ABA-785462D190BE}" srcOrd="4" destOrd="0" presId="urn:microsoft.com/office/officeart/2005/8/layout/pyramid2"/>
    <dgm:cxn modelId="{5FDC6658-CB1F-4005-B5A8-27A22AC6C73A}" type="presParOf" srcId="{1B37D46E-C326-4863-AFCD-4AAA5F1C8232}" destId="{911B3961-B39C-4E7A-9F17-7AED33E5F10E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ADF6C0-A506-44FF-A698-557D72DCEFE6}">
      <dsp:nvSpPr>
        <dsp:cNvPr id="0" name=""/>
        <dsp:cNvSpPr/>
      </dsp:nvSpPr>
      <dsp:spPr>
        <a:xfrm>
          <a:off x="-426088" y="0"/>
          <a:ext cx="2905125" cy="2905125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EF8A2D-2DA7-425A-AF01-246E9D2E7631}">
      <dsp:nvSpPr>
        <dsp:cNvPr id="0" name=""/>
        <dsp:cNvSpPr/>
      </dsp:nvSpPr>
      <dsp:spPr>
        <a:xfrm>
          <a:off x="-809012" y="298005"/>
          <a:ext cx="5361350" cy="77067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 dirty="0"/>
            <a:t>III poziom referencyjny </a:t>
          </a:r>
          <a:r>
            <a:rPr lang="pl-PL" sz="1000" kern="1200" dirty="0"/>
            <a:t>– </a:t>
          </a:r>
          <a:r>
            <a:rPr lang="pl-PL" sz="1000" kern="1200"/>
            <a:t>Ośrodek Wysokospecjalistycznej Całodobowej Opieki Psychiatrycznej</a:t>
          </a:r>
          <a:r>
            <a:rPr lang="pl-PL" sz="1000" kern="1200" dirty="0"/>
            <a:t>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 dirty="0"/>
            <a:t>izba przyjęć/oddział całodobowy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 dirty="0"/>
            <a:t>(planowe przyjęcia oraz przyjęcia w sytuacji zagrożenia życia). </a:t>
          </a:r>
        </a:p>
      </dsp:txBody>
      <dsp:txXfrm>
        <a:off x="-771391" y="335626"/>
        <a:ext cx="5286108" cy="695437"/>
      </dsp:txXfrm>
    </dsp:sp>
    <dsp:sp modelId="{EBD3B1D4-98B4-4965-BB7C-BD33AE4597D5}">
      <dsp:nvSpPr>
        <dsp:cNvPr id="0" name=""/>
        <dsp:cNvSpPr/>
      </dsp:nvSpPr>
      <dsp:spPr>
        <a:xfrm>
          <a:off x="-806406" y="1159918"/>
          <a:ext cx="5356138" cy="65188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 dirty="0"/>
            <a:t>II poziom referencyjny </a:t>
          </a:r>
          <a:r>
            <a:rPr lang="pl-PL" sz="1000" kern="1200" dirty="0"/>
            <a:t>– Środowiskowe Centrum Zdrowia Psychicznego dla Dzieci i Młodzieży: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 dirty="0"/>
            <a:t>psychiatra dzieci i młodzieży/ oddział dzienny/zespół leczenia środowiskowego</a:t>
          </a:r>
        </a:p>
      </dsp:txBody>
      <dsp:txXfrm>
        <a:off x="-774584" y="1191740"/>
        <a:ext cx="5292494" cy="588237"/>
      </dsp:txXfrm>
    </dsp:sp>
    <dsp:sp modelId="{B362588D-1663-4F7A-9ABA-785462D190BE}">
      <dsp:nvSpPr>
        <dsp:cNvPr id="0" name=""/>
        <dsp:cNvSpPr/>
      </dsp:nvSpPr>
      <dsp:spPr>
        <a:xfrm>
          <a:off x="-806113" y="1877182"/>
          <a:ext cx="5355552" cy="65188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 dirty="0"/>
            <a:t>I poziom referencyjny </a:t>
          </a:r>
          <a:r>
            <a:rPr lang="pl-PL" sz="1000" kern="1200" dirty="0"/>
            <a:t>– </a:t>
          </a:r>
          <a:r>
            <a:rPr lang="pl-PL" sz="1000" kern="1200"/>
            <a:t>Ośrodek Środowiskowej Opieki Psychologicznej i Psychoterapeutycznej  dla Dzieci i Młodzieży</a:t>
          </a:r>
          <a:r>
            <a:rPr lang="pl-PL" sz="1000" kern="1200" dirty="0"/>
            <a:t>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 dirty="0"/>
            <a:t>psycholog, psychoterapeuci, terapeuta środowiskowy</a:t>
          </a:r>
          <a:endParaRPr lang="pl-PL" sz="1050" kern="1200" dirty="0"/>
        </a:p>
      </dsp:txBody>
      <dsp:txXfrm>
        <a:off x="-774291" y="1909004"/>
        <a:ext cx="5291908" cy="5882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0.7672</cdr:x>
      <cdr:y>0.0682</cdr:y>
    </cdr:from>
    <cdr:to>
      <cdr:x>0.99265</cdr:x>
      <cdr:y>0.13374</cdr:y>
    </cdr:to>
    <cdr:sp macro="" textlink="">
      <cdr:nvSpPr>
        <cdr:cNvPr id="2" name="pole tekstowe 1">
          <a:extLst xmlns:a="http://schemas.openxmlformats.org/drawingml/2006/main">
            <a:ext uri="{FF2B5EF4-FFF2-40B4-BE49-F238E27FC236}">
              <a16:creationId xmlns="" xmlns:a16="http://schemas.microsoft.com/office/drawing/2014/main" id="{F63A923D-449C-42B9-80A6-7B651C87CECE}"/>
            </a:ext>
          </a:extLst>
        </cdr:cNvPr>
        <cdr:cNvSpPr txBox="1"/>
      </cdr:nvSpPr>
      <cdr:spPr>
        <a:xfrm xmlns:a="http://schemas.openxmlformats.org/drawingml/2006/main">
          <a:off x="4419600" y="184577"/>
          <a:ext cx="1298799" cy="1773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/>
            <a:t>zalecenia</a:t>
          </a:r>
          <a:r>
            <a:rPr lang="pl-PL" sz="1050"/>
            <a:t> WHO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17CD-E215-4554-9272-7C931549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13587</Words>
  <Characters>81525</Characters>
  <Application>Microsoft Office Word</Application>
  <DocSecurity>0</DocSecurity>
  <Lines>679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94923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Tomasiak Agata</dc:creator>
  <cp:keywords/>
  <dc:description/>
  <cp:lastModifiedBy>Skorupska Elżbieta</cp:lastModifiedBy>
  <cp:revision>3</cp:revision>
  <cp:lastPrinted>2019-10-22T13:48:00Z</cp:lastPrinted>
  <dcterms:created xsi:type="dcterms:W3CDTF">2020-08-12T08:44:00Z</dcterms:created>
  <dcterms:modified xsi:type="dcterms:W3CDTF">2020-08-12T08:44:00Z</dcterms:modified>
  <cp:category/>
</cp:coreProperties>
</file>