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ayout w:type="fixed"/>
        <w:tblLook w:val="04A0" w:firstRow="1" w:lastRow="0" w:firstColumn="1" w:lastColumn="0" w:noHBand="0" w:noVBand="1"/>
      </w:tblPr>
      <w:tblGrid>
        <w:gridCol w:w="630"/>
        <w:gridCol w:w="1043"/>
        <w:gridCol w:w="5977"/>
        <w:gridCol w:w="6344"/>
      </w:tblGrid>
      <w:tr w:rsidR="00FB7425" w:rsidRPr="00DB2B9B" w:rsidTr="003321EA">
        <w:tc>
          <w:tcPr>
            <w:tcW w:w="630" w:type="dxa"/>
          </w:tcPr>
          <w:p w:rsidR="00FB7425" w:rsidRPr="00DB2B9B" w:rsidRDefault="00FB7425" w:rsidP="00B06E69">
            <w:pPr>
              <w:jc w:val="both"/>
              <w:rPr>
                <w:rFonts w:ascii="Times New Roman" w:hAnsi="Times New Roman" w:cs="Times New Roman"/>
                <w:b/>
                <w:sz w:val="24"/>
                <w:szCs w:val="24"/>
              </w:rPr>
            </w:pPr>
            <w:bookmarkStart w:id="0" w:name="_GoBack"/>
            <w:bookmarkEnd w:id="0"/>
            <w:r w:rsidRPr="00DB2B9B">
              <w:rPr>
                <w:rFonts w:ascii="Times New Roman" w:hAnsi="Times New Roman" w:cs="Times New Roman"/>
                <w:b/>
                <w:sz w:val="24"/>
                <w:szCs w:val="24"/>
              </w:rPr>
              <w:t>L.p.</w:t>
            </w:r>
          </w:p>
          <w:p w:rsidR="00FB7425" w:rsidRPr="00DB2B9B" w:rsidRDefault="00FB7425" w:rsidP="00B06E69">
            <w:pPr>
              <w:jc w:val="both"/>
              <w:rPr>
                <w:rFonts w:ascii="Times New Roman" w:hAnsi="Times New Roman" w:cs="Times New Roman"/>
                <w:b/>
                <w:sz w:val="24"/>
                <w:szCs w:val="24"/>
              </w:rPr>
            </w:pPr>
          </w:p>
        </w:tc>
        <w:tc>
          <w:tcPr>
            <w:tcW w:w="1043" w:type="dxa"/>
          </w:tcPr>
          <w:p w:rsidR="00FB7425" w:rsidRPr="00DB2B9B" w:rsidRDefault="00FB7425" w:rsidP="00B06E69">
            <w:pPr>
              <w:jc w:val="both"/>
              <w:rPr>
                <w:rFonts w:ascii="Times New Roman" w:hAnsi="Times New Roman" w:cs="Times New Roman"/>
                <w:b/>
                <w:sz w:val="24"/>
                <w:szCs w:val="24"/>
              </w:rPr>
            </w:pPr>
            <w:r w:rsidRPr="00DB2B9B">
              <w:rPr>
                <w:rFonts w:ascii="Times New Roman" w:hAnsi="Times New Roman" w:cs="Times New Roman"/>
                <w:b/>
                <w:sz w:val="24"/>
                <w:szCs w:val="24"/>
              </w:rPr>
              <w:t>Organ</w:t>
            </w:r>
          </w:p>
        </w:tc>
        <w:tc>
          <w:tcPr>
            <w:tcW w:w="5977" w:type="dxa"/>
          </w:tcPr>
          <w:p w:rsidR="00FB7425" w:rsidRPr="00DB2B9B" w:rsidRDefault="00FB7425" w:rsidP="00B06E69">
            <w:pPr>
              <w:jc w:val="both"/>
              <w:rPr>
                <w:rFonts w:ascii="Times New Roman" w:hAnsi="Times New Roman" w:cs="Times New Roman"/>
                <w:b/>
                <w:sz w:val="24"/>
                <w:szCs w:val="24"/>
              </w:rPr>
            </w:pPr>
            <w:r w:rsidRPr="00DB2B9B">
              <w:rPr>
                <w:rFonts w:ascii="Times New Roman" w:hAnsi="Times New Roman" w:cs="Times New Roman"/>
                <w:b/>
                <w:sz w:val="24"/>
                <w:szCs w:val="24"/>
              </w:rPr>
              <w:t>Treść uwagi</w:t>
            </w:r>
          </w:p>
        </w:tc>
        <w:tc>
          <w:tcPr>
            <w:tcW w:w="6344" w:type="dxa"/>
          </w:tcPr>
          <w:p w:rsidR="00FB7425" w:rsidRPr="00DB2B9B" w:rsidRDefault="00FB7425" w:rsidP="00B06E69">
            <w:pPr>
              <w:jc w:val="both"/>
              <w:rPr>
                <w:rFonts w:ascii="Times New Roman" w:hAnsi="Times New Roman" w:cs="Times New Roman"/>
                <w:b/>
                <w:sz w:val="24"/>
                <w:szCs w:val="24"/>
              </w:rPr>
            </w:pPr>
            <w:r w:rsidRPr="00DB2B9B">
              <w:rPr>
                <w:rFonts w:ascii="Times New Roman" w:hAnsi="Times New Roman" w:cs="Times New Roman"/>
                <w:b/>
                <w:sz w:val="24"/>
                <w:szCs w:val="24"/>
              </w:rPr>
              <w:t>Stanowisko Ministerstwa Klimatu</w:t>
            </w:r>
          </w:p>
        </w:tc>
      </w:tr>
      <w:tr w:rsidR="00FB7425" w:rsidRPr="00DB2B9B" w:rsidTr="003321EA">
        <w:tc>
          <w:tcPr>
            <w:tcW w:w="630" w:type="dxa"/>
          </w:tcPr>
          <w:p w:rsidR="00FB7425" w:rsidRPr="00DB2B9B" w:rsidRDefault="00FB7425" w:rsidP="00B06E69">
            <w:pPr>
              <w:jc w:val="both"/>
              <w:rPr>
                <w:rFonts w:ascii="Times New Roman" w:hAnsi="Times New Roman" w:cs="Times New Roman"/>
                <w:sz w:val="24"/>
                <w:szCs w:val="24"/>
              </w:rPr>
            </w:pPr>
            <w:r w:rsidRPr="00DB2B9B">
              <w:rPr>
                <w:rFonts w:ascii="Times New Roman" w:hAnsi="Times New Roman" w:cs="Times New Roman"/>
                <w:sz w:val="24"/>
                <w:szCs w:val="24"/>
              </w:rPr>
              <w:t>1</w:t>
            </w:r>
          </w:p>
        </w:tc>
        <w:tc>
          <w:tcPr>
            <w:tcW w:w="1043" w:type="dxa"/>
          </w:tcPr>
          <w:p w:rsidR="00FB7425" w:rsidRPr="00DB2B9B" w:rsidRDefault="00641F71" w:rsidP="00B06E69">
            <w:pPr>
              <w:jc w:val="both"/>
              <w:rPr>
                <w:rFonts w:ascii="Times New Roman" w:hAnsi="Times New Roman" w:cs="Times New Roman"/>
                <w:sz w:val="24"/>
                <w:szCs w:val="24"/>
              </w:rPr>
            </w:pPr>
            <w:r w:rsidRPr="00DB2B9B">
              <w:rPr>
                <w:rFonts w:ascii="Times New Roman" w:hAnsi="Times New Roman" w:cs="Times New Roman"/>
                <w:sz w:val="24"/>
                <w:szCs w:val="24"/>
              </w:rPr>
              <w:t>MF</w:t>
            </w:r>
          </w:p>
        </w:tc>
        <w:tc>
          <w:tcPr>
            <w:tcW w:w="5977" w:type="dxa"/>
          </w:tcPr>
          <w:p w:rsidR="00FB7425" w:rsidRPr="00DB2B9B" w:rsidRDefault="00641F71" w:rsidP="00B06E69">
            <w:pPr>
              <w:jc w:val="both"/>
              <w:rPr>
                <w:rFonts w:ascii="Times New Roman" w:hAnsi="Times New Roman" w:cs="Times New Roman"/>
                <w:sz w:val="24"/>
                <w:szCs w:val="24"/>
              </w:rPr>
            </w:pPr>
            <w:r w:rsidRPr="00DB2B9B">
              <w:rPr>
                <w:rFonts w:ascii="Times New Roman" w:hAnsi="Times New Roman" w:cs="Times New Roman"/>
                <w:sz w:val="24"/>
                <w:szCs w:val="24"/>
              </w:rPr>
              <w:t>Z uwagi na fakt, że ww. projekt ustawy w zakresie wdrażania systemu inteligentnego opomiarowania dotyczy jednostek samorządu terytorialnego, powinien zostać zaopiniowany przez Komisję Wspólną Rządu i Samorządu Terytorialnego. Zgodnie bowiem z art. 3 pkt 5 ustawy z dna 6 maja 2005 r. o Komisji Wspólnej Rządu i Samorządu Terytorialnego oraz o przedstawicielach Rzeczypospolitej Polskiej w Komitecie Regionów Unii Europejskiej do zadań Komisji Wspólnej należy opiniowanie projektów aktów normatywnych dotyczących problematyki samorządu terytorialnego niezależnie od tego, czy projekt oddziałuje na budżety jednostek samorządu terytorialnego, czy też nie.</w:t>
            </w:r>
          </w:p>
        </w:tc>
        <w:tc>
          <w:tcPr>
            <w:tcW w:w="6344" w:type="dxa"/>
          </w:tcPr>
          <w:p w:rsidR="00F86BC4" w:rsidRDefault="00F86BC4" w:rsidP="00F86BC4">
            <w:pPr>
              <w:jc w:val="both"/>
              <w:rPr>
                <w:rFonts w:ascii="Times New Roman" w:hAnsi="Times New Roman" w:cs="Times New Roman"/>
                <w:b/>
                <w:sz w:val="24"/>
                <w:szCs w:val="24"/>
              </w:rPr>
            </w:pPr>
            <w:r w:rsidRPr="00F86BC4">
              <w:rPr>
                <w:rFonts w:ascii="Times New Roman" w:hAnsi="Times New Roman" w:cs="Times New Roman"/>
                <w:b/>
                <w:sz w:val="24"/>
                <w:szCs w:val="24"/>
              </w:rPr>
              <w:t>U</w:t>
            </w:r>
            <w:r w:rsidR="009977C7">
              <w:rPr>
                <w:rFonts w:ascii="Times New Roman" w:hAnsi="Times New Roman" w:cs="Times New Roman"/>
                <w:b/>
                <w:sz w:val="24"/>
                <w:szCs w:val="24"/>
              </w:rPr>
              <w:t xml:space="preserve">waga </w:t>
            </w:r>
            <w:r w:rsidRPr="00F86BC4">
              <w:rPr>
                <w:rFonts w:ascii="Times New Roman" w:hAnsi="Times New Roman" w:cs="Times New Roman"/>
                <w:b/>
                <w:sz w:val="24"/>
                <w:szCs w:val="24"/>
              </w:rPr>
              <w:t xml:space="preserve">jest o charakterze </w:t>
            </w:r>
            <w:r w:rsidR="009977C7">
              <w:rPr>
                <w:rFonts w:ascii="Times New Roman" w:hAnsi="Times New Roman" w:cs="Times New Roman"/>
                <w:b/>
                <w:sz w:val="24"/>
                <w:szCs w:val="24"/>
              </w:rPr>
              <w:t>nie</w:t>
            </w:r>
            <w:r w:rsidRPr="00F86BC4">
              <w:rPr>
                <w:rFonts w:ascii="Times New Roman" w:hAnsi="Times New Roman" w:cs="Times New Roman"/>
                <w:b/>
                <w:sz w:val="24"/>
                <w:szCs w:val="24"/>
              </w:rPr>
              <w:t>europejskim.</w:t>
            </w:r>
          </w:p>
          <w:p w:rsidR="00F86BC4" w:rsidRDefault="00F86BC4" w:rsidP="00F86BC4">
            <w:pPr>
              <w:jc w:val="both"/>
              <w:rPr>
                <w:rFonts w:ascii="Times New Roman" w:hAnsi="Times New Roman" w:cs="Times New Roman"/>
                <w:b/>
                <w:sz w:val="24"/>
                <w:szCs w:val="24"/>
              </w:rPr>
            </w:pPr>
            <w:r>
              <w:rPr>
                <w:rFonts w:ascii="Times New Roman" w:hAnsi="Times New Roman" w:cs="Times New Roman"/>
                <w:b/>
                <w:sz w:val="24"/>
                <w:szCs w:val="24"/>
              </w:rPr>
              <w:t>Uwagi nie uwzględniono.</w:t>
            </w:r>
          </w:p>
          <w:p w:rsidR="00F86BC4" w:rsidRDefault="00F86BC4" w:rsidP="00F86BC4">
            <w:pPr>
              <w:jc w:val="both"/>
              <w:rPr>
                <w:rFonts w:ascii="Times New Roman" w:hAnsi="Times New Roman" w:cs="Times New Roman"/>
                <w:sz w:val="24"/>
                <w:szCs w:val="24"/>
              </w:rPr>
            </w:pPr>
            <w:r>
              <w:rPr>
                <w:rFonts w:ascii="Times New Roman" w:hAnsi="Times New Roman" w:cs="Times New Roman"/>
                <w:b/>
                <w:sz w:val="24"/>
                <w:szCs w:val="24"/>
              </w:rPr>
              <w:t>Uwagę pozostawiono do rozstrzygnięcia przez Komitet Stały Rady Ministrów.</w:t>
            </w:r>
          </w:p>
          <w:p w:rsidR="00FB7425" w:rsidRDefault="00510C8B" w:rsidP="00FE1CBE">
            <w:pPr>
              <w:jc w:val="both"/>
              <w:rPr>
                <w:rFonts w:ascii="Times New Roman" w:hAnsi="Times New Roman" w:cs="Times New Roman"/>
                <w:sz w:val="24"/>
                <w:szCs w:val="24"/>
              </w:rPr>
            </w:pPr>
            <w:r>
              <w:rPr>
                <w:rFonts w:ascii="Times New Roman" w:hAnsi="Times New Roman" w:cs="Times New Roman"/>
                <w:sz w:val="24"/>
                <w:szCs w:val="24"/>
              </w:rPr>
              <w:t>Jak wskazano poprzednio, w</w:t>
            </w:r>
            <w:r w:rsidRPr="00510C8B">
              <w:rPr>
                <w:rFonts w:ascii="Times New Roman" w:hAnsi="Times New Roman" w:cs="Times New Roman"/>
                <w:sz w:val="24"/>
                <w:szCs w:val="24"/>
              </w:rPr>
              <w:t xml:space="preserve"> celu uwzględnienia powyższej uwagi zgłoszonej podczas rozpatrywania projektu ustawy przez Komitet Rady Ministrów ds. Cyfryzacji usunięto przepisy nakładające obowiązki na samorządy w zmianie ustawy z dnia 11 stycznia 2018 r. o elektromobilności i paliwach alternatywnych (Dz. U. z 2019 r. poz. 1124). Uznano wtenczas projekt ustawy za uzgodniony w tym zakresie z MF (dowód: protokół z posiedzenia Komitetu w dniu 29 stycznia 2020 r.). </w:t>
            </w:r>
            <w:r w:rsidR="00F9272E">
              <w:rPr>
                <w:rFonts w:ascii="Times New Roman" w:hAnsi="Times New Roman" w:cs="Times New Roman"/>
                <w:sz w:val="24"/>
                <w:szCs w:val="24"/>
              </w:rPr>
              <w:t xml:space="preserve">Należy zaznaczyć, że żadne z projektowanych rozwiązań nie należą do obszarów </w:t>
            </w:r>
            <w:r w:rsidR="00FE1CBE">
              <w:rPr>
                <w:rFonts w:ascii="Times New Roman" w:hAnsi="Times New Roman" w:cs="Times New Roman"/>
                <w:sz w:val="24"/>
                <w:szCs w:val="24"/>
              </w:rPr>
              <w:t>określonych w</w:t>
            </w:r>
            <w:r w:rsidR="00F9272E">
              <w:rPr>
                <w:rFonts w:ascii="Times New Roman" w:hAnsi="Times New Roman" w:cs="Times New Roman"/>
                <w:sz w:val="24"/>
                <w:szCs w:val="24"/>
              </w:rPr>
              <w:t xml:space="preserve"> </w:t>
            </w:r>
            <w:r w:rsidRPr="00510C8B">
              <w:rPr>
                <w:rFonts w:ascii="Times New Roman" w:hAnsi="Times New Roman" w:cs="Times New Roman"/>
                <w:sz w:val="24"/>
                <w:szCs w:val="24"/>
              </w:rPr>
              <w:t xml:space="preserve">art. 3 ustawy z dnia 6 maja 2005 r. o Komisji Wspólnej Rządu i Samorządu Terytorialnego oraz o przedstawicielach Rzeczypospolitej Polskiej w Komitecie Regionów Unii Europejskiej </w:t>
            </w:r>
            <w:r w:rsidR="00F9272E">
              <w:rPr>
                <w:rFonts w:ascii="Times New Roman" w:hAnsi="Times New Roman" w:cs="Times New Roman"/>
                <w:sz w:val="24"/>
                <w:szCs w:val="24"/>
              </w:rPr>
              <w:t xml:space="preserve">(Dz. </w:t>
            </w:r>
            <w:r w:rsidR="00F9272E" w:rsidRPr="00F9272E">
              <w:rPr>
                <w:rFonts w:ascii="Times New Roman" w:hAnsi="Times New Roman" w:cs="Times New Roman"/>
                <w:sz w:val="24"/>
                <w:szCs w:val="24"/>
              </w:rPr>
              <w:t>U. z  2005  r.  Nr  90,  poz. 759</w:t>
            </w:r>
            <w:r w:rsidR="00F9272E">
              <w:rPr>
                <w:rFonts w:ascii="Times New Roman" w:hAnsi="Times New Roman" w:cs="Times New Roman"/>
                <w:sz w:val="24"/>
                <w:szCs w:val="24"/>
              </w:rPr>
              <w:t xml:space="preserve">) </w:t>
            </w:r>
            <w:r w:rsidR="00FE1CBE">
              <w:rPr>
                <w:rFonts w:ascii="Times New Roman" w:hAnsi="Times New Roman" w:cs="Times New Roman"/>
                <w:sz w:val="24"/>
                <w:szCs w:val="24"/>
              </w:rPr>
              <w:t>stanowiącym o właściwości Komisji. Zgodnie z tym przepisem:</w:t>
            </w:r>
          </w:p>
          <w:p w:rsidR="00FE1CBE" w:rsidRPr="00FE1CBE" w:rsidRDefault="00FE1CBE" w:rsidP="00FE1CBE">
            <w:pPr>
              <w:jc w:val="both"/>
              <w:rPr>
                <w:rFonts w:ascii="Times New Roman" w:hAnsi="Times New Roman" w:cs="Times New Roman"/>
                <w:i/>
                <w:sz w:val="24"/>
                <w:szCs w:val="24"/>
              </w:rPr>
            </w:pPr>
            <w:r w:rsidRPr="00FE1CBE">
              <w:rPr>
                <w:rFonts w:ascii="Times New Roman" w:hAnsi="Times New Roman" w:cs="Times New Roman"/>
                <w:i/>
                <w:sz w:val="24"/>
                <w:szCs w:val="24"/>
              </w:rPr>
              <w:t>Art. 3. Do zadań Komisji Wspólnej należy:</w:t>
            </w:r>
          </w:p>
          <w:p w:rsidR="00FE1CBE" w:rsidRPr="00FE1CBE" w:rsidRDefault="00FE1CBE" w:rsidP="00FE1CBE">
            <w:pPr>
              <w:jc w:val="both"/>
              <w:rPr>
                <w:rFonts w:ascii="Times New Roman" w:hAnsi="Times New Roman" w:cs="Times New Roman"/>
                <w:i/>
                <w:sz w:val="24"/>
                <w:szCs w:val="24"/>
              </w:rPr>
            </w:pPr>
            <w:r w:rsidRPr="00FE1CBE">
              <w:rPr>
                <w:rFonts w:ascii="Times New Roman" w:hAnsi="Times New Roman" w:cs="Times New Roman"/>
                <w:i/>
                <w:sz w:val="24"/>
                <w:szCs w:val="24"/>
              </w:rPr>
              <w:t>1) wypracowywanie wspólnego stanowiska Rządu i samorządu terytorialnego w zakresie  ustalania  priorytetów  gospodarczych  i  społecznych  w  sprawach dotyczących:</w:t>
            </w:r>
          </w:p>
          <w:p w:rsidR="00FE1CBE" w:rsidRPr="00FE1CBE" w:rsidRDefault="00FE1CBE" w:rsidP="00FE1CBE">
            <w:pPr>
              <w:jc w:val="both"/>
              <w:rPr>
                <w:rFonts w:ascii="Times New Roman" w:hAnsi="Times New Roman" w:cs="Times New Roman"/>
                <w:i/>
                <w:sz w:val="24"/>
                <w:szCs w:val="24"/>
              </w:rPr>
            </w:pPr>
            <w:r w:rsidRPr="00FE1CBE">
              <w:rPr>
                <w:rFonts w:ascii="Times New Roman" w:hAnsi="Times New Roman" w:cs="Times New Roman"/>
                <w:i/>
                <w:sz w:val="24"/>
                <w:szCs w:val="24"/>
              </w:rPr>
              <w:t>a) gospodarki  komunalnej  i  funkcjonowania  samorządu  gminnego  i samorządu powiatowego,</w:t>
            </w:r>
          </w:p>
          <w:p w:rsidR="00FE1CBE" w:rsidRPr="00FE1CBE" w:rsidRDefault="00FE1CBE" w:rsidP="00FE1CBE">
            <w:pPr>
              <w:jc w:val="both"/>
              <w:rPr>
                <w:rFonts w:ascii="Times New Roman" w:hAnsi="Times New Roman" w:cs="Times New Roman"/>
                <w:i/>
                <w:sz w:val="24"/>
                <w:szCs w:val="24"/>
              </w:rPr>
            </w:pPr>
            <w:r w:rsidRPr="00FE1CBE">
              <w:rPr>
                <w:rFonts w:ascii="Times New Roman" w:hAnsi="Times New Roman" w:cs="Times New Roman"/>
                <w:i/>
                <w:sz w:val="24"/>
                <w:szCs w:val="24"/>
              </w:rPr>
              <w:t>b) rozwoju regionalnego i funkcjonowania samorządu województwa;</w:t>
            </w:r>
          </w:p>
          <w:p w:rsidR="00FE1CBE" w:rsidRPr="00FE1CBE" w:rsidRDefault="00FE1CBE" w:rsidP="00FE1CBE">
            <w:pPr>
              <w:jc w:val="both"/>
              <w:rPr>
                <w:rFonts w:ascii="Times New Roman" w:hAnsi="Times New Roman" w:cs="Times New Roman"/>
                <w:i/>
                <w:sz w:val="24"/>
                <w:szCs w:val="24"/>
              </w:rPr>
            </w:pPr>
            <w:r w:rsidRPr="00FE1CBE">
              <w:rPr>
                <w:rFonts w:ascii="Times New Roman" w:hAnsi="Times New Roman" w:cs="Times New Roman"/>
                <w:i/>
                <w:sz w:val="24"/>
                <w:szCs w:val="24"/>
              </w:rPr>
              <w:t xml:space="preserve">2) dokonywanie  przeglądów  i  ocen  warunków  prawnych  i  finansowych funkcjonowania  samorządu  terytorialnego,  w  </w:t>
            </w:r>
            <w:r w:rsidRPr="00FE1CBE">
              <w:rPr>
                <w:rFonts w:ascii="Times New Roman" w:hAnsi="Times New Roman" w:cs="Times New Roman"/>
                <w:i/>
                <w:sz w:val="24"/>
                <w:szCs w:val="24"/>
              </w:rPr>
              <w:lastRenderedPageBreak/>
              <w:t>tym  także  powiatowych  służb, inspekcji  i  straży  oraz  organów  nadzoru  i  kontroli  nad  samorządem terytorialnym;</w:t>
            </w:r>
          </w:p>
          <w:p w:rsidR="00FE1CBE" w:rsidRPr="00FE1CBE" w:rsidRDefault="00FE1CBE" w:rsidP="00FE1CBE">
            <w:pPr>
              <w:jc w:val="both"/>
              <w:rPr>
                <w:rFonts w:ascii="Times New Roman" w:hAnsi="Times New Roman" w:cs="Times New Roman"/>
                <w:i/>
                <w:sz w:val="24"/>
                <w:szCs w:val="24"/>
              </w:rPr>
            </w:pPr>
            <w:r w:rsidRPr="00FE1CBE">
              <w:rPr>
                <w:rFonts w:ascii="Times New Roman" w:hAnsi="Times New Roman" w:cs="Times New Roman"/>
                <w:i/>
                <w:sz w:val="24"/>
                <w:szCs w:val="24"/>
              </w:rPr>
              <w:t>3) ocena  stanu  funkcjonowania  samorządu  terytorialnego  w  odniesieniu  do procesu  integracji  w  ramach  Unii  Europejskiej,  w  tym  wykorzystywania  przez  jednostki samorządu terytorialnego środków finansowych;</w:t>
            </w:r>
          </w:p>
          <w:p w:rsidR="00FE1CBE" w:rsidRPr="00FE1CBE" w:rsidRDefault="00FE1CBE" w:rsidP="00FE1CBE">
            <w:pPr>
              <w:jc w:val="both"/>
              <w:rPr>
                <w:rFonts w:ascii="Times New Roman" w:hAnsi="Times New Roman" w:cs="Times New Roman"/>
                <w:i/>
                <w:sz w:val="24"/>
                <w:szCs w:val="24"/>
              </w:rPr>
            </w:pPr>
            <w:r w:rsidRPr="00FE1CBE">
              <w:rPr>
                <w:rFonts w:ascii="Times New Roman" w:hAnsi="Times New Roman" w:cs="Times New Roman"/>
                <w:i/>
                <w:sz w:val="24"/>
                <w:szCs w:val="24"/>
              </w:rPr>
              <w:t>4) analizowanie  informacji  o  przygotowywanych  projektach  aktów  prawnych,  dokumentów  i  programów  rządowych  dotyczących  problematyki  samorządu terytorialnego, w szczególności przewidywanych skutków finansowych;</w:t>
            </w:r>
          </w:p>
          <w:p w:rsidR="00FE1CBE" w:rsidRDefault="00FE1CBE" w:rsidP="00FE1CBE">
            <w:pPr>
              <w:jc w:val="both"/>
              <w:rPr>
                <w:rFonts w:ascii="Times New Roman" w:hAnsi="Times New Roman" w:cs="Times New Roman"/>
                <w:i/>
                <w:sz w:val="24"/>
                <w:szCs w:val="24"/>
              </w:rPr>
            </w:pPr>
            <w:r w:rsidRPr="00FE1CBE">
              <w:rPr>
                <w:rFonts w:ascii="Times New Roman" w:hAnsi="Times New Roman" w:cs="Times New Roman"/>
                <w:i/>
                <w:sz w:val="24"/>
                <w:szCs w:val="24"/>
              </w:rPr>
              <w:t>5) opiniowanie     projektów     aktów     normatywnych,     programów     i     innych     dokumentów rządowych dotyczących problematyki samorządu terytorialnego, w  tym  także  określających  relacje  pomiędzy  samorządem  terytorialnym  a innymi organami administracji publicznej.</w:t>
            </w:r>
          </w:p>
          <w:p w:rsidR="00F86BC4" w:rsidRPr="00F86BC4" w:rsidRDefault="00FE1CBE" w:rsidP="0030495F">
            <w:pPr>
              <w:jc w:val="both"/>
              <w:rPr>
                <w:rFonts w:ascii="Times New Roman" w:hAnsi="Times New Roman" w:cs="Times New Roman"/>
                <w:sz w:val="24"/>
                <w:szCs w:val="24"/>
              </w:rPr>
            </w:pPr>
            <w:r>
              <w:rPr>
                <w:rFonts w:ascii="Times New Roman" w:hAnsi="Times New Roman" w:cs="Times New Roman"/>
                <w:sz w:val="24"/>
                <w:szCs w:val="24"/>
              </w:rPr>
              <w:t>Trudno się zgodzić z twierdzeniem Ministerstwa Finansów, że system inteligentnego opomiarowania dotyczy problematyki samorządu te</w:t>
            </w:r>
            <w:r w:rsidR="00AE6639">
              <w:rPr>
                <w:rFonts w:ascii="Times New Roman" w:hAnsi="Times New Roman" w:cs="Times New Roman"/>
                <w:sz w:val="24"/>
                <w:szCs w:val="24"/>
              </w:rPr>
              <w:t>rytorialnego. Aż tak rozszerząją</w:t>
            </w:r>
            <w:r>
              <w:rPr>
                <w:rFonts w:ascii="Times New Roman" w:hAnsi="Times New Roman" w:cs="Times New Roman"/>
                <w:sz w:val="24"/>
                <w:szCs w:val="24"/>
              </w:rPr>
              <w:t xml:space="preserve">ca wykładnia </w:t>
            </w:r>
            <w:r w:rsidR="006935BE">
              <w:rPr>
                <w:rFonts w:ascii="Times New Roman" w:hAnsi="Times New Roman" w:cs="Times New Roman"/>
                <w:sz w:val="24"/>
                <w:szCs w:val="24"/>
              </w:rPr>
              <w:t>k</w:t>
            </w:r>
            <w:r w:rsidR="00A62F4E">
              <w:rPr>
                <w:rFonts w:ascii="Times New Roman" w:hAnsi="Times New Roman" w:cs="Times New Roman"/>
                <w:sz w:val="24"/>
                <w:szCs w:val="24"/>
              </w:rPr>
              <w:t>onsekwentnie prowadziłaby to do sytuacji, w której właściwie każdy projekt ustawy powinien być przedmiotem obrad Komisji Wspólnej Rządu i Samorządu Terytorialnego bowiem potencjalnie ma pływ na jednostki samorządu terytorialnego.</w:t>
            </w:r>
          </w:p>
        </w:tc>
      </w:tr>
      <w:tr w:rsidR="00347F16" w:rsidRPr="00DB2B9B" w:rsidTr="003321EA">
        <w:tc>
          <w:tcPr>
            <w:tcW w:w="630" w:type="dxa"/>
          </w:tcPr>
          <w:p w:rsidR="00347F16" w:rsidRPr="00DB2B9B" w:rsidRDefault="00347F16" w:rsidP="00B06E69">
            <w:pPr>
              <w:jc w:val="both"/>
              <w:rPr>
                <w:rFonts w:ascii="Times New Roman" w:hAnsi="Times New Roman" w:cs="Times New Roman"/>
                <w:sz w:val="24"/>
                <w:szCs w:val="24"/>
              </w:rPr>
            </w:pPr>
            <w:r w:rsidRPr="00DB2B9B">
              <w:rPr>
                <w:rFonts w:ascii="Times New Roman" w:hAnsi="Times New Roman" w:cs="Times New Roman"/>
                <w:sz w:val="24"/>
                <w:szCs w:val="24"/>
              </w:rPr>
              <w:lastRenderedPageBreak/>
              <w:t>2</w:t>
            </w:r>
          </w:p>
        </w:tc>
        <w:tc>
          <w:tcPr>
            <w:tcW w:w="1043" w:type="dxa"/>
          </w:tcPr>
          <w:p w:rsidR="00347F16" w:rsidRPr="00DB2B9B" w:rsidRDefault="00641F71" w:rsidP="00B06E69">
            <w:pPr>
              <w:jc w:val="both"/>
              <w:rPr>
                <w:rFonts w:ascii="Times New Roman" w:hAnsi="Times New Roman" w:cs="Times New Roman"/>
                <w:sz w:val="24"/>
                <w:szCs w:val="24"/>
              </w:rPr>
            </w:pPr>
            <w:r w:rsidRPr="00DB2B9B">
              <w:rPr>
                <w:rFonts w:ascii="Times New Roman" w:hAnsi="Times New Roman" w:cs="Times New Roman"/>
                <w:sz w:val="24"/>
                <w:szCs w:val="24"/>
              </w:rPr>
              <w:t>MF</w:t>
            </w:r>
          </w:p>
        </w:tc>
        <w:tc>
          <w:tcPr>
            <w:tcW w:w="5977" w:type="dxa"/>
          </w:tcPr>
          <w:p w:rsidR="00641F71"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t xml:space="preserve">W ocenie MF wszystkie koszty dla Urzędu Regulacji Energetyki powinny być sfinansowane w ramach limitu wydatków dla części 50, bez konieczności ich zwiększenia i nie powinny one stanowić podstawy do ubiegania się o dodatkowe środki z budżetu państwa na ten cel – zarówno w pierwszym roku wejścia w życie projektowanych przepisów, jak i w latach kolejnych. </w:t>
            </w:r>
          </w:p>
          <w:p w:rsidR="00641F71"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t xml:space="preserve">Budżet części 50 - URE, którego dysponentem jest Prezes URE, w ostatnich latach został znacznie zwiększony, w szczególności przewidziano znaczne zwiększenie funduszu </w:t>
            </w:r>
            <w:r w:rsidRPr="00DB2B9B">
              <w:rPr>
                <w:rFonts w:ascii="Times New Roman" w:hAnsi="Times New Roman" w:cs="Times New Roman"/>
                <w:sz w:val="24"/>
                <w:szCs w:val="24"/>
              </w:rPr>
              <w:lastRenderedPageBreak/>
              <w:t xml:space="preserve">wynagrodzeń z przeznaczeniem na zatrudnienie nowych osób. Zwiększenie zatrudnienia nie znajduje jednak odzwierciedlenia w sprawozdaniu Rb-70. Mając na celu racjonalne gospodarowanie środkami publicznymi, w ocenie MF, projektowane zmiany zatrudnienia powinny być sfinansowane w ramach środków części 50 – URE, bez konieczności ich zwiększania. </w:t>
            </w:r>
          </w:p>
          <w:p w:rsidR="00641F71"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t xml:space="preserve">Uwzględnienie tej uwagi powinno spowodować wykreślenie z przedmiotowego projektu ustawy art. 29, który określa maksymalny limit wydatków z budżetu państwa oraz wprowadzenie odpowiednich zmian w OSR w pkt. 6. </w:t>
            </w:r>
          </w:p>
          <w:p w:rsidR="00347F16"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t>Należy również nadmienić, że – mając na uwadze pojawiające się obecnie negatywne skutki gospodarcze związane z COVID-19, które powodują dodatkowe wymierne konsekwencje dla finansów publicznych – nie należy wprowadzać rozwiązań generujących nowe wydatki dla budżetu państwa. Należy dążyć do tego, aby – nie rezygnując z wprowadzania nowych zadań istotnych społecznie i gospodarczo, czy też wynikających z dostosowania prawa do przepisów UE – realizowanie wszystkich zadań odbywało się w ramach posiadanych zasobów finansowych poszczególnych instytucji i budżetów dysponentów części budżetowych. Oznaczać to może, że nie rezygnując z wprowadzenia nowych zadań, inne wydatki będą musiały zostać ograniczone.</w:t>
            </w:r>
          </w:p>
        </w:tc>
        <w:tc>
          <w:tcPr>
            <w:tcW w:w="6344" w:type="dxa"/>
          </w:tcPr>
          <w:p w:rsidR="00F86BC4" w:rsidRDefault="00F86BC4" w:rsidP="00F86BC4">
            <w:pPr>
              <w:jc w:val="both"/>
              <w:rPr>
                <w:rFonts w:ascii="Times New Roman" w:hAnsi="Times New Roman" w:cs="Times New Roman"/>
                <w:b/>
                <w:sz w:val="24"/>
                <w:szCs w:val="24"/>
              </w:rPr>
            </w:pPr>
            <w:r w:rsidRPr="00F86BC4">
              <w:rPr>
                <w:rFonts w:ascii="Times New Roman" w:hAnsi="Times New Roman" w:cs="Times New Roman"/>
                <w:b/>
                <w:sz w:val="24"/>
                <w:szCs w:val="24"/>
              </w:rPr>
              <w:lastRenderedPageBreak/>
              <w:t>U</w:t>
            </w:r>
            <w:r w:rsidR="009977C7">
              <w:rPr>
                <w:rFonts w:ascii="Times New Roman" w:hAnsi="Times New Roman" w:cs="Times New Roman"/>
                <w:b/>
                <w:sz w:val="24"/>
                <w:szCs w:val="24"/>
              </w:rPr>
              <w:t xml:space="preserve">waga </w:t>
            </w:r>
            <w:r w:rsidRPr="00F86BC4">
              <w:rPr>
                <w:rFonts w:ascii="Times New Roman" w:hAnsi="Times New Roman" w:cs="Times New Roman"/>
                <w:b/>
                <w:sz w:val="24"/>
                <w:szCs w:val="24"/>
              </w:rPr>
              <w:t xml:space="preserve">jest o charakterze </w:t>
            </w:r>
            <w:r w:rsidR="009977C7">
              <w:rPr>
                <w:rFonts w:ascii="Times New Roman" w:hAnsi="Times New Roman" w:cs="Times New Roman"/>
                <w:b/>
                <w:sz w:val="24"/>
                <w:szCs w:val="24"/>
              </w:rPr>
              <w:t>nie</w:t>
            </w:r>
            <w:r w:rsidRPr="00F86BC4">
              <w:rPr>
                <w:rFonts w:ascii="Times New Roman" w:hAnsi="Times New Roman" w:cs="Times New Roman"/>
                <w:b/>
                <w:sz w:val="24"/>
                <w:szCs w:val="24"/>
              </w:rPr>
              <w:t>europejskim.</w:t>
            </w:r>
          </w:p>
          <w:p w:rsidR="00F86BC4" w:rsidRDefault="00F86BC4" w:rsidP="00F86BC4">
            <w:pPr>
              <w:jc w:val="both"/>
              <w:rPr>
                <w:rFonts w:ascii="Times New Roman" w:hAnsi="Times New Roman" w:cs="Times New Roman"/>
                <w:b/>
                <w:sz w:val="24"/>
                <w:szCs w:val="24"/>
              </w:rPr>
            </w:pPr>
            <w:r>
              <w:rPr>
                <w:rFonts w:ascii="Times New Roman" w:hAnsi="Times New Roman" w:cs="Times New Roman"/>
                <w:b/>
                <w:sz w:val="24"/>
                <w:szCs w:val="24"/>
              </w:rPr>
              <w:t>Uwagi nie uwzględniono.</w:t>
            </w:r>
          </w:p>
          <w:p w:rsidR="00F86BC4" w:rsidRDefault="00F86BC4" w:rsidP="00F86BC4">
            <w:pPr>
              <w:jc w:val="both"/>
              <w:rPr>
                <w:rFonts w:ascii="Times New Roman" w:hAnsi="Times New Roman" w:cs="Times New Roman"/>
                <w:sz w:val="24"/>
                <w:szCs w:val="24"/>
              </w:rPr>
            </w:pPr>
            <w:r>
              <w:rPr>
                <w:rFonts w:ascii="Times New Roman" w:hAnsi="Times New Roman" w:cs="Times New Roman"/>
                <w:b/>
                <w:sz w:val="24"/>
                <w:szCs w:val="24"/>
              </w:rPr>
              <w:t>Uwagę pozostawiono do rozstrzygnięcia przez Komitet Stały Rady Ministrów.</w:t>
            </w:r>
          </w:p>
          <w:p w:rsidR="00347F16" w:rsidRDefault="0030495F" w:rsidP="00B06E69">
            <w:pPr>
              <w:jc w:val="both"/>
              <w:rPr>
                <w:rFonts w:ascii="Times New Roman" w:hAnsi="Times New Roman" w:cs="Times New Roman"/>
                <w:sz w:val="24"/>
                <w:szCs w:val="24"/>
              </w:rPr>
            </w:pPr>
            <w:r w:rsidRPr="0030495F">
              <w:rPr>
                <w:rFonts w:ascii="Times New Roman" w:hAnsi="Times New Roman" w:cs="Times New Roman"/>
                <w:sz w:val="24"/>
                <w:szCs w:val="24"/>
              </w:rPr>
              <w:t>Prezes Urzędu Regulacji</w:t>
            </w:r>
            <w:r>
              <w:rPr>
                <w:rFonts w:ascii="Times New Roman" w:hAnsi="Times New Roman" w:cs="Times New Roman"/>
                <w:sz w:val="24"/>
                <w:szCs w:val="24"/>
              </w:rPr>
              <w:t xml:space="preserve"> Energetyki </w:t>
            </w:r>
            <w:r w:rsidR="000C213A">
              <w:rPr>
                <w:rFonts w:ascii="Times New Roman" w:hAnsi="Times New Roman" w:cs="Times New Roman"/>
                <w:sz w:val="24"/>
                <w:szCs w:val="24"/>
              </w:rPr>
              <w:t xml:space="preserve">(Prezes URE) </w:t>
            </w:r>
            <w:r>
              <w:rPr>
                <w:rFonts w:ascii="Times New Roman" w:hAnsi="Times New Roman" w:cs="Times New Roman"/>
                <w:sz w:val="24"/>
                <w:szCs w:val="24"/>
              </w:rPr>
              <w:t xml:space="preserve">wielokrotnie w swoich uwagach podnosił konieczność zapewnienia odpowiednich środków finansowych na realizację zadań nakładanych prawem, głównie prawem Unii Europejskiej. Należy podkreślić, że przewidziane w Ocenie Skutków Regulacji środki finansowe w postaci 3 etatów stanowią </w:t>
            </w:r>
            <w:r>
              <w:rPr>
                <w:rFonts w:ascii="Times New Roman" w:hAnsi="Times New Roman" w:cs="Times New Roman"/>
                <w:sz w:val="24"/>
                <w:szCs w:val="24"/>
              </w:rPr>
              <w:lastRenderedPageBreak/>
              <w:t>absolutne minimum przy tym jak, oprócz kwalifikacji, na regulatora nałożono szereg nowych obowiązków</w:t>
            </w:r>
            <w:r w:rsidR="000C213A">
              <w:rPr>
                <w:rFonts w:ascii="Times New Roman" w:hAnsi="Times New Roman" w:cs="Times New Roman"/>
                <w:sz w:val="24"/>
                <w:szCs w:val="24"/>
              </w:rPr>
              <w:t xml:space="preserve"> związanych przykładowo ze wzmocnionym nadzorem nad rynkiem energii elektrycznej (wydawanie decyzji w sprawie zmiany umów o świadczenie usług przesyłania i dystrybucji energii elektrycznej, zabezpieczenia) oraz rynkiem paliw ciekłych. Należy podkreślić, że Minister Klimatu nie jest organem nadzoru nad Prezesem URE dlatego też przekazuje jedynie do wiadomości stanowisko tego organu wyrażone m.in. w uwagach, sprawozdaniach z działalności, itd. Decydujące w tym obszarze jest stanowisko Prezesa Rady Ministrów oraz Rady Ministrów.</w:t>
            </w:r>
          </w:p>
          <w:p w:rsidR="00BF5CE6" w:rsidRPr="00DB2B9B" w:rsidRDefault="00BF5CE6" w:rsidP="00F86BC4">
            <w:pPr>
              <w:jc w:val="both"/>
              <w:rPr>
                <w:rFonts w:ascii="Times New Roman" w:hAnsi="Times New Roman" w:cs="Times New Roman"/>
                <w:sz w:val="24"/>
                <w:szCs w:val="24"/>
              </w:rPr>
            </w:pPr>
          </w:p>
        </w:tc>
      </w:tr>
      <w:tr w:rsidR="00641F71" w:rsidRPr="00DB2B9B" w:rsidTr="003321EA">
        <w:tc>
          <w:tcPr>
            <w:tcW w:w="630" w:type="dxa"/>
          </w:tcPr>
          <w:p w:rsidR="00641F71"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lastRenderedPageBreak/>
              <w:t>3</w:t>
            </w:r>
          </w:p>
        </w:tc>
        <w:tc>
          <w:tcPr>
            <w:tcW w:w="1043" w:type="dxa"/>
          </w:tcPr>
          <w:p w:rsidR="00641F71" w:rsidRPr="00DB2B9B" w:rsidRDefault="00641F71" w:rsidP="00641F71">
            <w:pPr>
              <w:rPr>
                <w:rFonts w:ascii="Times New Roman" w:hAnsi="Times New Roman" w:cs="Times New Roman"/>
              </w:rPr>
            </w:pPr>
            <w:r w:rsidRPr="00DB2B9B">
              <w:rPr>
                <w:rFonts w:ascii="Times New Roman" w:hAnsi="Times New Roman" w:cs="Times New Roman"/>
              </w:rPr>
              <w:t>MF</w:t>
            </w:r>
          </w:p>
        </w:tc>
        <w:tc>
          <w:tcPr>
            <w:tcW w:w="5977" w:type="dxa"/>
          </w:tcPr>
          <w:p w:rsidR="00641F71"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t xml:space="preserve">W związku z tym, że ustawodawca zrezygnował z propozycji przepisów dotyczących powołania drugiego Wiceprezesa URE, fakt ten należy uwzględnić w zapisach projektowanej ustawy (np. art. 22) oraz w OSR (pkt. 4 Podmioty, na które oddziałuje projekt, pkt. 6a. Wpływ na sektor finansów publicznych – wprowadzenie rozwiązań w </w:t>
            </w:r>
            <w:r w:rsidRPr="00DB2B9B">
              <w:rPr>
                <w:rFonts w:ascii="Times New Roman" w:hAnsi="Times New Roman" w:cs="Times New Roman"/>
                <w:sz w:val="24"/>
                <w:szCs w:val="24"/>
              </w:rPr>
              <w:lastRenderedPageBreak/>
              <w:t>obszarze kwalifikacji - Dodatkowe informacje, w tym wskazanie źródeł danych i przyjętych do obliczeń założeń).</w:t>
            </w:r>
          </w:p>
        </w:tc>
        <w:tc>
          <w:tcPr>
            <w:tcW w:w="6344" w:type="dxa"/>
          </w:tcPr>
          <w:p w:rsidR="00F86BC4" w:rsidRDefault="00F86BC4" w:rsidP="00641F71">
            <w:pPr>
              <w:jc w:val="both"/>
              <w:rPr>
                <w:rFonts w:ascii="Times New Roman" w:hAnsi="Times New Roman" w:cs="Times New Roman"/>
                <w:b/>
                <w:sz w:val="24"/>
                <w:szCs w:val="24"/>
              </w:rPr>
            </w:pPr>
            <w:r w:rsidRPr="00F86BC4">
              <w:rPr>
                <w:rFonts w:ascii="Times New Roman" w:hAnsi="Times New Roman" w:cs="Times New Roman"/>
                <w:b/>
                <w:sz w:val="24"/>
                <w:szCs w:val="24"/>
              </w:rPr>
              <w:lastRenderedPageBreak/>
              <w:t>Uwaga jest o charakterze nieeuropejskim.</w:t>
            </w:r>
          </w:p>
          <w:p w:rsidR="00641F71" w:rsidRPr="00F86BC4" w:rsidRDefault="00FB5F9B" w:rsidP="00641F71">
            <w:pPr>
              <w:jc w:val="both"/>
              <w:rPr>
                <w:rFonts w:ascii="Times New Roman" w:hAnsi="Times New Roman" w:cs="Times New Roman"/>
                <w:b/>
                <w:sz w:val="24"/>
                <w:szCs w:val="24"/>
              </w:rPr>
            </w:pPr>
            <w:r w:rsidRPr="00F86BC4">
              <w:rPr>
                <w:rFonts w:ascii="Times New Roman" w:hAnsi="Times New Roman" w:cs="Times New Roman"/>
                <w:b/>
                <w:sz w:val="24"/>
                <w:szCs w:val="24"/>
              </w:rPr>
              <w:t xml:space="preserve">Uwaga </w:t>
            </w:r>
            <w:r w:rsidR="00AE6639" w:rsidRPr="00F86BC4">
              <w:rPr>
                <w:rFonts w:ascii="Times New Roman" w:hAnsi="Times New Roman" w:cs="Times New Roman"/>
                <w:b/>
                <w:sz w:val="24"/>
                <w:szCs w:val="24"/>
              </w:rPr>
              <w:t xml:space="preserve">została </w:t>
            </w:r>
            <w:r w:rsidRPr="00F86BC4">
              <w:rPr>
                <w:rFonts w:ascii="Times New Roman" w:hAnsi="Times New Roman" w:cs="Times New Roman"/>
                <w:b/>
                <w:sz w:val="24"/>
                <w:szCs w:val="24"/>
              </w:rPr>
              <w:t>uwzględniona.</w:t>
            </w:r>
          </w:p>
          <w:p w:rsidR="00AE6639" w:rsidRPr="00DB2B9B" w:rsidRDefault="00AE6639" w:rsidP="00641F71">
            <w:pPr>
              <w:jc w:val="both"/>
              <w:rPr>
                <w:rFonts w:ascii="Times New Roman" w:hAnsi="Times New Roman" w:cs="Times New Roman"/>
                <w:sz w:val="24"/>
                <w:szCs w:val="24"/>
              </w:rPr>
            </w:pPr>
          </w:p>
        </w:tc>
      </w:tr>
      <w:tr w:rsidR="00641F71" w:rsidRPr="00DB2B9B" w:rsidTr="003321EA">
        <w:tc>
          <w:tcPr>
            <w:tcW w:w="630" w:type="dxa"/>
          </w:tcPr>
          <w:p w:rsidR="00641F71"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t>4</w:t>
            </w:r>
          </w:p>
        </w:tc>
        <w:tc>
          <w:tcPr>
            <w:tcW w:w="1043" w:type="dxa"/>
          </w:tcPr>
          <w:p w:rsidR="00641F71" w:rsidRPr="00DB2B9B" w:rsidRDefault="00641F71" w:rsidP="00641F71">
            <w:pPr>
              <w:rPr>
                <w:rFonts w:ascii="Times New Roman" w:hAnsi="Times New Roman" w:cs="Times New Roman"/>
              </w:rPr>
            </w:pPr>
            <w:r w:rsidRPr="00DB2B9B">
              <w:rPr>
                <w:rFonts w:ascii="Times New Roman" w:hAnsi="Times New Roman" w:cs="Times New Roman"/>
              </w:rPr>
              <w:t>MF</w:t>
            </w:r>
          </w:p>
        </w:tc>
        <w:tc>
          <w:tcPr>
            <w:tcW w:w="5977" w:type="dxa"/>
          </w:tcPr>
          <w:p w:rsidR="00641F71"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t>Nie przedstawiono całości założeń pozwalających ocenić prawidłowość obliczeń dot. wpływu regulacji na wydatki i dochody sektora finansów publicznych, w tym wydatki budżetu państwa.</w:t>
            </w:r>
          </w:p>
        </w:tc>
        <w:tc>
          <w:tcPr>
            <w:tcW w:w="6344" w:type="dxa"/>
          </w:tcPr>
          <w:p w:rsidR="00F86BC4" w:rsidRDefault="00F86BC4" w:rsidP="00F86BC4">
            <w:pPr>
              <w:jc w:val="both"/>
              <w:rPr>
                <w:rFonts w:ascii="Times New Roman" w:hAnsi="Times New Roman" w:cs="Times New Roman"/>
                <w:b/>
                <w:sz w:val="24"/>
                <w:szCs w:val="24"/>
              </w:rPr>
            </w:pPr>
            <w:r>
              <w:rPr>
                <w:rFonts w:ascii="Times New Roman" w:hAnsi="Times New Roman" w:cs="Times New Roman"/>
                <w:b/>
                <w:sz w:val="24"/>
                <w:szCs w:val="24"/>
              </w:rPr>
              <w:t>Uwaga</w:t>
            </w:r>
            <w:r w:rsidRPr="00F86BC4">
              <w:rPr>
                <w:rFonts w:ascii="Times New Roman" w:hAnsi="Times New Roman" w:cs="Times New Roman"/>
                <w:b/>
                <w:sz w:val="24"/>
                <w:szCs w:val="24"/>
              </w:rPr>
              <w:t xml:space="preserve"> jest o charakterze </w:t>
            </w:r>
            <w:r>
              <w:rPr>
                <w:rFonts w:ascii="Times New Roman" w:hAnsi="Times New Roman" w:cs="Times New Roman"/>
                <w:b/>
                <w:sz w:val="24"/>
                <w:szCs w:val="24"/>
              </w:rPr>
              <w:t>nie</w:t>
            </w:r>
            <w:r w:rsidRPr="00F86BC4">
              <w:rPr>
                <w:rFonts w:ascii="Times New Roman" w:hAnsi="Times New Roman" w:cs="Times New Roman"/>
                <w:b/>
                <w:sz w:val="24"/>
                <w:szCs w:val="24"/>
              </w:rPr>
              <w:t>europejskim.</w:t>
            </w:r>
          </w:p>
          <w:p w:rsidR="00F86BC4" w:rsidRDefault="00F86BC4" w:rsidP="00F86BC4">
            <w:pPr>
              <w:jc w:val="both"/>
              <w:rPr>
                <w:rFonts w:ascii="Times New Roman" w:hAnsi="Times New Roman" w:cs="Times New Roman"/>
                <w:b/>
                <w:sz w:val="24"/>
                <w:szCs w:val="24"/>
              </w:rPr>
            </w:pPr>
            <w:r>
              <w:rPr>
                <w:rFonts w:ascii="Times New Roman" w:hAnsi="Times New Roman" w:cs="Times New Roman"/>
                <w:b/>
                <w:sz w:val="24"/>
                <w:szCs w:val="24"/>
              </w:rPr>
              <w:t>Uwagi nie uwzględniono.</w:t>
            </w:r>
          </w:p>
          <w:p w:rsidR="00F86BC4" w:rsidRDefault="00F86BC4" w:rsidP="00F86BC4">
            <w:pPr>
              <w:jc w:val="both"/>
              <w:rPr>
                <w:rFonts w:ascii="Times New Roman" w:hAnsi="Times New Roman" w:cs="Times New Roman"/>
                <w:sz w:val="24"/>
                <w:szCs w:val="24"/>
              </w:rPr>
            </w:pPr>
            <w:r>
              <w:rPr>
                <w:rFonts w:ascii="Times New Roman" w:hAnsi="Times New Roman" w:cs="Times New Roman"/>
                <w:b/>
                <w:sz w:val="24"/>
                <w:szCs w:val="24"/>
              </w:rPr>
              <w:t>Uwagę pozostawiono do rozstrzygnięcia przez Komitet Stały Rady Ministrów.</w:t>
            </w:r>
          </w:p>
          <w:p w:rsidR="009C2D0B" w:rsidRPr="00DB2B9B" w:rsidRDefault="00B20385" w:rsidP="00641F71">
            <w:pPr>
              <w:jc w:val="both"/>
              <w:rPr>
                <w:rFonts w:ascii="Times New Roman" w:hAnsi="Times New Roman" w:cs="Times New Roman"/>
                <w:sz w:val="24"/>
                <w:szCs w:val="24"/>
              </w:rPr>
            </w:pPr>
            <w:r>
              <w:rPr>
                <w:rFonts w:ascii="Times New Roman" w:hAnsi="Times New Roman" w:cs="Times New Roman"/>
                <w:sz w:val="24"/>
                <w:szCs w:val="24"/>
              </w:rPr>
              <w:t>Założenia zamieszczone są na stronie BIP RCL od pół roku oraz przekazano je we wcześniejszym etapie konsultacji M</w:t>
            </w:r>
            <w:r w:rsidR="00F86BC4">
              <w:rPr>
                <w:rFonts w:ascii="Times New Roman" w:hAnsi="Times New Roman" w:cs="Times New Roman"/>
                <w:sz w:val="24"/>
                <w:szCs w:val="24"/>
              </w:rPr>
              <w:t>inisterstwu Finansów.</w:t>
            </w:r>
          </w:p>
        </w:tc>
      </w:tr>
      <w:tr w:rsidR="00641F71" w:rsidRPr="00DB2B9B" w:rsidTr="003321EA">
        <w:tc>
          <w:tcPr>
            <w:tcW w:w="630" w:type="dxa"/>
          </w:tcPr>
          <w:p w:rsidR="00641F71"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t>5</w:t>
            </w:r>
          </w:p>
        </w:tc>
        <w:tc>
          <w:tcPr>
            <w:tcW w:w="1043" w:type="dxa"/>
          </w:tcPr>
          <w:p w:rsidR="00641F71" w:rsidRPr="00DB2B9B" w:rsidRDefault="00641F71" w:rsidP="00641F71">
            <w:pPr>
              <w:rPr>
                <w:rFonts w:ascii="Times New Roman" w:hAnsi="Times New Roman" w:cs="Times New Roman"/>
              </w:rPr>
            </w:pPr>
            <w:r w:rsidRPr="00DB2B9B">
              <w:rPr>
                <w:rFonts w:ascii="Times New Roman" w:hAnsi="Times New Roman" w:cs="Times New Roman"/>
              </w:rPr>
              <w:t>MF</w:t>
            </w:r>
          </w:p>
        </w:tc>
        <w:tc>
          <w:tcPr>
            <w:tcW w:w="5977" w:type="dxa"/>
          </w:tcPr>
          <w:p w:rsidR="00641F71"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t>Wskazano, że „wydatki na poziomie budżetu państwa pomniejszono o wpływy z podatku od towarów i usług”, co jest niezgodne z zasadami tworzenia OSR, ponieważ wszystkie przepływy dla poszczególnych grup jednostek powinny być przedstawiane brutto.</w:t>
            </w:r>
          </w:p>
        </w:tc>
        <w:tc>
          <w:tcPr>
            <w:tcW w:w="6344" w:type="dxa"/>
          </w:tcPr>
          <w:p w:rsidR="00F86BC4" w:rsidRDefault="00F86BC4" w:rsidP="00F86BC4">
            <w:pPr>
              <w:jc w:val="both"/>
              <w:rPr>
                <w:rFonts w:ascii="Times New Roman" w:hAnsi="Times New Roman" w:cs="Times New Roman"/>
                <w:b/>
                <w:sz w:val="24"/>
                <w:szCs w:val="24"/>
              </w:rPr>
            </w:pPr>
            <w:r>
              <w:rPr>
                <w:rFonts w:ascii="Times New Roman" w:hAnsi="Times New Roman" w:cs="Times New Roman"/>
                <w:b/>
                <w:sz w:val="24"/>
                <w:szCs w:val="24"/>
              </w:rPr>
              <w:t xml:space="preserve">Uwaga </w:t>
            </w:r>
            <w:r w:rsidRPr="00F86BC4">
              <w:rPr>
                <w:rFonts w:ascii="Times New Roman" w:hAnsi="Times New Roman" w:cs="Times New Roman"/>
                <w:b/>
                <w:sz w:val="24"/>
                <w:szCs w:val="24"/>
              </w:rPr>
              <w:t xml:space="preserve">jest o charakterze </w:t>
            </w:r>
            <w:r>
              <w:rPr>
                <w:rFonts w:ascii="Times New Roman" w:hAnsi="Times New Roman" w:cs="Times New Roman"/>
                <w:b/>
                <w:sz w:val="24"/>
                <w:szCs w:val="24"/>
              </w:rPr>
              <w:t>nie</w:t>
            </w:r>
            <w:r w:rsidRPr="00F86BC4">
              <w:rPr>
                <w:rFonts w:ascii="Times New Roman" w:hAnsi="Times New Roman" w:cs="Times New Roman"/>
                <w:b/>
                <w:sz w:val="24"/>
                <w:szCs w:val="24"/>
              </w:rPr>
              <w:t>europejskim.</w:t>
            </w:r>
          </w:p>
          <w:p w:rsidR="00F86BC4" w:rsidRDefault="00F86BC4" w:rsidP="00F86BC4">
            <w:pPr>
              <w:jc w:val="both"/>
              <w:rPr>
                <w:rFonts w:ascii="Times New Roman" w:hAnsi="Times New Roman" w:cs="Times New Roman"/>
                <w:b/>
                <w:sz w:val="24"/>
                <w:szCs w:val="24"/>
              </w:rPr>
            </w:pPr>
            <w:r>
              <w:rPr>
                <w:rFonts w:ascii="Times New Roman" w:hAnsi="Times New Roman" w:cs="Times New Roman"/>
                <w:b/>
                <w:sz w:val="24"/>
                <w:szCs w:val="24"/>
              </w:rPr>
              <w:t>Uwagi nie uwzględniono.</w:t>
            </w:r>
          </w:p>
          <w:p w:rsidR="00F86BC4" w:rsidRDefault="00F86BC4" w:rsidP="00F86BC4">
            <w:pPr>
              <w:jc w:val="both"/>
              <w:rPr>
                <w:rFonts w:ascii="Times New Roman" w:hAnsi="Times New Roman" w:cs="Times New Roman"/>
                <w:sz w:val="24"/>
                <w:szCs w:val="24"/>
              </w:rPr>
            </w:pPr>
            <w:r>
              <w:rPr>
                <w:rFonts w:ascii="Times New Roman" w:hAnsi="Times New Roman" w:cs="Times New Roman"/>
                <w:b/>
                <w:sz w:val="24"/>
                <w:szCs w:val="24"/>
              </w:rPr>
              <w:t>Uwagę pozostawiono do rozstrzygnięcia przez Komitet Stały Rady Ministrów.</w:t>
            </w:r>
          </w:p>
          <w:p w:rsidR="00641F71" w:rsidRDefault="003321EA" w:rsidP="00641F71">
            <w:pPr>
              <w:jc w:val="both"/>
              <w:rPr>
                <w:rFonts w:ascii="Times New Roman" w:hAnsi="Times New Roman" w:cs="Times New Roman"/>
                <w:sz w:val="24"/>
                <w:szCs w:val="24"/>
              </w:rPr>
            </w:pPr>
            <w:r>
              <w:rPr>
                <w:rFonts w:ascii="Times New Roman" w:hAnsi="Times New Roman" w:cs="Times New Roman"/>
                <w:sz w:val="24"/>
                <w:szCs w:val="24"/>
              </w:rPr>
              <w:t xml:space="preserve">Takie ujęcie zagadnienia było wynikiem konsultacji z Ministerstwem Finansów. W Ocenie Skutków Regulacji z maja 2019 r. </w:t>
            </w:r>
            <w:r w:rsidR="00247CCE">
              <w:rPr>
                <w:rFonts w:ascii="Times New Roman" w:hAnsi="Times New Roman" w:cs="Times New Roman"/>
                <w:sz w:val="24"/>
                <w:szCs w:val="24"/>
              </w:rPr>
              <w:t>„</w:t>
            </w:r>
            <w:r w:rsidR="00C858A5">
              <w:rPr>
                <w:rFonts w:ascii="Times New Roman" w:hAnsi="Times New Roman" w:cs="Times New Roman"/>
                <w:sz w:val="24"/>
                <w:szCs w:val="24"/>
              </w:rPr>
              <w:t>wydatków z budżetu państwa nie pomniejszono o wpływy z podatku od towarów i usług</w:t>
            </w:r>
            <w:r w:rsidR="00247CCE">
              <w:rPr>
                <w:rFonts w:ascii="Times New Roman" w:hAnsi="Times New Roman" w:cs="Times New Roman"/>
                <w:sz w:val="24"/>
                <w:szCs w:val="24"/>
              </w:rPr>
              <w:t>”</w:t>
            </w:r>
            <w:r w:rsidR="00C858A5">
              <w:rPr>
                <w:rFonts w:ascii="Times New Roman" w:hAnsi="Times New Roman" w:cs="Times New Roman"/>
                <w:sz w:val="24"/>
                <w:szCs w:val="24"/>
              </w:rPr>
              <w:t>.</w:t>
            </w:r>
            <w:r w:rsidR="00E832AD">
              <w:rPr>
                <w:rFonts w:ascii="Times New Roman" w:hAnsi="Times New Roman" w:cs="Times New Roman"/>
                <w:sz w:val="24"/>
                <w:szCs w:val="24"/>
              </w:rPr>
              <w:t xml:space="preserve"> W aktualnym OSR </w:t>
            </w:r>
            <w:r w:rsidR="00E832AD" w:rsidRPr="00E832AD">
              <w:rPr>
                <w:rFonts w:ascii="Times New Roman" w:hAnsi="Times New Roman" w:cs="Times New Roman"/>
                <w:sz w:val="24"/>
                <w:szCs w:val="24"/>
              </w:rPr>
              <w:t>wydatki są zapisane z minusem, co w saldzie daje wartość dodatnią.</w:t>
            </w:r>
            <w:r w:rsidR="00247CCE">
              <w:rPr>
                <w:rFonts w:ascii="Times New Roman" w:hAnsi="Times New Roman" w:cs="Times New Roman"/>
                <w:sz w:val="24"/>
                <w:szCs w:val="24"/>
              </w:rPr>
              <w:t xml:space="preserve"> Dodatkowo, w celu </w:t>
            </w:r>
            <w:r w:rsidR="00E70D2B">
              <w:rPr>
                <w:rFonts w:ascii="Times New Roman" w:hAnsi="Times New Roman" w:cs="Times New Roman"/>
                <w:sz w:val="24"/>
                <w:szCs w:val="24"/>
              </w:rPr>
              <w:t>ujęcia przedmiotowej kwestii w bardziej przejrzysty sposób poprawiono zapis na:</w:t>
            </w:r>
          </w:p>
          <w:p w:rsidR="002159F8" w:rsidRPr="00F86BC4" w:rsidRDefault="00E70D2B" w:rsidP="00641F71">
            <w:pPr>
              <w:jc w:val="both"/>
              <w:rPr>
                <w:rFonts w:ascii="Times New Roman" w:hAnsi="Times New Roman" w:cs="Times New Roman"/>
                <w:i/>
                <w:sz w:val="24"/>
                <w:szCs w:val="24"/>
              </w:rPr>
            </w:pPr>
            <w:r w:rsidRPr="00E70D2B">
              <w:rPr>
                <w:rFonts w:ascii="Times New Roman" w:hAnsi="Times New Roman" w:cs="Times New Roman"/>
                <w:i/>
                <w:sz w:val="24"/>
                <w:szCs w:val="24"/>
              </w:rPr>
              <w:t>W przypadku budżetu państwa ujęto po stronie wydatków także wpływy z VAT (ze znakiem ujemnym) wynikające z zakupu oraz instalowania liczników zdalnego odczytu a także systemów teleinformatycznych w ramach całego system</w:t>
            </w:r>
            <w:r w:rsidR="00F86BC4">
              <w:rPr>
                <w:rFonts w:ascii="Times New Roman" w:hAnsi="Times New Roman" w:cs="Times New Roman"/>
                <w:i/>
                <w:sz w:val="24"/>
                <w:szCs w:val="24"/>
              </w:rPr>
              <w:t>u inteligentnego opomiarowania.</w:t>
            </w:r>
          </w:p>
        </w:tc>
      </w:tr>
      <w:tr w:rsidR="00641F71" w:rsidRPr="00DB2B9B" w:rsidTr="003321EA">
        <w:tc>
          <w:tcPr>
            <w:tcW w:w="630" w:type="dxa"/>
          </w:tcPr>
          <w:p w:rsidR="00641F71"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t>6</w:t>
            </w:r>
          </w:p>
        </w:tc>
        <w:tc>
          <w:tcPr>
            <w:tcW w:w="1043" w:type="dxa"/>
          </w:tcPr>
          <w:p w:rsidR="00641F71" w:rsidRPr="00DB2B9B" w:rsidRDefault="00641F71" w:rsidP="00641F71">
            <w:pPr>
              <w:rPr>
                <w:rFonts w:ascii="Times New Roman" w:hAnsi="Times New Roman" w:cs="Times New Roman"/>
              </w:rPr>
            </w:pPr>
            <w:r w:rsidRPr="00DB2B9B">
              <w:rPr>
                <w:rFonts w:ascii="Times New Roman" w:hAnsi="Times New Roman" w:cs="Times New Roman"/>
              </w:rPr>
              <w:t>MF</w:t>
            </w:r>
          </w:p>
        </w:tc>
        <w:tc>
          <w:tcPr>
            <w:tcW w:w="5977" w:type="dxa"/>
          </w:tcPr>
          <w:p w:rsidR="00641F71"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t>Wskazano, że największe korzyści z wprowadzenia systemu inteligentnego opomiarowania będą rejestrowane w budżecie państwa (spadek wydatków jednostek budżetu państwa), natomiast w założeniach wskazano, że udział liczników jednostek samorządu terytorialnego w grupie JSFP jest na poziomie 94%, podczas gdy jednostek budżetu państwa – na poziomie 5%. Kwestia ta wymaga wyjaśnienia.</w:t>
            </w:r>
          </w:p>
        </w:tc>
        <w:tc>
          <w:tcPr>
            <w:tcW w:w="6344" w:type="dxa"/>
          </w:tcPr>
          <w:p w:rsidR="00F86BC4" w:rsidRDefault="00F86BC4" w:rsidP="00641F71">
            <w:pPr>
              <w:jc w:val="both"/>
              <w:rPr>
                <w:rFonts w:ascii="Times New Roman" w:hAnsi="Times New Roman" w:cs="Times New Roman"/>
                <w:b/>
                <w:sz w:val="24"/>
                <w:szCs w:val="24"/>
              </w:rPr>
            </w:pPr>
            <w:r w:rsidRPr="00F86BC4">
              <w:rPr>
                <w:rFonts w:ascii="Times New Roman" w:hAnsi="Times New Roman" w:cs="Times New Roman"/>
                <w:b/>
                <w:sz w:val="24"/>
                <w:szCs w:val="24"/>
              </w:rPr>
              <w:t>Uwaga jest o charakterze nieeuropejskim.</w:t>
            </w:r>
          </w:p>
          <w:p w:rsidR="00F86BC4" w:rsidRPr="00F86BC4" w:rsidRDefault="00BF5CE6" w:rsidP="00641F71">
            <w:pPr>
              <w:jc w:val="both"/>
              <w:rPr>
                <w:rFonts w:ascii="Times New Roman" w:hAnsi="Times New Roman" w:cs="Times New Roman"/>
                <w:b/>
                <w:sz w:val="24"/>
                <w:szCs w:val="24"/>
              </w:rPr>
            </w:pPr>
            <w:r w:rsidRPr="00F86BC4">
              <w:rPr>
                <w:rFonts w:ascii="Times New Roman" w:hAnsi="Times New Roman" w:cs="Times New Roman"/>
                <w:b/>
                <w:sz w:val="24"/>
                <w:szCs w:val="24"/>
              </w:rPr>
              <w:t xml:space="preserve">Uwaga </w:t>
            </w:r>
            <w:r w:rsidR="006935BE" w:rsidRPr="00F86BC4">
              <w:rPr>
                <w:rFonts w:ascii="Times New Roman" w:hAnsi="Times New Roman" w:cs="Times New Roman"/>
                <w:b/>
                <w:sz w:val="24"/>
                <w:szCs w:val="24"/>
              </w:rPr>
              <w:t xml:space="preserve">została </w:t>
            </w:r>
            <w:r w:rsidRPr="00F86BC4">
              <w:rPr>
                <w:rFonts w:ascii="Times New Roman" w:hAnsi="Times New Roman" w:cs="Times New Roman"/>
                <w:b/>
                <w:sz w:val="24"/>
                <w:szCs w:val="24"/>
              </w:rPr>
              <w:t xml:space="preserve">uwzględniona. </w:t>
            </w:r>
          </w:p>
          <w:p w:rsidR="00641F71" w:rsidRDefault="004C5523" w:rsidP="00641F71">
            <w:pPr>
              <w:jc w:val="both"/>
              <w:rPr>
                <w:rFonts w:ascii="Times New Roman" w:hAnsi="Times New Roman" w:cs="Times New Roman"/>
                <w:sz w:val="24"/>
                <w:szCs w:val="24"/>
              </w:rPr>
            </w:pPr>
            <w:r>
              <w:rPr>
                <w:rFonts w:ascii="Times New Roman" w:hAnsi="Times New Roman" w:cs="Times New Roman"/>
                <w:sz w:val="24"/>
                <w:szCs w:val="24"/>
              </w:rPr>
              <w:t>Popraw</w:t>
            </w:r>
            <w:r w:rsidR="00E70D2B">
              <w:rPr>
                <w:rFonts w:ascii="Times New Roman" w:hAnsi="Times New Roman" w:cs="Times New Roman"/>
                <w:sz w:val="24"/>
                <w:szCs w:val="24"/>
              </w:rPr>
              <w:t>iono wyjaśnienia zawarte w OSR:</w:t>
            </w:r>
          </w:p>
          <w:p w:rsidR="00E70D2B" w:rsidRDefault="00E70D2B" w:rsidP="00641F71">
            <w:pPr>
              <w:jc w:val="both"/>
              <w:rPr>
                <w:rFonts w:ascii="Times New Roman" w:hAnsi="Times New Roman" w:cs="Times New Roman"/>
                <w:i/>
                <w:sz w:val="24"/>
                <w:szCs w:val="24"/>
              </w:rPr>
            </w:pPr>
            <w:r w:rsidRPr="00E70D2B">
              <w:rPr>
                <w:rFonts w:ascii="Times New Roman" w:hAnsi="Times New Roman" w:cs="Times New Roman"/>
                <w:i/>
                <w:sz w:val="24"/>
                <w:szCs w:val="24"/>
              </w:rPr>
              <w:t xml:space="preserve">Zidentyfikowane koszty i korzyści wynikające z  wdrożenia projektu dla grupy taryfowej C1x oszacowano według klucza zużycia, a następnie przeliczono ich poziom dla JSFP (wydatki – koszty przeniesione na JSFP jako odbiorców i wpływy – </w:t>
            </w:r>
            <w:r w:rsidRPr="00E70D2B">
              <w:rPr>
                <w:rFonts w:ascii="Times New Roman" w:hAnsi="Times New Roman" w:cs="Times New Roman"/>
                <w:i/>
                <w:sz w:val="24"/>
                <w:szCs w:val="24"/>
              </w:rPr>
              <w:lastRenderedPageBreak/>
              <w:t>korzyści JSFP jako odbiorców wg ustalonego wcześniej udziału procentowego). Udział w korzyściach wynikających z wprowadzenia inteligentnego opomiarowania jednostek budżetu państwa, samorządu terytorialnego oraz pozostałych w całej grupie jednostek sektora finansów publicznych przyjęto na poziomie (odpowiednio) 5%, 94% oraz 1%, co pozwoliło na uszczegółowienie obliczeń w zakresie dochodów i wydatków, wynikających z wdrożenia projektu i mających wpływ na sektor finansów publicznych.</w:t>
            </w:r>
          </w:p>
          <w:p w:rsidR="00E70D2B" w:rsidRPr="007F1BAC" w:rsidRDefault="00E70D2B" w:rsidP="00641F71">
            <w:pPr>
              <w:jc w:val="both"/>
              <w:rPr>
                <w:rFonts w:ascii="Times New Roman" w:hAnsi="Times New Roman" w:cs="Times New Roman"/>
                <w:sz w:val="24"/>
                <w:szCs w:val="24"/>
                <w:u w:val="single"/>
              </w:rPr>
            </w:pPr>
            <w:r w:rsidRPr="007F1BAC">
              <w:rPr>
                <w:rFonts w:ascii="Times New Roman" w:hAnsi="Times New Roman" w:cs="Times New Roman"/>
                <w:sz w:val="24"/>
                <w:szCs w:val="24"/>
                <w:u w:val="single"/>
              </w:rPr>
              <w:t>Ww. procenty wynikają z liczebności poszczególnych kategorii jednostek sektora finansów publicznych.</w:t>
            </w:r>
          </w:p>
          <w:p w:rsidR="00E70D2B" w:rsidRDefault="00E70D2B" w:rsidP="00641F71">
            <w:pPr>
              <w:jc w:val="both"/>
              <w:rPr>
                <w:rFonts w:ascii="Times New Roman" w:hAnsi="Times New Roman" w:cs="Times New Roman"/>
                <w:sz w:val="24"/>
                <w:szCs w:val="24"/>
              </w:rPr>
            </w:pPr>
            <w:r>
              <w:rPr>
                <w:rFonts w:ascii="Times New Roman" w:hAnsi="Times New Roman" w:cs="Times New Roman"/>
                <w:sz w:val="24"/>
                <w:szCs w:val="24"/>
              </w:rPr>
              <w:t>Dodatkowo w wyjaśnieniach wskazano, że:</w:t>
            </w:r>
          </w:p>
          <w:p w:rsidR="00E70D2B" w:rsidRPr="00E70D2B" w:rsidRDefault="00E70D2B" w:rsidP="00641F71">
            <w:pPr>
              <w:jc w:val="both"/>
              <w:rPr>
                <w:rFonts w:ascii="Times New Roman" w:hAnsi="Times New Roman" w:cs="Times New Roman"/>
                <w:i/>
                <w:sz w:val="24"/>
                <w:szCs w:val="24"/>
              </w:rPr>
            </w:pPr>
            <w:r w:rsidRPr="00E70D2B">
              <w:rPr>
                <w:rFonts w:ascii="Times New Roman" w:hAnsi="Times New Roman" w:cs="Times New Roman"/>
                <w:i/>
                <w:sz w:val="24"/>
                <w:szCs w:val="24"/>
              </w:rPr>
              <w:t xml:space="preserve">Na potrzeby oszacowania wpływu projektu na sektor finansów publicznych (na podstawie danych OSD na temat liczebności odbiorców grupy taryfowej C) ustalono liczbę odbiorców dla wyodrębnionej grupy C1x o mocy umownej mniejszej lub równej 16 kW oraz udział liczników jednostek sektora finansów publicznych w liczebności tej grupy (udział ten wynosi 11,6%).  W ramach założeń do obliczeń przyjęto, że JSFP partycypować w trzech z pięciu kluczowych korzyści wynikających z wdrożenia projektu – ograniczeniu odczytów w trybie inkasenckim (korzyść OSD w 90% przeniesiona na odbiorców), redukcji strat handlowych i technicznych (korzyść OSD w 50% przeniesiona na odbiorców) oraz zmniejszeniu udziału we wsparciu utrzymania i budowy nowych źródeł wytwórczych. Założono, że dwie pozostałe kluczowe korzyści wynikające z modyfikacji zachowań w zakresie zużycia energii elektrycznej (obniżenie zużycia) oraz czynnego uczestnictwa w rynku energii będą nieosiągalne dla JSFP z uwagi na charakter prowadzonej przez nie działalności oraz charakterystykę zużycia. Udział JSFP w kosztach wdrożenia inteligentnego opomiarowania, z uwzględnieniem obowiązującego systemu taryfowania, </w:t>
            </w:r>
            <w:r w:rsidRPr="00E70D2B">
              <w:rPr>
                <w:rFonts w:ascii="Times New Roman" w:hAnsi="Times New Roman" w:cs="Times New Roman"/>
                <w:i/>
                <w:sz w:val="24"/>
                <w:szCs w:val="24"/>
              </w:rPr>
              <w:lastRenderedPageBreak/>
              <w:t>oszacowano na równi z odbiorcami grupy taryfowej G oraz pozostałymi odbiorcami grupy C1x o mocy umownej mniejszej lub równej 16 kW.</w:t>
            </w:r>
          </w:p>
          <w:p w:rsidR="002159F8" w:rsidRPr="00DB2B9B" w:rsidRDefault="002159F8" w:rsidP="00641F71">
            <w:pPr>
              <w:jc w:val="both"/>
              <w:rPr>
                <w:rFonts w:ascii="Times New Roman" w:hAnsi="Times New Roman" w:cs="Times New Roman"/>
                <w:sz w:val="24"/>
                <w:szCs w:val="24"/>
              </w:rPr>
            </w:pPr>
            <w:r w:rsidRPr="002159F8">
              <w:rPr>
                <w:rFonts w:ascii="Times New Roman" w:hAnsi="Times New Roman" w:cs="Times New Roman"/>
                <w:sz w:val="24"/>
                <w:szCs w:val="24"/>
              </w:rPr>
              <w:t xml:space="preserve">Uwaga </w:t>
            </w:r>
            <w:r w:rsidR="006935BE">
              <w:rPr>
                <w:rFonts w:ascii="Times New Roman" w:hAnsi="Times New Roman" w:cs="Times New Roman"/>
                <w:sz w:val="24"/>
                <w:szCs w:val="24"/>
              </w:rPr>
              <w:t xml:space="preserve">jest </w:t>
            </w:r>
            <w:r w:rsidRPr="002159F8">
              <w:rPr>
                <w:rFonts w:ascii="Times New Roman" w:hAnsi="Times New Roman" w:cs="Times New Roman"/>
                <w:sz w:val="24"/>
                <w:szCs w:val="24"/>
              </w:rPr>
              <w:t>o charakterze nieeuropejskim.</w:t>
            </w:r>
          </w:p>
        </w:tc>
      </w:tr>
      <w:tr w:rsidR="00641F71" w:rsidRPr="00DB2B9B" w:rsidTr="003321EA">
        <w:tc>
          <w:tcPr>
            <w:tcW w:w="630" w:type="dxa"/>
          </w:tcPr>
          <w:p w:rsidR="00641F71"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lastRenderedPageBreak/>
              <w:t>7</w:t>
            </w:r>
          </w:p>
        </w:tc>
        <w:tc>
          <w:tcPr>
            <w:tcW w:w="1043" w:type="dxa"/>
          </w:tcPr>
          <w:p w:rsidR="00641F71" w:rsidRPr="00DB2B9B" w:rsidRDefault="00641F71" w:rsidP="00641F71">
            <w:pPr>
              <w:rPr>
                <w:rFonts w:ascii="Times New Roman" w:hAnsi="Times New Roman" w:cs="Times New Roman"/>
              </w:rPr>
            </w:pPr>
            <w:r w:rsidRPr="00DB2B9B">
              <w:rPr>
                <w:rFonts w:ascii="Times New Roman" w:hAnsi="Times New Roman" w:cs="Times New Roman"/>
              </w:rPr>
              <w:t>MF</w:t>
            </w:r>
          </w:p>
        </w:tc>
        <w:tc>
          <w:tcPr>
            <w:tcW w:w="5977" w:type="dxa"/>
          </w:tcPr>
          <w:p w:rsidR="00641F71" w:rsidRPr="00DB2B9B" w:rsidRDefault="00641F71" w:rsidP="00641F71">
            <w:pPr>
              <w:jc w:val="both"/>
              <w:rPr>
                <w:rFonts w:ascii="Times New Roman" w:hAnsi="Times New Roman" w:cs="Times New Roman"/>
                <w:sz w:val="24"/>
                <w:szCs w:val="24"/>
              </w:rPr>
            </w:pPr>
            <w:r w:rsidRPr="00DB2B9B">
              <w:rPr>
                <w:rFonts w:ascii="Times New Roman" w:hAnsi="Times New Roman" w:cs="Times New Roman"/>
                <w:sz w:val="24"/>
                <w:szCs w:val="24"/>
              </w:rPr>
              <w:t xml:space="preserve">Nie przekazano załącznika do OSR dotyczącego systemu teleinformatycznego URE oraz nie przedstawiono źródła finansowania tego systemu.  </w:t>
            </w:r>
          </w:p>
        </w:tc>
        <w:tc>
          <w:tcPr>
            <w:tcW w:w="6344" w:type="dxa"/>
          </w:tcPr>
          <w:p w:rsidR="00F86BC4" w:rsidRDefault="00F86BC4" w:rsidP="003D0511">
            <w:pPr>
              <w:jc w:val="both"/>
              <w:rPr>
                <w:rFonts w:ascii="Times New Roman" w:hAnsi="Times New Roman" w:cs="Times New Roman"/>
                <w:b/>
                <w:sz w:val="24"/>
                <w:szCs w:val="24"/>
              </w:rPr>
            </w:pPr>
            <w:r w:rsidRPr="00F86BC4">
              <w:rPr>
                <w:rFonts w:ascii="Times New Roman" w:hAnsi="Times New Roman" w:cs="Times New Roman"/>
                <w:b/>
                <w:sz w:val="24"/>
                <w:szCs w:val="24"/>
              </w:rPr>
              <w:t>Uwaga jest o charakterze nieeuropejskim.</w:t>
            </w:r>
          </w:p>
          <w:p w:rsidR="00F86BC4" w:rsidRPr="00F86BC4" w:rsidRDefault="00510C8B" w:rsidP="003D0511">
            <w:pPr>
              <w:jc w:val="both"/>
              <w:rPr>
                <w:rFonts w:ascii="Times New Roman" w:hAnsi="Times New Roman" w:cs="Times New Roman"/>
                <w:b/>
                <w:sz w:val="24"/>
                <w:szCs w:val="24"/>
              </w:rPr>
            </w:pPr>
            <w:r w:rsidRPr="00F86BC4">
              <w:rPr>
                <w:rFonts w:ascii="Times New Roman" w:hAnsi="Times New Roman" w:cs="Times New Roman"/>
                <w:b/>
                <w:sz w:val="24"/>
                <w:szCs w:val="24"/>
              </w:rPr>
              <w:t xml:space="preserve">Uwaga </w:t>
            </w:r>
            <w:r w:rsidR="00F86BC4" w:rsidRPr="00F86BC4">
              <w:rPr>
                <w:rFonts w:ascii="Times New Roman" w:hAnsi="Times New Roman" w:cs="Times New Roman"/>
                <w:b/>
                <w:sz w:val="24"/>
                <w:szCs w:val="24"/>
              </w:rPr>
              <w:t xml:space="preserve">została </w:t>
            </w:r>
            <w:r w:rsidRPr="00F86BC4">
              <w:rPr>
                <w:rFonts w:ascii="Times New Roman" w:hAnsi="Times New Roman" w:cs="Times New Roman"/>
                <w:b/>
                <w:sz w:val="24"/>
                <w:szCs w:val="24"/>
              </w:rPr>
              <w:t xml:space="preserve">uwzględniona. </w:t>
            </w:r>
          </w:p>
          <w:p w:rsidR="004C5523" w:rsidRPr="00DB2B9B" w:rsidRDefault="003D0511" w:rsidP="003D0511">
            <w:pPr>
              <w:jc w:val="both"/>
              <w:rPr>
                <w:rFonts w:ascii="Times New Roman" w:hAnsi="Times New Roman" w:cs="Times New Roman"/>
                <w:sz w:val="24"/>
                <w:szCs w:val="24"/>
              </w:rPr>
            </w:pPr>
            <w:r w:rsidRPr="003D0511">
              <w:rPr>
                <w:rFonts w:ascii="Times New Roman" w:hAnsi="Times New Roman" w:cs="Times New Roman"/>
                <w:sz w:val="24"/>
                <w:szCs w:val="24"/>
              </w:rPr>
              <w:t>Dostosowano brzmienie OSR w zw. z wycofaniem przepisów dot. z systemu teleinformatycznego URE na poprzednim</w:t>
            </w:r>
            <w:r>
              <w:rPr>
                <w:rFonts w:ascii="Times New Roman" w:hAnsi="Times New Roman" w:cs="Times New Roman"/>
                <w:sz w:val="24"/>
                <w:szCs w:val="24"/>
              </w:rPr>
              <w:t xml:space="preserve"> etapie procedowania projektu. </w:t>
            </w:r>
          </w:p>
        </w:tc>
      </w:tr>
      <w:tr w:rsidR="00641F71" w:rsidRPr="00DB2B9B" w:rsidTr="003321EA">
        <w:tc>
          <w:tcPr>
            <w:tcW w:w="630" w:type="dxa"/>
          </w:tcPr>
          <w:p w:rsidR="00641F71" w:rsidRPr="00DB2B9B" w:rsidRDefault="00553938" w:rsidP="00B06E69">
            <w:pPr>
              <w:jc w:val="both"/>
              <w:rPr>
                <w:rFonts w:ascii="Times New Roman" w:hAnsi="Times New Roman" w:cs="Times New Roman"/>
                <w:sz w:val="24"/>
                <w:szCs w:val="24"/>
              </w:rPr>
            </w:pPr>
            <w:r>
              <w:rPr>
                <w:rFonts w:ascii="Times New Roman" w:hAnsi="Times New Roman" w:cs="Times New Roman"/>
                <w:sz w:val="24"/>
                <w:szCs w:val="24"/>
              </w:rPr>
              <w:t>8</w:t>
            </w:r>
          </w:p>
        </w:tc>
        <w:tc>
          <w:tcPr>
            <w:tcW w:w="1043" w:type="dxa"/>
          </w:tcPr>
          <w:p w:rsidR="00641F71" w:rsidRPr="00DB2B9B" w:rsidRDefault="00553938" w:rsidP="00B06E69">
            <w:pPr>
              <w:jc w:val="both"/>
              <w:rPr>
                <w:rFonts w:ascii="Times New Roman" w:hAnsi="Times New Roman" w:cs="Times New Roman"/>
                <w:sz w:val="24"/>
                <w:szCs w:val="24"/>
              </w:rPr>
            </w:pPr>
            <w:r>
              <w:rPr>
                <w:rFonts w:ascii="Times New Roman" w:hAnsi="Times New Roman" w:cs="Times New Roman"/>
                <w:sz w:val="24"/>
                <w:szCs w:val="24"/>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1.</w:t>
            </w:r>
            <w:r w:rsidRPr="00DE1863">
              <w:rPr>
                <w:rFonts w:ascii="Times New Roman" w:hAnsi="Times New Roman" w:cs="Times New Roman"/>
                <w:sz w:val="24"/>
                <w:szCs w:val="24"/>
              </w:rPr>
              <w:tab/>
              <w:t xml:space="preserve">Art. 1 pkt 2 lit. j – zmiana art. 2 pkt 59 (definicja magazynowania energii elektrycznej) </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 przypadku dużych magazynów, jakimi są elektrownie szczytowo-pompowe, proponowana definicja może budzić wątpliwości. Elektrownie szczytowo-pompowe w ramach zorganizowanej części przedsiębiorstwa - elektrowni - posiadają więcej niż jedno miejsce dostarczania energii. Energia dostarczona w trybie pracy pompowej w jednym miejscu dostarczenia energii może zostać – w związku z pracą generacyjną – wprowadzona do sieci poprzez inne miejsce dostarczenia tej samej elektrowni. Definicja ta powinna zostać przeredagowana, tak by uwzględnić specyfikę pracy elektrowni szczytowo-pompowej. MAP proponuje następujące brzmienie przepisu:</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„59) </w:t>
            </w:r>
            <w:r w:rsidRPr="00DE1863">
              <w:rPr>
                <w:rFonts w:ascii="Times New Roman" w:hAnsi="Times New Roman" w:cs="Times New Roman"/>
                <w:sz w:val="24"/>
                <w:szCs w:val="24"/>
              </w:rPr>
              <w:tab/>
              <w:t xml:space="preserve">magazynowanie energii elektrycznej – przetworzenie energii elektrycznej pobranej z sieci elektroenergetycznej lub wytworzonej przez jednostkę wytwórczą przyłączoną do sieci elektroenergetycznej i współpracującą z tą siecią do innej postaci energii, przechowanie tej energii, a następnie ponowne jej przetworzenie na energię elektryczną i wprowadzenie do sieci elektroenergetycznej w tym samym miejscu dostarczania energii elektrycznej, z zastrzeżeniem, iż </w:t>
            </w:r>
            <w:r w:rsidRPr="00DE1863">
              <w:rPr>
                <w:rFonts w:ascii="Times New Roman" w:hAnsi="Times New Roman" w:cs="Times New Roman"/>
                <w:sz w:val="24"/>
                <w:szCs w:val="24"/>
              </w:rPr>
              <w:lastRenderedPageBreak/>
              <w:t>energia uzyskiwana z pracy pompowej w elektrowniach szczytowo-pompowych lub elektrowniach wodnych z członem pompowym może być wprowadzana do sieci elektroenergetycznej w innym miejscu dostarczania energii elektrycznej;”.</w:t>
            </w:r>
          </w:p>
        </w:tc>
        <w:tc>
          <w:tcPr>
            <w:tcW w:w="6344" w:type="dxa"/>
          </w:tcPr>
          <w:p w:rsidR="00F86BC4" w:rsidRDefault="00F86BC4" w:rsidP="00550DBB">
            <w:pPr>
              <w:jc w:val="both"/>
              <w:rPr>
                <w:rFonts w:ascii="Times New Roman" w:hAnsi="Times New Roman" w:cs="Times New Roman"/>
                <w:b/>
                <w:sz w:val="24"/>
                <w:szCs w:val="24"/>
              </w:rPr>
            </w:pPr>
            <w:r w:rsidRPr="00F86BC4">
              <w:rPr>
                <w:rFonts w:ascii="Times New Roman" w:hAnsi="Times New Roman" w:cs="Times New Roman"/>
                <w:b/>
                <w:sz w:val="24"/>
                <w:szCs w:val="24"/>
              </w:rPr>
              <w:lastRenderedPageBreak/>
              <w:t>Uwaga jest o charakterze nieeuropejskim.</w:t>
            </w:r>
          </w:p>
          <w:p w:rsidR="00550DBB" w:rsidRPr="00F86BC4" w:rsidRDefault="00550DBB" w:rsidP="00550DBB">
            <w:pPr>
              <w:jc w:val="both"/>
              <w:rPr>
                <w:rFonts w:ascii="Times New Roman" w:hAnsi="Times New Roman" w:cs="Times New Roman"/>
                <w:b/>
                <w:sz w:val="24"/>
                <w:szCs w:val="24"/>
              </w:rPr>
            </w:pPr>
            <w:r w:rsidRPr="00F86BC4">
              <w:rPr>
                <w:rFonts w:ascii="Times New Roman" w:hAnsi="Times New Roman" w:cs="Times New Roman"/>
                <w:b/>
                <w:sz w:val="24"/>
                <w:szCs w:val="24"/>
              </w:rPr>
              <w:t xml:space="preserve">Uwaga </w:t>
            </w:r>
            <w:r w:rsidR="00F86BC4" w:rsidRPr="00F86BC4">
              <w:rPr>
                <w:rFonts w:ascii="Times New Roman" w:hAnsi="Times New Roman" w:cs="Times New Roman"/>
                <w:b/>
                <w:sz w:val="24"/>
                <w:szCs w:val="24"/>
              </w:rPr>
              <w:t xml:space="preserve">została </w:t>
            </w:r>
            <w:r w:rsidRPr="00F86BC4">
              <w:rPr>
                <w:rFonts w:ascii="Times New Roman" w:hAnsi="Times New Roman" w:cs="Times New Roman"/>
                <w:b/>
                <w:sz w:val="24"/>
                <w:szCs w:val="24"/>
              </w:rPr>
              <w:t>uwzględniona</w:t>
            </w:r>
            <w:r w:rsidR="00F86BC4" w:rsidRPr="00F86BC4">
              <w:rPr>
                <w:rFonts w:ascii="Times New Roman" w:hAnsi="Times New Roman" w:cs="Times New Roman"/>
                <w:b/>
                <w:sz w:val="24"/>
                <w:szCs w:val="24"/>
              </w:rPr>
              <w:t xml:space="preserve"> z korektą.</w:t>
            </w:r>
          </w:p>
          <w:p w:rsidR="00550DBB" w:rsidRPr="00550DBB" w:rsidRDefault="00550DBB" w:rsidP="00550DBB">
            <w:pPr>
              <w:jc w:val="both"/>
              <w:rPr>
                <w:rFonts w:ascii="Times New Roman" w:hAnsi="Times New Roman" w:cs="Times New Roman"/>
                <w:sz w:val="24"/>
                <w:szCs w:val="24"/>
              </w:rPr>
            </w:pPr>
            <w:r w:rsidRPr="00550DBB">
              <w:rPr>
                <w:rFonts w:ascii="Times New Roman" w:hAnsi="Times New Roman" w:cs="Times New Roman"/>
                <w:sz w:val="24"/>
                <w:szCs w:val="24"/>
              </w:rPr>
              <w:t>Brzmienie przepisu po zmianie:</w:t>
            </w:r>
          </w:p>
          <w:p w:rsidR="00550DBB" w:rsidRPr="002D58BE" w:rsidRDefault="00550DBB" w:rsidP="00550DBB">
            <w:pPr>
              <w:jc w:val="both"/>
              <w:rPr>
                <w:rFonts w:ascii="Times New Roman" w:hAnsi="Times New Roman" w:cs="Times New Roman"/>
                <w:i/>
                <w:sz w:val="24"/>
                <w:szCs w:val="24"/>
              </w:rPr>
            </w:pPr>
            <w:r w:rsidRPr="002D58BE">
              <w:rPr>
                <w:rFonts w:ascii="Times New Roman" w:hAnsi="Times New Roman" w:cs="Times New Roman"/>
                <w:i/>
                <w:sz w:val="24"/>
                <w:szCs w:val="24"/>
              </w:rPr>
              <w:t xml:space="preserve">„59) </w:t>
            </w:r>
            <w:r w:rsidRPr="002D58BE">
              <w:rPr>
                <w:rFonts w:ascii="Times New Roman" w:hAnsi="Times New Roman" w:cs="Times New Roman"/>
                <w:i/>
                <w:sz w:val="24"/>
                <w:szCs w:val="24"/>
              </w:rPr>
              <w:tab/>
              <w:t>magazynowanie energii elektrycznej – przetworzenie energii elektrycznej pobranej z sieci elektroenergetycznej lub wytworzonej przez jednostkę wytwórczą przyłączoną do sieci elektroenergetycznej i współpracującą z tą siecią do innej postaci energii, przechowanie tej energii, a następnie ponowne jej przetworzenie na energię elektryczną</w:t>
            </w:r>
            <w:r w:rsidR="00ED58C4" w:rsidRPr="002D58BE">
              <w:rPr>
                <w:rFonts w:ascii="Times New Roman" w:hAnsi="Times New Roman" w:cs="Times New Roman"/>
                <w:i/>
                <w:sz w:val="24"/>
                <w:szCs w:val="24"/>
              </w:rPr>
              <w:t>;</w:t>
            </w:r>
            <w:r w:rsidRPr="002D58BE">
              <w:rPr>
                <w:rFonts w:ascii="Times New Roman" w:hAnsi="Times New Roman" w:cs="Times New Roman"/>
                <w:i/>
                <w:sz w:val="24"/>
                <w:szCs w:val="24"/>
              </w:rPr>
              <w:t>”</w:t>
            </w:r>
            <w:r w:rsidR="00ED58C4" w:rsidRPr="002D58BE">
              <w:rPr>
                <w:rFonts w:ascii="Times New Roman" w:hAnsi="Times New Roman" w:cs="Times New Roman"/>
                <w:i/>
                <w:sz w:val="24"/>
                <w:szCs w:val="24"/>
              </w:rPr>
              <w:t>.</w:t>
            </w:r>
          </w:p>
          <w:p w:rsidR="00550DBB" w:rsidRPr="002D58BE" w:rsidRDefault="00550DBB" w:rsidP="00550DBB">
            <w:pPr>
              <w:jc w:val="both"/>
              <w:rPr>
                <w:rFonts w:ascii="Times New Roman" w:hAnsi="Times New Roman" w:cs="Times New Roman"/>
                <w:i/>
                <w:sz w:val="24"/>
                <w:szCs w:val="24"/>
              </w:rPr>
            </w:pPr>
          </w:p>
          <w:p w:rsidR="00550DBB" w:rsidRPr="00550DBB" w:rsidRDefault="00550DBB" w:rsidP="00550DBB">
            <w:pPr>
              <w:jc w:val="both"/>
              <w:rPr>
                <w:rFonts w:ascii="Times New Roman" w:hAnsi="Times New Roman" w:cs="Times New Roman"/>
                <w:sz w:val="24"/>
                <w:szCs w:val="24"/>
              </w:rPr>
            </w:pPr>
            <w:r w:rsidRPr="00550DBB">
              <w:rPr>
                <w:rFonts w:ascii="Times New Roman" w:hAnsi="Times New Roman" w:cs="Times New Roman"/>
                <w:sz w:val="24"/>
                <w:szCs w:val="24"/>
              </w:rPr>
              <w:t>Jednocześnie zmianie ulega definicja magazynu energii elektrycznej:</w:t>
            </w:r>
          </w:p>
          <w:p w:rsidR="00550DBB" w:rsidRPr="002D58BE" w:rsidRDefault="00550DBB" w:rsidP="00550DBB">
            <w:pPr>
              <w:jc w:val="both"/>
              <w:rPr>
                <w:rFonts w:ascii="Times New Roman" w:hAnsi="Times New Roman" w:cs="Times New Roman"/>
                <w:i/>
                <w:sz w:val="24"/>
                <w:szCs w:val="24"/>
              </w:rPr>
            </w:pPr>
            <w:r w:rsidRPr="002D58BE">
              <w:rPr>
                <w:rFonts w:ascii="Times New Roman" w:hAnsi="Times New Roman" w:cs="Times New Roman"/>
                <w:i/>
                <w:sz w:val="24"/>
                <w:szCs w:val="24"/>
              </w:rPr>
              <w:t>„10k)</w:t>
            </w:r>
            <w:r w:rsidRPr="002D58BE">
              <w:rPr>
                <w:rFonts w:ascii="Times New Roman" w:hAnsi="Times New Roman" w:cs="Times New Roman"/>
                <w:i/>
                <w:sz w:val="24"/>
                <w:szCs w:val="24"/>
              </w:rPr>
              <w:tab/>
              <w:t>magazyn energii elektrycznej – instalację umożliwiającą magazynowanie energii elektrycznej i wprowadzenie jej do sieci elektroenergetycznej”;</w:t>
            </w:r>
          </w:p>
          <w:p w:rsidR="00641F71" w:rsidRDefault="00247828" w:rsidP="00B06E69">
            <w:pPr>
              <w:jc w:val="both"/>
              <w:rPr>
                <w:rFonts w:ascii="Times New Roman" w:hAnsi="Times New Roman" w:cs="Times New Roman"/>
                <w:sz w:val="24"/>
                <w:szCs w:val="24"/>
              </w:rPr>
            </w:pPr>
            <w:r>
              <w:rPr>
                <w:rFonts w:ascii="Times New Roman" w:hAnsi="Times New Roman" w:cs="Times New Roman"/>
                <w:sz w:val="24"/>
                <w:szCs w:val="24"/>
              </w:rPr>
              <w:t>Przy czym niezbędne jest dodanie fragmentu „</w:t>
            </w:r>
            <w:r w:rsidRPr="00247828">
              <w:rPr>
                <w:rFonts w:ascii="Times New Roman" w:hAnsi="Times New Roman" w:cs="Times New Roman"/>
                <w:sz w:val="24"/>
                <w:szCs w:val="24"/>
              </w:rPr>
              <w:t>i wprowadzenie jej do sieci elektroenergetycznej</w:t>
            </w:r>
            <w:r>
              <w:rPr>
                <w:rFonts w:ascii="Times New Roman" w:hAnsi="Times New Roman" w:cs="Times New Roman"/>
                <w:sz w:val="24"/>
                <w:szCs w:val="24"/>
              </w:rPr>
              <w:t>” w związku z tym, że w przeciwnym przypadku każda bateria (np. power bank) mogłaby stanowić magazyn energii elektrycznej w rozumieniu przepisów prawa energetycznego a więc przepisy tego prawa miałyby zastosowanie do tych urządzeń.</w:t>
            </w:r>
          </w:p>
          <w:p w:rsidR="004C5523" w:rsidRPr="00DB2B9B" w:rsidRDefault="004C5523" w:rsidP="00B06E69">
            <w:pPr>
              <w:jc w:val="both"/>
              <w:rPr>
                <w:rFonts w:ascii="Times New Roman" w:hAnsi="Times New Roman" w:cs="Times New Roman"/>
                <w:sz w:val="24"/>
                <w:szCs w:val="24"/>
              </w:rPr>
            </w:pPr>
          </w:p>
        </w:tc>
      </w:tr>
      <w:tr w:rsidR="00553938" w:rsidRPr="00DB2B9B" w:rsidTr="003321EA">
        <w:tc>
          <w:tcPr>
            <w:tcW w:w="630" w:type="dxa"/>
          </w:tcPr>
          <w:p w:rsidR="00553938" w:rsidRPr="00DB2B9B" w:rsidRDefault="00553938" w:rsidP="00553938">
            <w:pPr>
              <w:jc w:val="both"/>
              <w:rPr>
                <w:rFonts w:ascii="Times New Roman" w:hAnsi="Times New Roman" w:cs="Times New Roman"/>
                <w:sz w:val="24"/>
                <w:szCs w:val="24"/>
              </w:rPr>
            </w:pPr>
            <w:r>
              <w:rPr>
                <w:rFonts w:ascii="Times New Roman" w:hAnsi="Times New Roman" w:cs="Times New Roman"/>
                <w:sz w:val="24"/>
                <w:szCs w:val="24"/>
              </w:rPr>
              <w:t>9</w:t>
            </w:r>
          </w:p>
        </w:tc>
        <w:tc>
          <w:tcPr>
            <w:tcW w:w="1043" w:type="dxa"/>
          </w:tcPr>
          <w:p w:rsidR="00553938" w:rsidRPr="00553938" w:rsidRDefault="00553938" w:rsidP="00553938">
            <w:pPr>
              <w:rPr>
                <w:rFonts w:ascii="Times New Roman" w:hAnsi="Times New Roman" w:cs="Times New Roman"/>
              </w:rPr>
            </w:pPr>
            <w:r w:rsidRPr="00553938">
              <w:rPr>
                <w:rFonts w:ascii="Times New Roman" w:hAnsi="Times New Roman" w:cs="Times New Roman"/>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2.</w:t>
            </w:r>
            <w:r w:rsidRPr="00DE1863">
              <w:rPr>
                <w:rFonts w:ascii="Times New Roman" w:hAnsi="Times New Roman" w:cs="Times New Roman"/>
                <w:sz w:val="24"/>
                <w:szCs w:val="24"/>
              </w:rPr>
              <w:tab/>
              <w:t>Art. 1 pkt 11 – zmiana art. 7 uPE, nowy ust. 2b</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 ramach wniosku o przyłączenie magazynu energii niezbędne jest określenie parametrów magazynu, w tym: łączną moc zainstalowaną, pojemność nominalną, sprawność cyklu ładowania. „Sprawność cyklu ładowania” proponuje się zastąpić „sprawnością magazynu energii”, definiowanego jako stosunek energii wyprowadzonej z magazynu do stosunku energii wprowadzonej, wyrażonej w %, w ramach jednego pełnego cyklu pracy, w zakresie pojemności nominalnej i przy ładowaniu i rozładowywaniu mocą nominalną.</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Obecnie zaproponowane sformułowanie nie jest czytelne i dodanie niniejszego przepisu do </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ustawy – Prawo energetyczne (dalej „ustawa – PE”) może dotyczyć aktywów spółek energetycznych, tj. w szczególności elektrowni szczytowo-pompowych (ESP), i wymagać będzie przeglądu funkcjonujących w obrocie prawnym umów i zmiany umów przesyłowych.</w:t>
            </w:r>
          </w:p>
          <w:p w:rsidR="00553938"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Uwagi dotyczące „sprawności cyklu ładowania” dotyczą także pozostałych przepisów projektu zmian ustawy – PE posługujących się tym sformułowaniem.</w:t>
            </w:r>
          </w:p>
        </w:tc>
        <w:tc>
          <w:tcPr>
            <w:tcW w:w="6344" w:type="dxa"/>
          </w:tcPr>
          <w:p w:rsidR="00E11F6B" w:rsidRDefault="00E11F6B" w:rsidP="00247828">
            <w:pPr>
              <w:jc w:val="both"/>
              <w:rPr>
                <w:rFonts w:ascii="Times New Roman" w:hAnsi="Times New Roman" w:cs="Times New Roman"/>
                <w:b/>
                <w:sz w:val="24"/>
                <w:szCs w:val="24"/>
              </w:rPr>
            </w:pPr>
            <w:r w:rsidRPr="00E11F6B">
              <w:rPr>
                <w:rFonts w:ascii="Times New Roman" w:hAnsi="Times New Roman" w:cs="Times New Roman"/>
                <w:b/>
                <w:sz w:val="24"/>
                <w:szCs w:val="24"/>
              </w:rPr>
              <w:t>Uwaga jest o charakterze nieeuropejskim.</w:t>
            </w:r>
          </w:p>
          <w:p w:rsidR="00247828" w:rsidRPr="00F86BC4" w:rsidRDefault="00247828" w:rsidP="00247828">
            <w:pPr>
              <w:jc w:val="both"/>
              <w:rPr>
                <w:rFonts w:ascii="Times New Roman" w:hAnsi="Times New Roman" w:cs="Times New Roman"/>
                <w:b/>
                <w:sz w:val="24"/>
                <w:szCs w:val="24"/>
              </w:rPr>
            </w:pPr>
            <w:r w:rsidRPr="00F86BC4">
              <w:rPr>
                <w:rFonts w:ascii="Times New Roman" w:hAnsi="Times New Roman" w:cs="Times New Roman"/>
                <w:b/>
                <w:sz w:val="24"/>
                <w:szCs w:val="24"/>
              </w:rPr>
              <w:t xml:space="preserve">Uwaga </w:t>
            </w:r>
            <w:r w:rsidR="00ED58C4" w:rsidRPr="00F86BC4">
              <w:rPr>
                <w:rFonts w:ascii="Times New Roman" w:hAnsi="Times New Roman" w:cs="Times New Roman"/>
                <w:b/>
                <w:sz w:val="24"/>
                <w:szCs w:val="24"/>
              </w:rPr>
              <w:t xml:space="preserve">została </w:t>
            </w:r>
            <w:r w:rsidR="00F86BC4" w:rsidRPr="00F86BC4">
              <w:rPr>
                <w:rFonts w:ascii="Times New Roman" w:hAnsi="Times New Roman" w:cs="Times New Roman"/>
                <w:b/>
                <w:sz w:val="24"/>
                <w:szCs w:val="24"/>
              </w:rPr>
              <w:t>uwzględniona.</w:t>
            </w:r>
          </w:p>
          <w:p w:rsidR="00247828" w:rsidRPr="00247828" w:rsidRDefault="00247828" w:rsidP="00247828">
            <w:pPr>
              <w:jc w:val="both"/>
              <w:rPr>
                <w:rFonts w:ascii="Times New Roman" w:hAnsi="Times New Roman" w:cs="Times New Roman"/>
                <w:sz w:val="24"/>
                <w:szCs w:val="24"/>
              </w:rPr>
            </w:pPr>
            <w:r w:rsidRPr="00247828">
              <w:rPr>
                <w:rFonts w:ascii="Times New Roman" w:hAnsi="Times New Roman" w:cs="Times New Roman"/>
                <w:sz w:val="24"/>
                <w:szCs w:val="24"/>
              </w:rPr>
              <w:t xml:space="preserve">Zamiast „sprawność cyklu ładowania” przyjmuje się „sprawność magazynu energii elektrycznej”. </w:t>
            </w:r>
          </w:p>
          <w:p w:rsidR="00247828" w:rsidRPr="00247828" w:rsidRDefault="00247828" w:rsidP="00247828">
            <w:pPr>
              <w:jc w:val="both"/>
              <w:rPr>
                <w:rFonts w:ascii="Times New Roman" w:hAnsi="Times New Roman" w:cs="Times New Roman"/>
                <w:sz w:val="24"/>
                <w:szCs w:val="24"/>
              </w:rPr>
            </w:pPr>
          </w:p>
          <w:p w:rsidR="00247828" w:rsidRPr="00247828" w:rsidRDefault="00247828" w:rsidP="00247828">
            <w:pPr>
              <w:jc w:val="both"/>
              <w:rPr>
                <w:rFonts w:ascii="Times New Roman" w:hAnsi="Times New Roman" w:cs="Times New Roman"/>
                <w:sz w:val="24"/>
                <w:szCs w:val="24"/>
              </w:rPr>
            </w:pPr>
            <w:r w:rsidRPr="00247828">
              <w:rPr>
                <w:rFonts w:ascii="Times New Roman" w:hAnsi="Times New Roman" w:cs="Times New Roman"/>
                <w:sz w:val="24"/>
                <w:szCs w:val="24"/>
              </w:rPr>
              <w:t>W związku z tym wprowadza się definicję:</w:t>
            </w:r>
          </w:p>
          <w:p w:rsidR="007671B2" w:rsidRPr="002D58BE" w:rsidRDefault="00247828" w:rsidP="00247828">
            <w:pPr>
              <w:jc w:val="both"/>
              <w:rPr>
                <w:rFonts w:ascii="Times New Roman" w:hAnsi="Times New Roman" w:cs="Times New Roman"/>
                <w:i/>
                <w:sz w:val="24"/>
                <w:szCs w:val="24"/>
              </w:rPr>
            </w:pPr>
            <w:r w:rsidRPr="002D58BE">
              <w:rPr>
                <w:rFonts w:ascii="Times New Roman" w:hAnsi="Times New Roman" w:cs="Times New Roman"/>
                <w:i/>
                <w:sz w:val="24"/>
                <w:szCs w:val="24"/>
              </w:rPr>
              <w:t>„</w:t>
            </w:r>
            <w:r w:rsidR="007671B2" w:rsidRPr="002D58BE">
              <w:rPr>
                <w:rFonts w:ascii="Times New Roman" w:hAnsi="Times New Roman" w:cs="Times New Roman"/>
                <w:i/>
                <w:sz w:val="24"/>
                <w:szCs w:val="24"/>
              </w:rPr>
              <w:t>78) sprawność magazynu energii elektrycznej –</w:t>
            </w:r>
            <w:r w:rsidR="00894C47" w:rsidRPr="002D58BE">
              <w:rPr>
                <w:rFonts w:ascii="Times New Roman" w:hAnsi="Times New Roman" w:cs="Times New Roman"/>
                <w:i/>
                <w:sz w:val="24"/>
                <w:szCs w:val="24"/>
              </w:rPr>
              <w:t xml:space="preserve"> </w:t>
            </w:r>
            <w:r w:rsidR="0053700A" w:rsidRPr="002D58BE">
              <w:rPr>
                <w:rFonts w:ascii="Times New Roman" w:hAnsi="Times New Roman" w:cs="Times New Roman"/>
                <w:i/>
                <w:sz w:val="24"/>
                <w:szCs w:val="24"/>
              </w:rPr>
              <w:t>stosunek energii elektrycznej wyprowadzonej z magazynu energii elektrycznej do energii elektrycznej wprowadzonej do tego magazynu, wyrażony w procentach w ramach jednego pełnego cyklu pracy magazynu energii elektrycznej, przy wykorzystaniu nominalnej pojemności tego magazynu oraz ładowania i rozładowywania go mocą nominalną</w:t>
            </w:r>
            <w:r w:rsidR="007671B2" w:rsidRPr="002D58BE">
              <w:rPr>
                <w:rFonts w:ascii="Times New Roman" w:hAnsi="Times New Roman" w:cs="Times New Roman"/>
                <w:i/>
                <w:sz w:val="24"/>
                <w:szCs w:val="24"/>
              </w:rPr>
              <w:t>.”;</w:t>
            </w:r>
          </w:p>
          <w:p w:rsidR="00247828" w:rsidRPr="00247828" w:rsidRDefault="00247828" w:rsidP="00247828">
            <w:pPr>
              <w:jc w:val="both"/>
              <w:rPr>
                <w:rFonts w:ascii="Times New Roman" w:hAnsi="Times New Roman" w:cs="Times New Roman"/>
                <w:sz w:val="24"/>
                <w:szCs w:val="24"/>
              </w:rPr>
            </w:pPr>
          </w:p>
          <w:p w:rsidR="00247828" w:rsidRPr="00247828" w:rsidRDefault="00247828" w:rsidP="00247828">
            <w:pPr>
              <w:jc w:val="both"/>
              <w:rPr>
                <w:rFonts w:ascii="Times New Roman" w:hAnsi="Times New Roman" w:cs="Times New Roman"/>
                <w:sz w:val="24"/>
                <w:szCs w:val="24"/>
              </w:rPr>
            </w:pPr>
            <w:r w:rsidRPr="00247828">
              <w:rPr>
                <w:rFonts w:ascii="Times New Roman" w:hAnsi="Times New Roman" w:cs="Times New Roman"/>
                <w:sz w:val="24"/>
                <w:szCs w:val="24"/>
              </w:rPr>
              <w:t>W związku z tym dokonuje się odpowiednich zmian w przepisach:</w:t>
            </w:r>
          </w:p>
          <w:p w:rsidR="00247828" w:rsidRPr="00247828" w:rsidRDefault="00247828" w:rsidP="00247828">
            <w:pPr>
              <w:jc w:val="both"/>
              <w:rPr>
                <w:rFonts w:ascii="Times New Roman" w:hAnsi="Times New Roman" w:cs="Times New Roman"/>
                <w:sz w:val="24"/>
                <w:szCs w:val="24"/>
              </w:rPr>
            </w:pPr>
            <w:r w:rsidRPr="00247828">
              <w:rPr>
                <w:rFonts w:ascii="Times New Roman" w:hAnsi="Times New Roman" w:cs="Times New Roman"/>
                <w:sz w:val="24"/>
                <w:szCs w:val="24"/>
              </w:rPr>
              <w:t>•</w:t>
            </w:r>
            <w:r w:rsidRPr="00247828">
              <w:rPr>
                <w:rFonts w:ascii="Times New Roman" w:hAnsi="Times New Roman" w:cs="Times New Roman"/>
                <w:sz w:val="24"/>
                <w:szCs w:val="24"/>
              </w:rPr>
              <w:tab/>
              <w:t>Art. 1 pkt. 11 – dotyczący art. 7 uPE w dodanym pkt. 2b.</w:t>
            </w:r>
          </w:p>
          <w:p w:rsidR="00247828" w:rsidRPr="00247828" w:rsidRDefault="00247828" w:rsidP="00247828">
            <w:pPr>
              <w:jc w:val="both"/>
              <w:rPr>
                <w:rFonts w:ascii="Times New Roman" w:hAnsi="Times New Roman" w:cs="Times New Roman"/>
                <w:sz w:val="24"/>
                <w:szCs w:val="24"/>
              </w:rPr>
            </w:pPr>
            <w:r w:rsidRPr="00247828">
              <w:rPr>
                <w:rFonts w:ascii="Times New Roman" w:hAnsi="Times New Roman" w:cs="Times New Roman"/>
                <w:sz w:val="24"/>
                <w:szCs w:val="24"/>
              </w:rPr>
              <w:t>•</w:t>
            </w:r>
            <w:r w:rsidRPr="00247828">
              <w:rPr>
                <w:rFonts w:ascii="Times New Roman" w:hAnsi="Times New Roman" w:cs="Times New Roman"/>
                <w:sz w:val="24"/>
                <w:szCs w:val="24"/>
              </w:rPr>
              <w:tab/>
              <w:t>Art. 1 pkt. 11 – dotyczący art. 7 uPE w dodanym pkt. 3c.</w:t>
            </w:r>
          </w:p>
          <w:p w:rsidR="00553938" w:rsidRPr="00DB2B9B" w:rsidRDefault="00247828" w:rsidP="00553938">
            <w:pPr>
              <w:jc w:val="both"/>
              <w:rPr>
                <w:rFonts w:ascii="Times New Roman" w:hAnsi="Times New Roman" w:cs="Times New Roman"/>
                <w:sz w:val="24"/>
                <w:szCs w:val="24"/>
              </w:rPr>
            </w:pPr>
            <w:r w:rsidRPr="00247828">
              <w:rPr>
                <w:rFonts w:ascii="Times New Roman" w:hAnsi="Times New Roman" w:cs="Times New Roman"/>
                <w:sz w:val="24"/>
                <w:szCs w:val="24"/>
              </w:rPr>
              <w:t>•</w:t>
            </w:r>
            <w:r w:rsidRPr="00247828">
              <w:rPr>
                <w:rFonts w:ascii="Times New Roman" w:hAnsi="Times New Roman" w:cs="Times New Roman"/>
                <w:sz w:val="24"/>
                <w:szCs w:val="24"/>
              </w:rPr>
              <w:tab/>
              <w:t>Art. 1 pkt. 46 – dotyczący art. 43f uPE w dodanym ust. 6 pk</w:t>
            </w:r>
            <w:r w:rsidR="00F86BC4">
              <w:rPr>
                <w:rFonts w:ascii="Times New Roman" w:hAnsi="Times New Roman" w:cs="Times New Roman"/>
                <w:sz w:val="24"/>
                <w:szCs w:val="24"/>
              </w:rPr>
              <w:t>t. 2 lit. d).</w:t>
            </w:r>
          </w:p>
        </w:tc>
      </w:tr>
      <w:tr w:rsidR="00553938" w:rsidRPr="00DB2B9B" w:rsidTr="003321EA">
        <w:tc>
          <w:tcPr>
            <w:tcW w:w="630" w:type="dxa"/>
          </w:tcPr>
          <w:p w:rsidR="00553938" w:rsidRPr="00DB2B9B" w:rsidRDefault="00553938" w:rsidP="00553938">
            <w:pPr>
              <w:jc w:val="both"/>
              <w:rPr>
                <w:rFonts w:ascii="Times New Roman" w:hAnsi="Times New Roman" w:cs="Times New Roman"/>
                <w:sz w:val="24"/>
                <w:szCs w:val="24"/>
              </w:rPr>
            </w:pPr>
            <w:r>
              <w:rPr>
                <w:rFonts w:ascii="Times New Roman" w:hAnsi="Times New Roman" w:cs="Times New Roman"/>
                <w:sz w:val="24"/>
                <w:szCs w:val="24"/>
              </w:rPr>
              <w:t>10</w:t>
            </w:r>
          </w:p>
        </w:tc>
        <w:tc>
          <w:tcPr>
            <w:tcW w:w="1043" w:type="dxa"/>
          </w:tcPr>
          <w:p w:rsidR="00553938" w:rsidRPr="00553938" w:rsidRDefault="00553938" w:rsidP="00553938">
            <w:pPr>
              <w:rPr>
                <w:rFonts w:ascii="Times New Roman" w:hAnsi="Times New Roman" w:cs="Times New Roman"/>
              </w:rPr>
            </w:pPr>
            <w:r w:rsidRPr="00553938">
              <w:rPr>
                <w:rFonts w:ascii="Times New Roman" w:hAnsi="Times New Roman" w:cs="Times New Roman"/>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3.</w:t>
            </w:r>
            <w:r w:rsidRPr="00DE1863">
              <w:rPr>
                <w:rFonts w:ascii="Times New Roman" w:hAnsi="Times New Roman" w:cs="Times New Roman"/>
                <w:sz w:val="24"/>
                <w:szCs w:val="24"/>
              </w:rPr>
              <w:tab/>
              <w:t>Art. 1 pkt. 11 – zmiana art. 7 uPE, nowy ust. 3c oraz 3e</w:t>
            </w:r>
          </w:p>
          <w:p w:rsidR="00553938"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Oba przepisy projektu zmian ustawy – Prawo energetyczne, tj. art. 7 ust. 3c i 3e, rozszerzają zakres informacji do wniosku o określenie warunków przyłączania. W przypadku konieczności zaktualizowania warunków przyłączenia dla </w:t>
            </w:r>
            <w:r w:rsidRPr="00DE1863">
              <w:rPr>
                <w:rFonts w:ascii="Times New Roman" w:hAnsi="Times New Roman" w:cs="Times New Roman"/>
                <w:sz w:val="24"/>
                <w:szCs w:val="24"/>
              </w:rPr>
              <w:lastRenderedPageBreak/>
              <w:t>aktywów spółek energetycznych, tj. w szczególności elektrowni szczytowo-pompowych (ESP), proponowany przepis ust. 3e może być problematyczny z racji na nieuregulowany status prawny części działek aktywów wytwórczych części elektrowni szczytowo-pompowych (ESP). Proponuje się przeformułowanie tej regulacji, tak aby wyłącznie w przypadku modernizacji lub remontu części już funkcjonującego przedsiębiorstwa energetycznego, posiadającego koncesję, nie był stosowany przepis zobowiązujący dołączenie dokumentu potwierdzającego tytuł prawny podmiotu do korzystania z nieruchomości, na której jest planowana inwestycja.</w:t>
            </w:r>
          </w:p>
        </w:tc>
        <w:tc>
          <w:tcPr>
            <w:tcW w:w="6344" w:type="dxa"/>
          </w:tcPr>
          <w:p w:rsidR="007671B2" w:rsidRPr="00F86BC4" w:rsidRDefault="00EF6F31" w:rsidP="007671B2">
            <w:pPr>
              <w:jc w:val="both"/>
              <w:rPr>
                <w:rFonts w:ascii="Times New Roman" w:hAnsi="Times New Roman" w:cs="Times New Roman"/>
                <w:b/>
                <w:sz w:val="24"/>
                <w:szCs w:val="24"/>
              </w:rPr>
            </w:pPr>
            <w:r w:rsidRPr="00F86BC4">
              <w:rPr>
                <w:rFonts w:ascii="Times New Roman" w:hAnsi="Times New Roman" w:cs="Times New Roman"/>
                <w:b/>
                <w:sz w:val="24"/>
                <w:szCs w:val="24"/>
              </w:rPr>
              <w:lastRenderedPageBreak/>
              <w:t xml:space="preserve">Uwaga </w:t>
            </w:r>
            <w:r w:rsidR="00ED58C4" w:rsidRPr="00F86BC4">
              <w:rPr>
                <w:rFonts w:ascii="Times New Roman" w:hAnsi="Times New Roman" w:cs="Times New Roman"/>
                <w:b/>
                <w:sz w:val="24"/>
                <w:szCs w:val="24"/>
              </w:rPr>
              <w:t xml:space="preserve">została </w:t>
            </w:r>
            <w:r w:rsidRPr="00F86BC4">
              <w:rPr>
                <w:rFonts w:ascii="Times New Roman" w:hAnsi="Times New Roman" w:cs="Times New Roman"/>
                <w:b/>
                <w:sz w:val="24"/>
                <w:szCs w:val="24"/>
              </w:rPr>
              <w:t>wyjaśniona.</w:t>
            </w:r>
          </w:p>
          <w:p w:rsidR="00F86BC4" w:rsidRPr="00F86BC4" w:rsidRDefault="00F86BC4" w:rsidP="007671B2">
            <w:pPr>
              <w:jc w:val="both"/>
              <w:rPr>
                <w:rFonts w:ascii="Times New Roman" w:hAnsi="Times New Roman" w:cs="Times New Roman"/>
                <w:b/>
                <w:sz w:val="24"/>
                <w:szCs w:val="24"/>
              </w:rPr>
            </w:pPr>
            <w:r w:rsidRPr="00F86BC4">
              <w:rPr>
                <w:rFonts w:ascii="Times New Roman" w:hAnsi="Times New Roman" w:cs="Times New Roman"/>
                <w:b/>
                <w:sz w:val="24"/>
                <w:szCs w:val="24"/>
              </w:rPr>
              <w:t>Uwaga jest o charakterze nieeuropejskim.</w:t>
            </w:r>
          </w:p>
          <w:p w:rsidR="00553938" w:rsidRDefault="007671B2" w:rsidP="007671B2">
            <w:pPr>
              <w:jc w:val="both"/>
              <w:rPr>
                <w:rFonts w:ascii="Times New Roman" w:hAnsi="Times New Roman" w:cs="Times New Roman"/>
                <w:sz w:val="24"/>
                <w:szCs w:val="24"/>
              </w:rPr>
            </w:pPr>
            <w:r w:rsidRPr="007671B2">
              <w:rPr>
                <w:rFonts w:ascii="Times New Roman" w:hAnsi="Times New Roman" w:cs="Times New Roman"/>
                <w:sz w:val="24"/>
                <w:szCs w:val="24"/>
              </w:rPr>
              <w:t>Przepisy dotyczące wymogu posiadania tytułu prawnego do nieruchomości znajdują się już w art. 7 uPE. Dodawany przepis 3e do art. 7 powiela to wymaganie dla magazynów energii elektrycznej. P</w:t>
            </w:r>
            <w:r>
              <w:rPr>
                <w:rFonts w:ascii="Times New Roman" w:hAnsi="Times New Roman" w:cs="Times New Roman"/>
                <w:sz w:val="24"/>
                <w:szCs w:val="24"/>
              </w:rPr>
              <w:t>onadto, p</w:t>
            </w:r>
            <w:r w:rsidRPr="007671B2">
              <w:rPr>
                <w:rFonts w:ascii="Times New Roman" w:hAnsi="Times New Roman" w:cs="Times New Roman"/>
                <w:sz w:val="24"/>
                <w:szCs w:val="24"/>
              </w:rPr>
              <w:t xml:space="preserve">ojęcie </w:t>
            </w:r>
            <w:r>
              <w:rPr>
                <w:rFonts w:ascii="Times New Roman" w:hAnsi="Times New Roman" w:cs="Times New Roman"/>
                <w:sz w:val="24"/>
                <w:szCs w:val="24"/>
              </w:rPr>
              <w:t xml:space="preserve">tytułu prawnego jest </w:t>
            </w:r>
            <w:r w:rsidRPr="007671B2">
              <w:rPr>
                <w:rFonts w:ascii="Times New Roman" w:hAnsi="Times New Roman" w:cs="Times New Roman"/>
                <w:sz w:val="24"/>
                <w:szCs w:val="24"/>
              </w:rPr>
              <w:t xml:space="preserve">bardzo </w:t>
            </w:r>
            <w:r w:rsidRPr="007671B2">
              <w:rPr>
                <w:rFonts w:ascii="Times New Roman" w:hAnsi="Times New Roman" w:cs="Times New Roman"/>
                <w:sz w:val="24"/>
                <w:szCs w:val="24"/>
              </w:rPr>
              <w:lastRenderedPageBreak/>
              <w:t xml:space="preserve">pojemne </w:t>
            </w:r>
            <w:r>
              <w:rPr>
                <w:rFonts w:ascii="Times New Roman" w:hAnsi="Times New Roman" w:cs="Times New Roman"/>
                <w:sz w:val="24"/>
                <w:szCs w:val="24"/>
              </w:rPr>
              <w:t xml:space="preserve">i </w:t>
            </w:r>
            <w:r w:rsidRPr="007671B2">
              <w:rPr>
                <w:rFonts w:ascii="Times New Roman" w:hAnsi="Times New Roman" w:cs="Times New Roman"/>
                <w:sz w:val="24"/>
                <w:szCs w:val="24"/>
              </w:rPr>
              <w:t xml:space="preserve">obejmuje </w:t>
            </w:r>
            <w:r>
              <w:rPr>
                <w:rFonts w:ascii="Times New Roman" w:hAnsi="Times New Roman" w:cs="Times New Roman"/>
                <w:sz w:val="24"/>
                <w:szCs w:val="24"/>
              </w:rPr>
              <w:t xml:space="preserve">swoim zakresem zarówno </w:t>
            </w:r>
            <w:r w:rsidRPr="007671B2">
              <w:rPr>
                <w:rFonts w:ascii="Times New Roman" w:hAnsi="Times New Roman" w:cs="Times New Roman"/>
                <w:sz w:val="24"/>
                <w:szCs w:val="24"/>
              </w:rPr>
              <w:t>prawo rzeczowe, ograniczone</w:t>
            </w:r>
            <w:r>
              <w:rPr>
                <w:rFonts w:ascii="Times New Roman" w:hAnsi="Times New Roman" w:cs="Times New Roman"/>
                <w:sz w:val="24"/>
                <w:szCs w:val="24"/>
              </w:rPr>
              <w:t xml:space="preserve"> prawo rzeczowe jak i stosunek zobowiązaniowy</w:t>
            </w:r>
            <w:r w:rsidRPr="007671B2">
              <w:rPr>
                <w:rFonts w:ascii="Times New Roman" w:hAnsi="Times New Roman" w:cs="Times New Roman"/>
                <w:sz w:val="24"/>
                <w:szCs w:val="24"/>
              </w:rPr>
              <w:t>.</w:t>
            </w:r>
            <w:r w:rsidR="00ED58C4">
              <w:rPr>
                <w:rFonts w:ascii="Times New Roman" w:hAnsi="Times New Roman" w:cs="Times New Roman"/>
                <w:sz w:val="24"/>
                <w:szCs w:val="24"/>
              </w:rPr>
              <w:t xml:space="preserve"> Wprowadzenie w tym zakresie wyjątku dla magazynów ee. stanowiłoby niczym nieuzasadniony wyłom w systemie prawnym. </w:t>
            </w:r>
          </w:p>
          <w:p w:rsidR="004C5523" w:rsidRPr="00DB2B9B" w:rsidRDefault="004C5523" w:rsidP="007671B2">
            <w:pPr>
              <w:jc w:val="both"/>
              <w:rPr>
                <w:rFonts w:ascii="Times New Roman" w:hAnsi="Times New Roman" w:cs="Times New Roman"/>
                <w:sz w:val="24"/>
                <w:szCs w:val="24"/>
              </w:rPr>
            </w:pPr>
          </w:p>
        </w:tc>
      </w:tr>
      <w:tr w:rsidR="00553938" w:rsidRPr="00DB2B9B" w:rsidTr="003321EA">
        <w:tc>
          <w:tcPr>
            <w:tcW w:w="630" w:type="dxa"/>
          </w:tcPr>
          <w:p w:rsidR="00553938" w:rsidRPr="00DB2B9B" w:rsidRDefault="00553938" w:rsidP="00553938">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1043" w:type="dxa"/>
          </w:tcPr>
          <w:p w:rsidR="00553938" w:rsidRPr="00553938" w:rsidRDefault="00553938" w:rsidP="00553938">
            <w:pPr>
              <w:rPr>
                <w:rFonts w:ascii="Times New Roman" w:hAnsi="Times New Roman" w:cs="Times New Roman"/>
              </w:rPr>
            </w:pPr>
            <w:r w:rsidRPr="00553938">
              <w:rPr>
                <w:rFonts w:ascii="Times New Roman" w:hAnsi="Times New Roman" w:cs="Times New Roman"/>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4.</w:t>
            </w:r>
            <w:r w:rsidRPr="00DE1863">
              <w:rPr>
                <w:rFonts w:ascii="Times New Roman" w:hAnsi="Times New Roman" w:cs="Times New Roman"/>
                <w:sz w:val="24"/>
                <w:szCs w:val="24"/>
              </w:rPr>
              <w:tab/>
              <w:t>Art. 1 pkt 11 – zmiana art. 7 uPE, ust. 8g pkt 4</w:t>
            </w:r>
          </w:p>
          <w:p w:rsidR="00553938"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Termin wydania warunków przyłączenia, dla obiektu przyłączanego do sieci o napięciu wyższym niż 1kV, wyposażonego w źródło lub magazyn energii elektrycznej wynosi 120 dni od dnia złożenia wniosku (dla wnioskodawców zaliczanych do III lub VI grupy przyłączeniowej). Warto może rozważyć przepis przejściowy, który w pierwszym roku funkcjonowania tej regulacji wydłuży czas na wydanie warunków przyłączenia dłuższy niż 120 dni.</w:t>
            </w:r>
          </w:p>
        </w:tc>
        <w:tc>
          <w:tcPr>
            <w:tcW w:w="6344" w:type="dxa"/>
          </w:tcPr>
          <w:p w:rsidR="00E11F6B" w:rsidRPr="00E11F6B" w:rsidRDefault="00E11F6B" w:rsidP="00DE1DF2">
            <w:pPr>
              <w:jc w:val="both"/>
              <w:rPr>
                <w:rFonts w:ascii="Times New Roman" w:hAnsi="Times New Roman" w:cs="Times New Roman"/>
                <w:b/>
                <w:sz w:val="24"/>
                <w:szCs w:val="24"/>
              </w:rPr>
            </w:pPr>
            <w:r w:rsidRPr="00E11F6B">
              <w:rPr>
                <w:rFonts w:ascii="Times New Roman" w:hAnsi="Times New Roman" w:cs="Times New Roman"/>
                <w:b/>
                <w:sz w:val="24"/>
                <w:szCs w:val="24"/>
              </w:rPr>
              <w:t>Uwaga jest o charakterze nieeuropejskim.</w:t>
            </w:r>
          </w:p>
          <w:p w:rsidR="00DE1DF2" w:rsidRPr="00E11F6B" w:rsidRDefault="00DE1DF2" w:rsidP="00DE1DF2">
            <w:pPr>
              <w:jc w:val="both"/>
              <w:rPr>
                <w:rFonts w:ascii="Times New Roman" w:hAnsi="Times New Roman" w:cs="Times New Roman"/>
                <w:b/>
                <w:sz w:val="24"/>
                <w:szCs w:val="24"/>
              </w:rPr>
            </w:pPr>
            <w:r w:rsidRPr="00E11F6B">
              <w:rPr>
                <w:rFonts w:ascii="Times New Roman" w:hAnsi="Times New Roman" w:cs="Times New Roman"/>
                <w:b/>
                <w:sz w:val="24"/>
                <w:szCs w:val="24"/>
              </w:rPr>
              <w:t xml:space="preserve">Uwaga </w:t>
            </w:r>
            <w:r w:rsidR="00ED58C4" w:rsidRPr="00E11F6B">
              <w:rPr>
                <w:rFonts w:ascii="Times New Roman" w:hAnsi="Times New Roman" w:cs="Times New Roman"/>
                <w:b/>
                <w:sz w:val="24"/>
                <w:szCs w:val="24"/>
              </w:rPr>
              <w:t xml:space="preserve">została </w:t>
            </w:r>
            <w:r w:rsidR="005F4AA7" w:rsidRPr="00E11F6B">
              <w:rPr>
                <w:rFonts w:ascii="Times New Roman" w:hAnsi="Times New Roman" w:cs="Times New Roman"/>
                <w:b/>
                <w:sz w:val="24"/>
                <w:szCs w:val="24"/>
              </w:rPr>
              <w:t>wyjaśniona</w:t>
            </w:r>
            <w:r w:rsidRPr="00E11F6B">
              <w:rPr>
                <w:rFonts w:ascii="Times New Roman" w:hAnsi="Times New Roman" w:cs="Times New Roman"/>
                <w:b/>
                <w:sz w:val="24"/>
                <w:szCs w:val="24"/>
              </w:rPr>
              <w:t>.</w:t>
            </w:r>
          </w:p>
          <w:p w:rsidR="00CA3B34" w:rsidRDefault="00DE1DF2" w:rsidP="00DE1DF2">
            <w:pPr>
              <w:jc w:val="both"/>
              <w:rPr>
                <w:rFonts w:ascii="Times New Roman" w:hAnsi="Times New Roman" w:cs="Times New Roman"/>
                <w:sz w:val="24"/>
                <w:szCs w:val="24"/>
              </w:rPr>
            </w:pPr>
            <w:r w:rsidRPr="00DE1DF2">
              <w:rPr>
                <w:rFonts w:ascii="Times New Roman" w:hAnsi="Times New Roman" w:cs="Times New Roman"/>
                <w:sz w:val="24"/>
                <w:szCs w:val="24"/>
              </w:rPr>
              <w:t>Brak jest uzasadnienia dla wydłużenia terminu na wydanie warunków przyłączenia</w:t>
            </w:r>
            <w:r>
              <w:rPr>
                <w:rFonts w:ascii="Times New Roman" w:hAnsi="Times New Roman" w:cs="Times New Roman"/>
                <w:sz w:val="24"/>
                <w:szCs w:val="24"/>
              </w:rPr>
              <w:t xml:space="preserve"> </w:t>
            </w:r>
            <w:r w:rsidR="00CA3B34">
              <w:rPr>
                <w:rFonts w:ascii="Times New Roman" w:hAnsi="Times New Roman" w:cs="Times New Roman"/>
                <w:sz w:val="24"/>
                <w:szCs w:val="24"/>
              </w:rPr>
              <w:t xml:space="preserve">wyłącznie </w:t>
            </w:r>
            <w:r>
              <w:rPr>
                <w:rFonts w:ascii="Times New Roman" w:hAnsi="Times New Roman" w:cs="Times New Roman"/>
                <w:sz w:val="24"/>
                <w:szCs w:val="24"/>
              </w:rPr>
              <w:t>dla magazynów ener</w:t>
            </w:r>
            <w:r w:rsidR="00CA3B34">
              <w:rPr>
                <w:rFonts w:ascii="Times New Roman" w:hAnsi="Times New Roman" w:cs="Times New Roman"/>
                <w:sz w:val="24"/>
                <w:szCs w:val="24"/>
              </w:rPr>
              <w:t>gii elektrycznej i traktowania w tym obszarze magazynu energii elektrycznej odmiennie aniżeli źródła.</w:t>
            </w:r>
          </w:p>
          <w:p w:rsidR="00553938" w:rsidRDefault="00CA3B34" w:rsidP="00DE1DF2">
            <w:pPr>
              <w:jc w:val="both"/>
              <w:rPr>
                <w:rFonts w:ascii="Times New Roman" w:hAnsi="Times New Roman" w:cs="Times New Roman"/>
                <w:sz w:val="24"/>
                <w:szCs w:val="24"/>
              </w:rPr>
            </w:pPr>
            <w:r>
              <w:rPr>
                <w:rFonts w:ascii="Times New Roman" w:hAnsi="Times New Roman" w:cs="Times New Roman"/>
                <w:sz w:val="24"/>
                <w:szCs w:val="24"/>
              </w:rPr>
              <w:t>Zgodnie z nowym</w:t>
            </w:r>
            <w:r w:rsidR="00DE1DF2">
              <w:rPr>
                <w:rFonts w:ascii="Times New Roman" w:hAnsi="Times New Roman" w:cs="Times New Roman"/>
                <w:sz w:val="24"/>
                <w:szCs w:val="24"/>
              </w:rPr>
              <w:t xml:space="preserve"> brzmienie</w:t>
            </w:r>
            <w:r>
              <w:rPr>
                <w:rFonts w:ascii="Times New Roman" w:hAnsi="Times New Roman" w:cs="Times New Roman"/>
                <w:sz w:val="24"/>
                <w:szCs w:val="24"/>
              </w:rPr>
              <w:t>m</w:t>
            </w:r>
            <w:r w:rsidR="00DE1DF2">
              <w:rPr>
                <w:rFonts w:ascii="Times New Roman" w:hAnsi="Times New Roman" w:cs="Times New Roman"/>
                <w:sz w:val="24"/>
                <w:szCs w:val="24"/>
              </w:rPr>
              <w:t xml:space="preserve"> art. 7 ust. 8g</w:t>
            </w:r>
            <w:r>
              <w:rPr>
                <w:rFonts w:ascii="Times New Roman" w:hAnsi="Times New Roman" w:cs="Times New Roman"/>
                <w:sz w:val="24"/>
                <w:szCs w:val="24"/>
              </w:rPr>
              <w:t xml:space="preserve"> wprowadzonym</w:t>
            </w:r>
            <w:r w:rsidR="00DE1DF2">
              <w:rPr>
                <w:rFonts w:ascii="Times New Roman" w:hAnsi="Times New Roman" w:cs="Times New Roman"/>
                <w:sz w:val="24"/>
                <w:szCs w:val="24"/>
              </w:rPr>
              <w:t xml:space="preserve"> ustawą</w:t>
            </w:r>
            <w:r w:rsidR="00DE1DF2" w:rsidRPr="00DE1DF2">
              <w:rPr>
                <w:rFonts w:ascii="Times New Roman" w:hAnsi="Times New Roman" w:cs="Times New Roman"/>
                <w:sz w:val="24"/>
                <w:szCs w:val="24"/>
              </w:rPr>
              <w:t xml:space="preserve"> z dnia 13 lutego 2020 r. o zmianie ustawy - Prawo budowlane oraz niektórych innych ustaw</w:t>
            </w:r>
            <w:r w:rsidR="00DE1DF2">
              <w:rPr>
                <w:rFonts w:ascii="Times New Roman" w:hAnsi="Times New Roman" w:cs="Times New Roman"/>
                <w:sz w:val="24"/>
                <w:szCs w:val="24"/>
              </w:rPr>
              <w:t xml:space="preserve"> (Dz. U. 2020 poz. 471)</w:t>
            </w:r>
            <w:r>
              <w:rPr>
                <w:rFonts w:ascii="Times New Roman" w:hAnsi="Times New Roman" w:cs="Times New Roman"/>
                <w:sz w:val="24"/>
                <w:szCs w:val="24"/>
              </w:rPr>
              <w:t>:</w:t>
            </w:r>
          </w:p>
          <w:p w:rsidR="00CA3B34" w:rsidRDefault="00CA3B34" w:rsidP="00DE1DF2">
            <w:pPr>
              <w:jc w:val="both"/>
              <w:rPr>
                <w:rFonts w:ascii="Times New Roman" w:hAnsi="Times New Roman" w:cs="Times New Roman"/>
                <w:sz w:val="24"/>
                <w:szCs w:val="24"/>
              </w:rPr>
            </w:pPr>
            <w:r w:rsidRPr="00CA3B34">
              <w:rPr>
                <w:rFonts w:ascii="Times New Roman" w:hAnsi="Times New Roman" w:cs="Times New Roman"/>
                <w:sz w:val="24"/>
                <w:szCs w:val="24"/>
              </w:rPr>
              <w:t>3)</w:t>
            </w:r>
            <w:r>
              <w:rPr>
                <w:rFonts w:ascii="Times New Roman" w:hAnsi="Times New Roman" w:cs="Times New Roman"/>
                <w:sz w:val="24"/>
                <w:szCs w:val="24"/>
              </w:rPr>
              <w:t xml:space="preserve"> </w:t>
            </w:r>
            <w:r w:rsidRPr="00CA3B34">
              <w:rPr>
                <w:rFonts w:ascii="Times New Roman" w:hAnsi="Times New Roman" w:cs="Times New Roman"/>
                <w:sz w:val="24"/>
                <w:szCs w:val="24"/>
              </w:rPr>
              <w:t>60 dni od dnia złożenia wniosku przez wnioskodawcę zaliczonego do III lub VI grupy przyłączeniowej przyłączanego do sieci o napięciu powyżej 1 kV, niewyposażonego w źródło;</w:t>
            </w:r>
          </w:p>
          <w:p w:rsidR="00CA3B34" w:rsidRDefault="00CA3B34" w:rsidP="00DE1DF2">
            <w:pPr>
              <w:jc w:val="both"/>
              <w:rPr>
                <w:rFonts w:ascii="Times New Roman" w:hAnsi="Times New Roman" w:cs="Times New Roman"/>
                <w:sz w:val="24"/>
                <w:szCs w:val="24"/>
              </w:rPr>
            </w:pPr>
            <w:r w:rsidRPr="00CA3B34">
              <w:rPr>
                <w:rFonts w:ascii="Times New Roman" w:hAnsi="Times New Roman" w:cs="Times New Roman"/>
                <w:sz w:val="24"/>
                <w:szCs w:val="24"/>
              </w:rPr>
              <w:t>4)</w:t>
            </w:r>
            <w:r>
              <w:rPr>
                <w:rFonts w:ascii="Times New Roman" w:hAnsi="Times New Roman" w:cs="Times New Roman"/>
                <w:sz w:val="24"/>
                <w:szCs w:val="24"/>
              </w:rPr>
              <w:t xml:space="preserve"> </w:t>
            </w:r>
            <w:r w:rsidRPr="00CA3B34">
              <w:rPr>
                <w:rFonts w:ascii="Times New Roman" w:hAnsi="Times New Roman" w:cs="Times New Roman"/>
                <w:sz w:val="24"/>
                <w:szCs w:val="24"/>
              </w:rPr>
              <w:t>120 dni od dnia złożenia wniosku przez wnioskodawcę zaliczonego do III lub VI grupy przyłączeniowej –dla obiektu przyłączanego do sieci o napięciu wyższym niż 1 kV wyposażonego</w:t>
            </w:r>
            <w:r>
              <w:rPr>
                <w:rFonts w:ascii="Times New Roman" w:hAnsi="Times New Roman" w:cs="Times New Roman"/>
                <w:sz w:val="24"/>
                <w:szCs w:val="24"/>
              </w:rPr>
              <w:t xml:space="preserve"> </w:t>
            </w:r>
            <w:r w:rsidRPr="00CA3B34">
              <w:rPr>
                <w:rFonts w:ascii="Times New Roman" w:hAnsi="Times New Roman" w:cs="Times New Roman"/>
                <w:sz w:val="24"/>
                <w:szCs w:val="24"/>
              </w:rPr>
              <w:t>w źródło;</w:t>
            </w:r>
          </w:p>
          <w:p w:rsidR="00CA3B34" w:rsidRDefault="00CA3B34" w:rsidP="00DE1DF2">
            <w:pPr>
              <w:jc w:val="both"/>
              <w:rPr>
                <w:rFonts w:ascii="Times New Roman" w:hAnsi="Times New Roman" w:cs="Times New Roman"/>
                <w:sz w:val="24"/>
                <w:szCs w:val="24"/>
              </w:rPr>
            </w:pPr>
            <w:r w:rsidRPr="00CA3B34">
              <w:rPr>
                <w:rFonts w:ascii="Times New Roman" w:hAnsi="Times New Roman" w:cs="Times New Roman"/>
                <w:sz w:val="24"/>
                <w:szCs w:val="24"/>
              </w:rPr>
              <w:t>5)</w:t>
            </w:r>
            <w:r>
              <w:rPr>
                <w:rFonts w:ascii="Times New Roman" w:hAnsi="Times New Roman" w:cs="Times New Roman"/>
                <w:sz w:val="24"/>
                <w:szCs w:val="24"/>
              </w:rPr>
              <w:t xml:space="preserve"> </w:t>
            </w:r>
            <w:r w:rsidRPr="00CA3B34">
              <w:rPr>
                <w:rFonts w:ascii="Times New Roman" w:hAnsi="Times New Roman" w:cs="Times New Roman"/>
                <w:sz w:val="24"/>
                <w:szCs w:val="24"/>
              </w:rPr>
              <w:t xml:space="preserve">150 dni od dnia złożenia wniosku przez wnioskodawcę zaliczonego do </w:t>
            </w:r>
            <w:r>
              <w:rPr>
                <w:rFonts w:ascii="Times New Roman" w:hAnsi="Times New Roman" w:cs="Times New Roman"/>
                <w:sz w:val="24"/>
                <w:szCs w:val="24"/>
              </w:rPr>
              <w:t>I lub II grupy przyłączeniowej.</w:t>
            </w:r>
          </w:p>
          <w:p w:rsidR="00CA3B34" w:rsidRDefault="00CA3B34" w:rsidP="004B328E">
            <w:pPr>
              <w:jc w:val="both"/>
              <w:rPr>
                <w:rFonts w:ascii="Times New Roman" w:hAnsi="Times New Roman" w:cs="Times New Roman"/>
                <w:sz w:val="24"/>
                <w:szCs w:val="24"/>
              </w:rPr>
            </w:pPr>
            <w:r>
              <w:rPr>
                <w:rFonts w:ascii="Times New Roman" w:hAnsi="Times New Roman" w:cs="Times New Roman"/>
                <w:sz w:val="24"/>
                <w:szCs w:val="24"/>
              </w:rPr>
              <w:lastRenderedPageBreak/>
              <w:t>A więc jeżeli magazyn energii elektrycznej, tak jak źródło, jest częścią instalacji wnioskodawcy</w:t>
            </w:r>
            <w:r>
              <w:t xml:space="preserve"> </w:t>
            </w:r>
            <w:r w:rsidRPr="00CA3B34">
              <w:rPr>
                <w:rFonts w:ascii="Times New Roman" w:hAnsi="Times New Roman" w:cs="Times New Roman"/>
                <w:sz w:val="24"/>
                <w:szCs w:val="24"/>
              </w:rPr>
              <w:t>ubiegające</w:t>
            </w:r>
            <w:r>
              <w:rPr>
                <w:rFonts w:ascii="Times New Roman" w:hAnsi="Times New Roman" w:cs="Times New Roman"/>
                <w:sz w:val="24"/>
                <w:szCs w:val="24"/>
              </w:rPr>
              <w:t>go</w:t>
            </w:r>
            <w:r w:rsidRPr="00CA3B34">
              <w:rPr>
                <w:rFonts w:ascii="Times New Roman" w:hAnsi="Times New Roman" w:cs="Times New Roman"/>
                <w:sz w:val="24"/>
                <w:szCs w:val="24"/>
              </w:rPr>
              <w:t xml:space="preserve"> się </w:t>
            </w:r>
            <w:r>
              <w:rPr>
                <w:rFonts w:ascii="Times New Roman" w:hAnsi="Times New Roman" w:cs="Times New Roman"/>
                <w:sz w:val="24"/>
                <w:szCs w:val="24"/>
              </w:rPr>
              <w:t>o przyłączenie do sieci, którego</w:t>
            </w:r>
            <w:r w:rsidRPr="00CA3B34">
              <w:rPr>
                <w:rFonts w:ascii="Times New Roman" w:hAnsi="Times New Roman" w:cs="Times New Roman"/>
                <w:sz w:val="24"/>
                <w:szCs w:val="24"/>
              </w:rPr>
              <w:t xml:space="preserve"> urządzenia, instalacje i sieci są przyłączane bezpośrednio do sieci o napięciu znamionowym </w:t>
            </w:r>
            <w:r>
              <w:rPr>
                <w:rFonts w:ascii="Times New Roman" w:hAnsi="Times New Roman" w:cs="Times New Roman"/>
                <w:sz w:val="24"/>
                <w:szCs w:val="24"/>
              </w:rPr>
              <w:t xml:space="preserve">wyższym niż 1 kV i nie wyższym niż </w:t>
            </w:r>
            <w:r w:rsidRPr="00CA3B34">
              <w:rPr>
                <w:rFonts w:ascii="Times New Roman" w:hAnsi="Times New Roman" w:cs="Times New Roman"/>
                <w:sz w:val="24"/>
                <w:szCs w:val="24"/>
              </w:rPr>
              <w:t>110 kV</w:t>
            </w:r>
            <w:r>
              <w:rPr>
                <w:rFonts w:ascii="Times New Roman" w:hAnsi="Times New Roman" w:cs="Times New Roman"/>
                <w:sz w:val="24"/>
                <w:szCs w:val="24"/>
              </w:rPr>
              <w:t xml:space="preserve"> </w:t>
            </w:r>
            <w:r w:rsidR="004B328E">
              <w:rPr>
                <w:rFonts w:ascii="Times New Roman" w:hAnsi="Times New Roman" w:cs="Times New Roman"/>
                <w:sz w:val="24"/>
                <w:szCs w:val="24"/>
              </w:rPr>
              <w:t xml:space="preserve">(lub </w:t>
            </w:r>
            <w:r w:rsidR="004B328E" w:rsidRPr="004B328E">
              <w:rPr>
                <w:rFonts w:ascii="Times New Roman" w:hAnsi="Times New Roman" w:cs="Times New Roman"/>
                <w:sz w:val="24"/>
                <w:szCs w:val="24"/>
              </w:rPr>
              <w:t>mocy przyłączeniowej większej niż 40 kW lub prądzie znamionowym zabezpieczenia przedlicznikowego w torze prądowym większym niż 63A</w:t>
            </w:r>
            <w:r w:rsidR="004B328E">
              <w:rPr>
                <w:rFonts w:ascii="Times New Roman" w:hAnsi="Times New Roman" w:cs="Times New Roman"/>
                <w:sz w:val="24"/>
                <w:szCs w:val="24"/>
              </w:rPr>
              <w:t>) wówczas termin ten wynosi 120 dni. W przypadku podmiot ubiegający</w:t>
            </w:r>
            <w:r w:rsidRPr="00CA3B34">
              <w:rPr>
                <w:rFonts w:ascii="Times New Roman" w:hAnsi="Times New Roman" w:cs="Times New Roman"/>
                <w:sz w:val="24"/>
                <w:szCs w:val="24"/>
              </w:rPr>
              <w:t xml:space="preserve"> się </w:t>
            </w:r>
            <w:r w:rsidR="004B328E">
              <w:rPr>
                <w:rFonts w:ascii="Times New Roman" w:hAnsi="Times New Roman" w:cs="Times New Roman"/>
                <w:sz w:val="24"/>
                <w:szCs w:val="24"/>
              </w:rPr>
              <w:t>o przyłączenie do sieci, którego</w:t>
            </w:r>
            <w:r w:rsidRPr="00CA3B34">
              <w:rPr>
                <w:rFonts w:ascii="Times New Roman" w:hAnsi="Times New Roman" w:cs="Times New Roman"/>
                <w:sz w:val="24"/>
                <w:szCs w:val="24"/>
              </w:rPr>
              <w:t xml:space="preserve"> urządzenia</w:t>
            </w:r>
            <w:r w:rsidR="004B328E">
              <w:rPr>
                <w:rFonts w:ascii="Times New Roman" w:hAnsi="Times New Roman" w:cs="Times New Roman"/>
                <w:sz w:val="24"/>
                <w:szCs w:val="24"/>
              </w:rPr>
              <w:t xml:space="preserve"> (wydaje się, że w tym magazyn energii elektrycznej)</w:t>
            </w:r>
            <w:r w:rsidRPr="00CA3B34">
              <w:rPr>
                <w:rFonts w:ascii="Times New Roman" w:hAnsi="Times New Roman" w:cs="Times New Roman"/>
                <w:sz w:val="24"/>
                <w:szCs w:val="24"/>
              </w:rPr>
              <w:t xml:space="preserve">, instalacje i sieci są przyłączane bezpośrednio do sieci o napięciu znamionowym </w:t>
            </w:r>
            <w:r>
              <w:rPr>
                <w:rFonts w:ascii="Times New Roman" w:hAnsi="Times New Roman" w:cs="Times New Roman"/>
                <w:sz w:val="24"/>
                <w:szCs w:val="24"/>
              </w:rPr>
              <w:t xml:space="preserve">równym </w:t>
            </w:r>
            <w:r w:rsidR="004B328E">
              <w:rPr>
                <w:rFonts w:ascii="Times New Roman" w:hAnsi="Times New Roman" w:cs="Times New Roman"/>
                <w:sz w:val="24"/>
                <w:szCs w:val="24"/>
              </w:rPr>
              <w:t xml:space="preserve">lub </w:t>
            </w:r>
            <w:r w:rsidRPr="00CA3B34">
              <w:rPr>
                <w:rFonts w:ascii="Times New Roman" w:hAnsi="Times New Roman" w:cs="Times New Roman"/>
                <w:sz w:val="24"/>
                <w:szCs w:val="24"/>
              </w:rPr>
              <w:t>wyższym niż 110 kV</w:t>
            </w:r>
            <w:r w:rsidR="004B328E">
              <w:rPr>
                <w:rFonts w:ascii="Times New Roman" w:hAnsi="Times New Roman" w:cs="Times New Roman"/>
                <w:sz w:val="24"/>
                <w:szCs w:val="24"/>
              </w:rPr>
              <w:t xml:space="preserve"> termin ten wynosi 150 dni.</w:t>
            </w:r>
          </w:p>
          <w:p w:rsidR="004C5523" w:rsidRPr="00DB2B9B" w:rsidRDefault="004C5523" w:rsidP="004B328E">
            <w:pPr>
              <w:jc w:val="both"/>
              <w:rPr>
                <w:rFonts w:ascii="Times New Roman" w:hAnsi="Times New Roman" w:cs="Times New Roman"/>
                <w:sz w:val="24"/>
                <w:szCs w:val="24"/>
              </w:rPr>
            </w:pPr>
            <w:r w:rsidRPr="004C5523">
              <w:rPr>
                <w:rFonts w:ascii="Times New Roman" w:hAnsi="Times New Roman" w:cs="Times New Roman"/>
                <w:sz w:val="24"/>
                <w:szCs w:val="24"/>
              </w:rPr>
              <w:t>Uwaga jest o charakterze nieeuropejskim.</w:t>
            </w:r>
          </w:p>
        </w:tc>
      </w:tr>
      <w:tr w:rsidR="00553938" w:rsidRPr="00DB2B9B" w:rsidTr="003321EA">
        <w:tc>
          <w:tcPr>
            <w:tcW w:w="630" w:type="dxa"/>
          </w:tcPr>
          <w:p w:rsidR="00553938" w:rsidRPr="00DB2B9B" w:rsidRDefault="004B1D44" w:rsidP="00553938">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1043" w:type="dxa"/>
          </w:tcPr>
          <w:p w:rsidR="00553938" w:rsidRPr="00553938" w:rsidRDefault="00553938" w:rsidP="00553938">
            <w:pPr>
              <w:rPr>
                <w:rFonts w:ascii="Times New Roman" w:hAnsi="Times New Roman" w:cs="Times New Roman"/>
              </w:rPr>
            </w:pPr>
            <w:r w:rsidRPr="00553938">
              <w:rPr>
                <w:rFonts w:ascii="Times New Roman" w:hAnsi="Times New Roman" w:cs="Times New Roman"/>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5.</w:t>
            </w:r>
            <w:r w:rsidRPr="00DE1863">
              <w:rPr>
                <w:rFonts w:ascii="Times New Roman" w:hAnsi="Times New Roman" w:cs="Times New Roman"/>
                <w:sz w:val="24"/>
                <w:szCs w:val="24"/>
              </w:rPr>
              <w:tab/>
              <w:t xml:space="preserve">Art. 1 pkt 12 – zmiana art. 7a ust. 3 </w:t>
            </w:r>
          </w:p>
          <w:p w:rsidR="00553938"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 art. 7a ust. 3 pkt 1 w proponowanej treści projektu przepis ten powinien zawierać stosowne wyłączenie dotyczycące sektora odnawialnych źródeł energii celem zapewnienia rozwoju rynku korporacyjnych umów sprzedaży energii (CPPA). Konieczność uzyskania zgody Prezesa URE na budowę linii bezpośredniej powinna być wyłączona dla takiej linii łączącej z odbiorcą wydzieloną jednostkę wytwarzania energii elektrycznej stanowiącą instalację odnawialnego źródła energii, wybudowaną na potrzeby tego odbiorcy w ramach długoterminowej umowy sprzedaży energii takiemu odbiorcy.</w:t>
            </w:r>
          </w:p>
        </w:tc>
        <w:tc>
          <w:tcPr>
            <w:tcW w:w="6344" w:type="dxa"/>
          </w:tcPr>
          <w:p w:rsidR="00E11F6B" w:rsidRPr="00E11F6B" w:rsidRDefault="00E11F6B" w:rsidP="00553938">
            <w:pPr>
              <w:jc w:val="both"/>
              <w:rPr>
                <w:rFonts w:ascii="Times New Roman" w:hAnsi="Times New Roman" w:cs="Times New Roman"/>
                <w:b/>
                <w:sz w:val="24"/>
                <w:szCs w:val="24"/>
              </w:rPr>
            </w:pPr>
            <w:r w:rsidRPr="00E11F6B">
              <w:rPr>
                <w:rFonts w:ascii="Times New Roman" w:hAnsi="Times New Roman" w:cs="Times New Roman"/>
                <w:b/>
                <w:sz w:val="24"/>
                <w:szCs w:val="24"/>
              </w:rPr>
              <w:t>Uwaga jest o charakterze nieeuropejskim.</w:t>
            </w:r>
          </w:p>
          <w:p w:rsidR="00ED58C4" w:rsidRPr="00E11F6B" w:rsidRDefault="00ED58C4" w:rsidP="00553938">
            <w:pPr>
              <w:jc w:val="both"/>
              <w:rPr>
                <w:rFonts w:ascii="Times New Roman" w:hAnsi="Times New Roman" w:cs="Times New Roman"/>
                <w:b/>
                <w:sz w:val="24"/>
                <w:szCs w:val="24"/>
              </w:rPr>
            </w:pPr>
            <w:r w:rsidRPr="00E11F6B">
              <w:rPr>
                <w:rFonts w:ascii="Times New Roman" w:hAnsi="Times New Roman" w:cs="Times New Roman"/>
                <w:b/>
                <w:sz w:val="24"/>
                <w:szCs w:val="24"/>
              </w:rPr>
              <w:t>Uwaga została wyjaśniona.</w:t>
            </w:r>
          </w:p>
          <w:p w:rsidR="004C5523" w:rsidRPr="00675568" w:rsidRDefault="0028458E" w:rsidP="00553938">
            <w:pPr>
              <w:jc w:val="both"/>
              <w:rPr>
                <w:rFonts w:ascii="Times New Roman" w:hAnsi="Times New Roman" w:cs="Times New Roman"/>
                <w:i/>
                <w:sz w:val="24"/>
                <w:szCs w:val="24"/>
              </w:rPr>
            </w:pPr>
            <w:r>
              <w:rPr>
                <w:rFonts w:ascii="Times New Roman" w:hAnsi="Times New Roman" w:cs="Times New Roman"/>
                <w:sz w:val="24"/>
                <w:szCs w:val="24"/>
              </w:rPr>
              <w:t>Niniejsze wyłączenie nie wynika z przepisów UE</w:t>
            </w:r>
            <w:r w:rsidR="00675568">
              <w:rPr>
                <w:rFonts w:ascii="Times New Roman" w:hAnsi="Times New Roman" w:cs="Times New Roman"/>
                <w:sz w:val="24"/>
                <w:szCs w:val="24"/>
              </w:rPr>
              <w:t xml:space="preserve"> – definicja linii bezpośredniej - </w:t>
            </w:r>
            <w:r w:rsidR="00CF67EB">
              <w:rPr>
                <w:rFonts w:ascii="Times New Roman" w:hAnsi="Times New Roman" w:cs="Times New Roman"/>
                <w:sz w:val="24"/>
                <w:szCs w:val="24"/>
              </w:rPr>
              <w:t xml:space="preserve">, w szczególności w dyrektywie Parlamentu Europejskiego i Rady </w:t>
            </w:r>
            <w:r w:rsidR="00CF67EB" w:rsidRPr="00CF67EB">
              <w:rPr>
                <w:rFonts w:ascii="Times New Roman" w:hAnsi="Times New Roman" w:cs="Times New Roman"/>
                <w:sz w:val="24"/>
                <w:szCs w:val="24"/>
              </w:rPr>
              <w:t>UE) 2018/2001 z dnia 11 grudnia 2018 r. w sprawie promowania stosowania energii ze źródeł odnawialnych</w:t>
            </w:r>
            <w:r>
              <w:rPr>
                <w:rFonts w:ascii="Times New Roman" w:hAnsi="Times New Roman" w:cs="Times New Roman"/>
                <w:sz w:val="24"/>
                <w:szCs w:val="24"/>
              </w:rPr>
              <w:t>.</w:t>
            </w:r>
            <w:r w:rsidR="004C5523">
              <w:rPr>
                <w:rFonts w:ascii="Times New Roman" w:hAnsi="Times New Roman" w:cs="Times New Roman"/>
                <w:sz w:val="24"/>
                <w:szCs w:val="24"/>
              </w:rPr>
              <w:t xml:space="preserve"> Co więcej, zgodnie z art. 7 ust. 2</w:t>
            </w:r>
            <w:r w:rsidR="008C353E">
              <w:rPr>
                <w:rFonts w:ascii="Times New Roman" w:hAnsi="Times New Roman" w:cs="Times New Roman"/>
                <w:sz w:val="24"/>
                <w:szCs w:val="24"/>
              </w:rPr>
              <w:t xml:space="preserve"> dyrektywy </w:t>
            </w:r>
            <w:r w:rsidR="008C353E" w:rsidRPr="008C353E">
              <w:rPr>
                <w:rFonts w:ascii="Times New Roman" w:hAnsi="Times New Roman" w:cs="Times New Roman"/>
                <w:sz w:val="24"/>
                <w:szCs w:val="24"/>
              </w:rPr>
              <w:t>Parlamentu Europejskiego i Rady 2019/944 z dnia 5 czerwca 2019 r. dotyczącej wspólnych zasad rynku wewnętrznego energii elektrycznej oraz zmieniająca dyrektywę 2012/27/WE (Dz. U. UE. L. 158 z 14. 06. 2019, str. 125)</w:t>
            </w:r>
            <w:r w:rsidR="004C5523">
              <w:rPr>
                <w:rFonts w:ascii="Times New Roman" w:hAnsi="Times New Roman" w:cs="Times New Roman"/>
                <w:sz w:val="24"/>
                <w:szCs w:val="24"/>
              </w:rPr>
              <w:t xml:space="preserve"> </w:t>
            </w:r>
            <w:r w:rsidR="004C5523" w:rsidRPr="004C5523">
              <w:rPr>
                <w:rFonts w:ascii="Times New Roman" w:hAnsi="Times New Roman" w:cs="Times New Roman"/>
                <w:i/>
                <w:sz w:val="24"/>
                <w:szCs w:val="24"/>
              </w:rPr>
              <w:t>Państwa członkowskie określają kryteria dotyczące przyznawania zezwoleń na budowę linii bezpośrednich na ich terytorium. Kryteria te muszą być obiektywne i niedyskryminacyjne.</w:t>
            </w:r>
          </w:p>
        </w:tc>
      </w:tr>
      <w:tr w:rsidR="00553938" w:rsidRPr="00DB2B9B" w:rsidTr="003321EA">
        <w:tc>
          <w:tcPr>
            <w:tcW w:w="630" w:type="dxa"/>
          </w:tcPr>
          <w:p w:rsidR="00553938" w:rsidRPr="00DB2B9B" w:rsidRDefault="004B1D44" w:rsidP="00553938">
            <w:pPr>
              <w:jc w:val="both"/>
              <w:rPr>
                <w:rFonts w:ascii="Times New Roman" w:hAnsi="Times New Roman" w:cs="Times New Roman"/>
                <w:sz w:val="24"/>
                <w:szCs w:val="24"/>
              </w:rPr>
            </w:pPr>
            <w:r>
              <w:rPr>
                <w:rFonts w:ascii="Times New Roman" w:hAnsi="Times New Roman" w:cs="Times New Roman"/>
                <w:sz w:val="24"/>
                <w:szCs w:val="24"/>
              </w:rPr>
              <w:t>13</w:t>
            </w:r>
          </w:p>
        </w:tc>
        <w:tc>
          <w:tcPr>
            <w:tcW w:w="1043" w:type="dxa"/>
          </w:tcPr>
          <w:p w:rsidR="00553938" w:rsidRPr="00553938" w:rsidRDefault="00553938" w:rsidP="00553938">
            <w:pPr>
              <w:rPr>
                <w:rFonts w:ascii="Times New Roman" w:hAnsi="Times New Roman" w:cs="Times New Roman"/>
              </w:rPr>
            </w:pPr>
            <w:r w:rsidRPr="00553938">
              <w:rPr>
                <w:rFonts w:ascii="Times New Roman" w:hAnsi="Times New Roman" w:cs="Times New Roman"/>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6.</w:t>
            </w:r>
            <w:r w:rsidRPr="00DE1863">
              <w:rPr>
                <w:rFonts w:ascii="Times New Roman" w:hAnsi="Times New Roman" w:cs="Times New Roman"/>
                <w:sz w:val="24"/>
                <w:szCs w:val="24"/>
              </w:rPr>
              <w:tab/>
              <w:t>Art. 1 pkt 14 – zmiana art. 9c uPE, nowy ust. 7a</w:t>
            </w:r>
          </w:p>
          <w:p w:rsidR="00553938"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Przepis ten regulować ma to samo zagadnienie co art. 13 ust. 5-7 rozporządzenia (UE) 2019/943 w sprawie rynku wewnętrznego energii elektrycznej, jedna w ocenie MAP nie </w:t>
            </w:r>
            <w:r w:rsidRPr="00DE1863">
              <w:rPr>
                <w:rFonts w:ascii="Times New Roman" w:hAnsi="Times New Roman" w:cs="Times New Roman"/>
                <w:sz w:val="24"/>
                <w:szCs w:val="24"/>
              </w:rPr>
              <w:lastRenderedPageBreak/>
              <w:t>jest to prawidłowe ujęcie, bowiem projektowany ust. 7a daje szersze podstawy do stosowania redukcji mocy z farm wiatrowych niż przepisy art. 13 ww. rozporządzenia, tj. np. rozporządzenie przewiduje mechanizm stosowania mechanizmu nierynkowego jako zapasowego wobec działań rynkowych, czy też przewiduje maksymalne progi ograniczeń źródeł OZE, co nie wynika z propozycji regulacji art. 9c ust. 7a ustawy - PE. Biorąc pod uwagę bezpośrednie stosowanie rozporządzenia w polskim systemie prawnym, regulacje krajowe powinny odnosić się wyłącznie do kwestii nieuregulowanych w tym akcie prawnym, np. w zakresie kwestii  braku odpowiedzialności za niewykonanie zobowiązania do określonego poziomu sprzedaży w systemie aukcyjnym. Ewentualnie MAP proponuje rezygnacje ze zmian w tym zakresie z racji na bezpośrednie stosowanie przepisów rozporządzenia (UE) 2019/943 w sprawie rynku wewnętrznego energii elektrycznej. W przypadku pozostawienia tego przepisu ewentualne rekompensaty za polecenie redukcji powinny obejmować nie tyko utracone przychody, ale również poniesione koszty związane z redukcją mocy.</w:t>
            </w:r>
          </w:p>
        </w:tc>
        <w:tc>
          <w:tcPr>
            <w:tcW w:w="6344" w:type="dxa"/>
          </w:tcPr>
          <w:p w:rsidR="00E11F6B" w:rsidRPr="00E11F6B" w:rsidRDefault="00E11F6B" w:rsidP="00553938">
            <w:pPr>
              <w:jc w:val="both"/>
              <w:rPr>
                <w:rFonts w:ascii="Times New Roman" w:hAnsi="Times New Roman" w:cs="Times New Roman"/>
                <w:b/>
                <w:sz w:val="24"/>
                <w:szCs w:val="24"/>
              </w:rPr>
            </w:pPr>
            <w:r w:rsidRPr="00E11F6B">
              <w:rPr>
                <w:rFonts w:ascii="Times New Roman" w:hAnsi="Times New Roman" w:cs="Times New Roman"/>
                <w:b/>
                <w:sz w:val="24"/>
                <w:szCs w:val="24"/>
              </w:rPr>
              <w:lastRenderedPageBreak/>
              <w:t>Uwaga jest o charakterze europejskim.</w:t>
            </w:r>
          </w:p>
          <w:p w:rsidR="00553938" w:rsidRPr="00DB2B9B" w:rsidRDefault="00ED58C4" w:rsidP="00553938">
            <w:pPr>
              <w:jc w:val="both"/>
              <w:rPr>
                <w:rFonts w:ascii="Times New Roman" w:hAnsi="Times New Roman" w:cs="Times New Roman"/>
                <w:sz w:val="24"/>
                <w:szCs w:val="24"/>
              </w:rPr>
            </w:pPr>
            <w:r w:rsidRPr="00E11F6B">
              <w:rPr>
                <w:rFonts w:ascii="Times New Roman" w:hAnsi="Times New Roman" w:cs="Times New Roman"/>
                <w:b/>
                <w:sz w:val="24"/>
                <w:szCs w:val="24"/>
              </w:rPr>
              <w:t>Uwaga została uwzględniona</w:t>
            </w:r>
            <w:r>
              <w:rPr>
                <w:rFonts w:ascii="Times New Roman" w:hAnsi="Times New Roman" w:cs="Times New Roman"/>
                <w:sz w:val="24"/>
                <w:szCs w:val="24"/>
              </w:rPr>
              <w:t xml:space="preserve"> poprzez zrezygnowanie w projekcie ustawy UC17 z wprowadzenia zmian w tym zakresie. </w:t>
            </w:r>
          </w:p>
        </w:tc>
      </w:tr>
      <w:tr w:rsidR="00553938" w:rsidRPr="00DB2B9B" w:rsidTr="003321EA">
        <w:tc>
          <w:tcPr>
            <w:tcW w:w="630" w:type="dxa"/>
          </w:tcPr>
          <w:p w:rsidR="00553938" w:rsidRPr="00DB2B9B" w:rsidRDefault="004B1D44" w:rsidP="00553938">
            <w:pPr>
              <w:jc w:val="both"/>
              <w:rPr>
                <w:rFonts w:ascii="Times New Roman" w:hAnsi="Times New Roman" w:cs="Times New Roman"/>
                <w:sz w:val="24"/>
                <w:szCs w:val="24"/>
              </w:rPr>
            </w:pPr>
            <w:r>
              <w:rPr>
                <w:rFonts w:ascii="Times New Roman" w:hAnsi="Times New Roman" w:cs="Times New Roman"/>
                <w:sz w:val="24"/>
                <w:szCs w:val="24"/>
              </w:rPr>
              <w:t>14</w:t>
            </w:r>
          </w:p>
        </w:tc>
        <w:tc>
          <w:tcPr>
            <w:tcW w:w="1043" w:type="dxa"/>
          </w:tcPr>
          <w:p w:rsidR="00553938" w:rsidRPr="00553938" w:rsidRDefault="00553938" w:rsidP="00553938">
            <w:pPr>
              <w:rPr>
                <w:rFonts w:ascii="Times New Roman" w:hAnsi="Times New Roman" w:cs="Times New Roman"/>
              </w:rPr>
            </w:pPr>
            <w:r w:rsidRPr="00553938">
              <w:rPr>
                <w:rFonts w:ascii="Times New Roman" w:hAnsi="Times New Roman" w:cs="Times New Roman"/>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7.</w:t>
            </w:r>
            <w:r w:rsidRPr="00DE1863">
              <w:rPr>
                <w:rFonts w:ascii="Times New Roman" w:hAnsi="Times New Roman" w:cs="Times New Roman"/>
                <w:sz w:val="24"/>
                <w:szCs w:val="24"/>
              </w:rPr>
              <w:tab/>
              <w:t>Art. 1 pkt 18 – zmiana art. 9g ust. 4 uPE, nowy pkt. 2b</w:t>
            </w:r>
          </w:p>
          <w:p w:rsidR="00553938"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Operatorzy systemów przesyłowego i dystrybucyjnych będą mieć obowiązek wpisania do instrukcji ruchu i eksploatacji sieci wymagań technicznych dla magazynów energii, jednak w zależności od tego jak operatorzy sformułują powyższe wymagania wytwórcy OZE, posiadający magazyny energii, będą musieli ponieść dodatkowe, nieuwzględnione w systemie wsparcia OZE koszty związane z przystosowaniem posiadanych aktywów do nowych oczekiwań regulacyjnych. Ewentualne koszty po stronie wytwórców OZE związane z </w:t>
            </w:r>
            <w:r w:rsidRPr="00DE1863">
              <w:rPr>
                <w:rFonts w:ascii="Times New Roman" w:hAnsi="Times New Roman" w:cs="Times New Roman"/>
                <w:sz w:val="24"/>
                <w:szCs w:val="24"/>
              </w:rPr>
              <w:lastRenderedPageBreak/>
              <w:t>realizacją wymagań operatorów powinny być poniesione przez tych operatorów, lub solidarnie przez obie strony. Przepisy projektu ustawy nie regulują tych kwestii.</w:t>
            </w:r>
          </w:p>
        </w:tc>
        <w:tc>
          <w:tcPr>
            <w:tcW w:w="6344" w:type="dxa"/>
          </w:tcPr>
          <w:p w:rsidR="00E11F6B" w:rsidRPr="00E11F6B" w:rsidRDefault="00E11F6B" w:rsidP="00553938">
            <w:pPr>
              <w:jc w:val="both"/>
              <w:rPr>
                <w:rFonts w:ascii="Times New Roman" w:hAnsi="Times New Roman" w:cs="Times New Roman"/>
                <w:b/>
                <w:sz w:val="24"/>
                <w:szCs w:val="24"/>
              </w:rPr>
            </w:pPr>
            <w:r w:rsidRPr="00E11F6B">
              <w:rPr>
                <w:rFonts w:ascii="Times New Roman" w:hAnsi="Times New Roman" w:cs="Times New Roman"/>
                <w:b/>
                <w:sz w:val="24"/>
                <w:szCs w:val="24"/>
              </w:rPr>
              <w:lastRenderedPageBreak/>
              <w:t>Uwaga jest o charakterze nieeuropejskim.</w:t>
            </w:r>
          </w:p>
          <w:p w:rsidR="00553938" w:rsidRPr="00E11F6B" w:rsidRDefault="00ED58C4" w:rsidP="00553938">
            <w:pPr>
              <w:jc w:val="both"/>
              <w:rPr>
                <w:rFonts w:ascii="Times New Roman" w:hAnsi="Times New Roman" w:cs="Times New Roman"/>
                <w:b/>
                <w:sz w:val="24"/>
                <w:szCs w:val="24"/>
              </w:rPr>
            </w:pPr>
            <w:r w:rsidRPr="00E11F6B">
              <w:rPr>
                <w:rFonts w:ascii="Times New Roman" w:hAnsi="Times New Roman" w:cs="Times New Roman"/>
                <w:b/>
                <w:sz w:val="24"/>
                <w:szCs w:val="24"/>
              </w:rPr>
              <w:t xml:space="preserve">Uwaga została </w:t>
            </w:r>
            <w:r w:rsidR="00675568" w:rsidRPr="00E11F6B">
              <w:rPr>
                <w:rFonts w:ascii="Times New Roman" w:hAnsi="Times New Roman" w:cs="Times New Roman"/>
                <w:b/>
                <w:sz w:val="24"/>
                <w:szCs w:val="24"/>
              </w:rPr>
              <w:t>wyjaśniona.</w:t>
            </w:r>
          </w:p>
          <w:p w:rsidR="001D08F0" w:rsidRPr="001D08F0" w:rsidRDefault="001D08F0" w:rsidP="001D08F0">
            <w:pPr>
              <w:jc w:val="both"/>
              <w:rPr>
                <w:rFonts w:ascii="Times New Roman" w:hAnsi="Times New Roman" w:cs="Times New Roman"/>
                <w:sz w:val="24"/>
                <w:szCs w:val="24"/>
              </w:rPr>
            </w:pPr>
            <w:r>
              <w:rPr>
                <w:rFonts w:ascii="Times New Roman" w:hAnsi="Times New Roman" w:cs="Times New Roman"/>
                <w:sz w:val="24"/>
                <w:szCs w:val="24"/>
              </w:rPr>
              <w:t>Zarówno d</w:t>
            </w:r>
            <w:r w:rsidRPr="001D08F0">
              <w:rPr>
                <w:rFonts w:ascii="Times New Roman" w:hAnsi="Times New Roman" w:cs="Times New Roman"/>
                <w:sz w:val="24"/>
                <w:szCs w:val="24"/>
              </w:rPr>
              <w:t>la wytwórców i dla odbiorców obowiązują już wymagania określone Rozporządzeniami Komisji (UE) odpowiednio 2016/631 z dnia 14 kwietnia 2016 r. i 2016/1388 z dnia 17 sierpnia 2016 r. ustanawiające kodeksy sieci odpowiednio dla przyłączenia do sieci</w:t>
            </w:r>
            <w:r>
              <w:rPr>
                <w:rFonts w:ascii="Times New Roman" w:hAnsi="Times New Roman" w:cs="Times New Roman"/>
                <w:sz w:val="24"/>
                <w:szCs w:val="24"/>
              </w:rPr>
              <w:t xml:space="preserve"> jednostek wytwórczych i odbiorców</w:t>
            </w:r>
            <w:r w:rsidRPr="001D08F0">
              <w:rPr>
                <w:rFonts w:ascii="Times New Roman" w:hAnsi="Times New Roman" w:cs="Times New Roman"/>
                <w:sz w:val="24"/>
                <w:szCs w:val="24"/>
              </w:rPr>
              <w:t>.</w:t>
            </w:r>
          </w:p>
          <w:p w:rsidR="001D08F0" w:rsidRDefault="001D08F0" w:rsidP="001D08F0">
            <w:pPr>
              <w:jc w:val="both"/>
              <w:rPr>
                <w:rFonts w:ascii="Times New Roman" w:hAnsi="Times New Roman" w:cs="Times New Roman"/>
                <w:sz w:val="24"/>
                <w:szCs w:val="24"/>
              </w:rPr>
            </w:pPr>
            <w:r w:rsidRPr="001D08F0">
              <w:rPr>
                <w:rFonts w:ascii="Times New Roman" w:hAnsi="Times New Roman" w:cs="Times New Roman"/>
                <w:sz w:val="24"/>
                <w:szCs w:val="24"/>
              </w:rPr>
              <w:t xml:space="preserve">Nie ma obecnie takich wymagań dla magazynów energii elektrycznej. Stąd, mając na względzie przewidywany rozwój zastosowań magazynów energii elektrycznej, zachodzi </w:t>
            </w:r>
            <w:r w:rsidRPr="001D08F0">
              <w:rPr>
                <w:rFonts w:ascii="Times New Roman" w:hAnsi="Times New Roman" w:cs="Times New Roman"/>
                <w:sz w:val="24"/>
                <w:szCs w:val="24"/>
              </w:rPr>
              <w:lastRenderedPageBreak/>
              <w:t>konieczność uregulowania wymagań dotyczących magazynów energii elektrycznej, analogicznie do ww. kodeksów sieci, w instrukcjach opracowywanych przez OSP i OSD. Nadmienić należy, że instrukcje, o których mowa w art. 9g ust. 4 są</w:t>
            </w:r>
            <w:r w:rsidR="00631CDD">
              <w:rPr>
                <w:rFonts w:ascii="Times New Roman" w:hAnsi="Times New Roman" w:cs="Times New Roman"/>
                <w:sz w:val="24"/>
                <w:szCs w:val="24"/>
              </w:rPr>
              <w:t xml:space="preserve"> konsultowane z sektorem oraz</w:t>
            </w:r>
            <w:r w:rsidRPr="001D08F0">
              <w:rPr>
                <w:rFonts w:ascii="Times New Roman" w:hAnsi="Times New Roman" w:cs="Times New Roman"/>
                <w:sz w:val="24"/>
                <w:szCs w:val="24"/>
              </w:rPr>
              <w:t xml:space="preserve"> zatwierdzanie przez Prezesa Urzędu Regulacji Energetyki.</w:t>
            </w:r>
          </w:p>
          <w:p w:rsidR="00ED58C4" w:rsidRDefault="00946205" w:rsidP="001D08F0">
            <w:pPr>
              <w:jc w:val="both"/>
              <w:rPr>
                <w:rFonts w:ascii="Times New Roman" w:hAnsi="Times New Roman" w:cs="Times New Roman"/>
                <w:sz w:val="24"/>
                <w:szCs w:val="24"/>
              </w:rPr>
            </w:pPr>
            <w:r>
              <w:rPr>
                <w:rFonts w:ascii="Times New Roman" w:hAnsi="Times New Roman" w:cs="Times New Roman"/>
                <w:sz w:val="24"/>
                <w:szCs w:val="24"/>
              </w:rPr>
              <w:t>Ponadto, wprowadzenie takiej propozycji spowoduje wyłom w systemie prawnym, bowiem zgodnie z art. 9g ust. 4</w:t>
            </w:r>
            <w:r w:rsidR="00ED58C4">
              <w:rPr>
                <w:rFonts w:ascii="Times New Roman" w:hAnsi="Times New Roman" w:cs="Times New Roman"/>
                <w:sz w:val="24"/>
                <w:szCs w:val="24"/>
              </w:rPr>
              <w:t>:</w:t>
            </w:r>
          </w:p>
          <w:p w:rsidR="003E5E1F" w:rsidRPr="003E5E1F" w:rsidRDefault="00946205" w:rsidP="001D08F0">
            <w:pPr>
              <w:jc w:val="both"/>
              <w:rPr>
                <w:rFonts w:ascii="Times New Roman" w:hAnsi="Times New Roman" w:cs="Times New Roman"/>
                <w:i/>
                <w:sz w:val="24"/>
                <w:szCs w:val="24"/>
              </w:rPr>
            </w:pPr>
            <w:r>
              <w:rPr>
                <w:rFonts w:ascii="Times New Roman" w:hAnsi="Times New Roman" w:cs="Times New Roman"/>
                <w:sz w:val="24"/>
                <w:szCs w:val="24"/>
              </w:rPr>
              <w:t xml:space="preserve"> </w:t>
            </w:r>
            <w:r w:rsidR="003E5E1F" w:rsidRPr="003E5E1F">
              <w:rPr>
                <w:rFonts w:ascii="Times New Roman" w:hAnsi="Times New Roman" w:cs="Times New Roman"/>
                <w:i/>
                <w:sz w:val="24"/>
                <w:szCs w:val="24"/>
              </w:rPr>
              <w:t>4.Instrukcje  opracowywane  dla  sieci  elektroenergetycznych  określają szczegółowe warunki korzystania z tych sieci przez użytkowników systemu oraz warunki i sposób prowadzenia ruchu, eksploatacji i planowania rozwoju tych sieci, w szczególności dotyczące:</w:t>
            </w:r>
          </w:p>
          <w:p w:rsidR="003E5E1F" w:rsidRPr="003E5E1F" w:rsidRDefault="003E5E1F" w:rsidP="001D08F0">
            <w:pPr>
              <w:jc w:val="both"/>
              <w:rPr>
                <w:rFonts w:ascii="Times New Roman" w:hAnsi="Times New Roman" w:cs="Times New Roman"/>
                <w:i/>
                <w:sz w:val="24"/>
                <w:szCs w:val="24"/>
              </w:rPr>
            </w:pPr>
            <w:r w:rsidRPr="003E5E1F">
              <w:rPr>
                <w:rFonts w:ascii="Times New Roman" w:hAnsi="Times New Roman" w:cs="Times New Roman"/>
                <w:i/>
                <w:sz w:val="24"/>
                <w:szCs w:val="24"/>
              </w:rPr>
              <w:t>1)przyłączania  urządzeń  wytwórczych,  sieci  dystrybucyjnych,  urządzeń odbiorców  końcowych,  połączeń  międzysystemowych  oraz  linii bezpośrednich;</w:t>
            </w:r>
          </w:p>
          <w:p w:rsidR="003E5E1F" w:rsidRPr="003E5E1F" w:rsidRDefault="003E5E1F" w:rsidP="001D08F0">
            <w:pPr>
              <w:jc w:val="both"/>
              <w:rPr>
                <w:rFonts w:ascii="Times New Roman" w:hAnsi="Times New Roman" w:cs="Times New Roman"/>
                <w:i/>
                <w:sz w:val="24"/>
                <w:szCs w:val="24"/>
              </w:rPr>
            </w:pPr>
            <w:r w:rsidRPr="003E5E1F">
              <w:rPr>
                <w:rFonts w:ascii="Times New Roman" w:hAnsi="Times New Roman" w:cs="Times New Roman"/>
                <w:i/>
                <w:sz w:val="24"/>
                <w:szCs w:val="24"/>
              </w:rPr>
              <w:t>2)wymagań  technicznych  dla  urządzeń,  instalacji  i sieci  wraz  z niezbędną infrastrukturą pomocniczą;</w:t>
            </w:r>
          </w:p>
          <w:p w:rsidR="00946205" w:rsidRDefault="003E5E1F" w:rsidP="001D08F0">
            <w:pPr>
              <w:jc w:val="both"/>
              <w:rPr>
                <w:rFonts w:ascii="Times New Roman" w:hAnsi="Times New Roman" w:cs="Times New Roman"/>
                <w:i/>
                <w:sz w:val="24"/>
                <w:szCs w:val="24"/>
              </w:rPr>
            </w:pPr>
            <w:r w:rsidRPr="003E5E1F">
              <w:rPr>
                <w:rFonts w:ascii="Times New Roman" w:hAnsi="Times New Roman" w:cs="Times New Roman"/>
                <w:i/>
                <w:sz w:val="24"/>
                <w:szCs w:val="24"/>
              </w:rPr>
              <w:t>2a)wymagań technicznych dla instalacji zarządzania popytem;</w:t>
            </w:r>
          </w:p>
          <w:p w:rsidR="00087667" w:rsidRPr="00DB2B9B" w:rsidRDefault="003E5E1F" w:rsidP="001D08F0">
            <w:pPr>
              <w:jc w:val="both"/>
              <w:rPr>
                <w:rFonts w:ascii="Times New Roman" w:hAnsi="Times New Roman" w:cs="Times New Roman"/>
                <w:sz w:val="24"/>
                <w:szCs w:val="24"/>
              </w:rPr>
            </w:pPr>
            <w:r>
              <w:rPr>
                <w:rFonts w:ascii="Times New Roman" w:hAnsi="Times New Roman" w:cs="Times New Roman"/>
                <w:sz w:val="24"/>
                <w:szCs w:val="24"/>
              </w:rPr>
              <w:t>Tak więc dla wszystkich innych urządzeń określa się wymagania techniczne.</w:t>
            </w:r>
          </w:p>
        </w:tc>
      </w:tr>
      <w:tr w:rsidR="00553938" w:rsidRPr="00DB2B9B" w:rsidTr="003321EA">
        <w:tc>
          <w:tcPr>
            <w:tcW w:w="630" w:type="dxa"/>
          </w:tcPr>
          <w:p w:rsidR="00553938" w:rsidRPr="00DB2B9B" w:rsidRDefault="004B1D44" w:rsidP="00553938">
            <w:pPr>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1043" w:type="dxa"/>
          </w:tcPr>
          <w:p w:rsidR="00553938" w:rsidRPr="00553938" w:rsidRDefault="00553938" w:rsidP="00553938">
            <w:pPr>
              <w:rPr>
                <w:rFonts w:ascii="Times New Roman" w:hAnsi="Times New Roman" w:cs="Times New Roman"/>
              </w:rPr>
            </w:pPr>
            <w:r w:rsidRPr="00553938">
              <w:rPr>
                <w:rFonts w:ascii="Times New Roman" w:hAnsi="Times New Roman" w:cs="Times New Roman"/>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8.</w:t>
            </w:r>
            <w:r w:rsidRPr="00DE1863">
              <w:rPr>
                <w:rFonts w:ascii="Times New Roman" w:hAnsi="Times New Roman" w:cs="Times New Roman"/>
                <w:sz w:val="24"/>
                <w:szCs w:val="24"/>
              </w:rPr>
              <w:tab/>
              <w:t>Art. 1 pkt 33 – zmiana art. 32 ust. 1 uPE, zmiana pkt 2 lit a</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Magazyny energii powyżej 10 MW wymagać będą koncesjonowania w zakresie „magazynowania”, a dla instalacji  poniżej 10 MW  podmiot będzie musiał złożyć wniosek o wpis do rejestru magazynów energii elektrycznej do dnia 31 grudnia 2020 r.</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Proponowany przepis może być podstawą do uzyskania koncesji w zakresie magazynowania energii przez aktywa wytwórcze jakimi są już funkcjonujące elektrownie szczytowo-pompowe, </w:t>
            </w:r>
          </w:p>
          <w:p w:rsidR="00553938"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lastRenderedPageBreak/>
              <w:t>i w tym zakresie proponowana definicja może budzić wątpliwości. Konieczność uzyskania koncesji w tak krótkim czasie, tj. do końca roku 2020, może być nierealne i brak koncesji do końca 2020 r. w przypadku tych aktywów może spowodować konieczność zaprzestania podstawowej działalności wytwórczej. Proponuje się zatem dopuszczenie możliwości funkcjonowania bez koncesji przez aktywa wytwórcze jakimi są już funkcjonujące elektrownie szczytowo-pompowe w okresie dłuższym niż do dnia 31 grudnia 2020 r. lub powiazanie tej regulacji z przepisem art. 40 projektu ustawy – PE, w którym Prezes URE w drodze decyzji może powierzyć dalsze prowadzenie działalności wytwórczej przez przedsiębiorstwo energetyczne przez okres nie dłuższy niż 2 lata, jeżeli wymaga tego interes społeczny.</w:t>
            </w:r>
          </w:p>
        </w:tc>
        <w:tc>
          <w:tcPr>
            <w:tcW w:w="6344" w:type="dxa"/>
          </w:tcPr>
          <w:p w:rsidR="00E11F6B" w:rsidRPr="00E11F6B" w:rsidRDefault="00E11F6B" w:rsidP="009C4E35">
            <w:pPr>
              <w:jc w:val="both"/>
              <w:rPr>
                <w:rFonts w:ascii="Times New Roman" w:hAnsi="Times New Roman" w:cs="Times New Roman"/>
                <w:b/>
                <w:sz w:val="24"/>
                <w:szCs w:val="24"/>
              </w:rPr>
            </w:pPr>
            <w:r w:rsidRPr="00E11F6B">
              <w:rPr>
                <w:rFonts w:ascii="Times New Roman" w:hAnsi="Times New Roman" w:cs="Times New Roman"/>
                <w:b/>
                <w:sz w:val="24"/>
                <w:szCs w:val="24"/>
              </w:rPr>
              <w:lastRenderedPageBreak/>
              <w:t>Uwaga jest o charakterze nieeuropejskim.</w:t>
            </w:r>
          </w:p>
          <w:p w:rsidR="009C4E35" w:rsidRPr="00E11F6B" w:rsidRDefault="009C4E35" w:rsidP="009C4E35">
            <w:pPr>
              <w:jc w:val="both"/>
              <w:rPr>
                <w:rFonts w:ascii="Times New Roman" w:hAnsi="Times New Roman" w:cs="Times New Roman"/>
                <w:b/>
                <w:sz w:val="24"/>
                <w:szCs w:val="24"/>
              </w:rPr>
            </w:pPr>
            <w:r w:rsidRPr="00E11F6B">
              <w:rPr>
                <w:rFonts w:ascii="Times New Roman" w:hAnsi="Times New Roman" w:cs="Times New Roman"/>
                <w:b/>
                <w:sz w:val="24"/>
                <w:szCs w:val="24"/>
              </w:rPr>
              <w:t xml:space="preserve">Uwaga została </w:t>
            </w:r>
            <w:r w:rsidR="003E5E1F" w:rsidRPr="00E11F6B">
              <w:rPr>
                <w:rFonts w:ascii="Times New Roman" w:hAnsi="Times New Roman" w:cs="Times New Roman"/>
                <w:b/>
                <w:sz w:val="24"/>
                <w:szCs w:val="24"/>
              </w:rPr>
              <w:t>kierunkowo uwzględniona.</w:t>
            </w:r>
          </w:p>
          <w:p w:rsidR="009C4E35" w:rsidRPr="009C4E35" w:rsidRDefault="009C4E35" w:rsidP="009C4E35">
            <w:pPr>
              <w:jc w:val="both"/>
              <w:rPr>
                <w:rFonts w:ascii="Times New Roman" w:hAnsi="Times New Roman" w:cs="Times New Roman"/>
                <w:sz w:val="24"/>
                <w:szCs w:val="24"/>
              </w:rPr>
            </w:pPr>
            <w:r w:rsidRPr="009C4E35">
              <w:rPr>
                <w:rFonts w:ascii="Times New Roman" w:hAnsi="Times New Roman" w:cs="Times New Roman"/>
                <w:sz w:val="24"/>
                <w:szCs w:val="24"/>
              </w:rPr>
              <w:t>Należy  zaznaczyć, iż wobec już istniejących</w:t>
            </w:r>
            <w:r>
              <w:rPr>
                <w:rFonts w:ascii="Times New Roman" w:hAnsi="Times New Roman" w:cs="Times New Roman"/>
                <w:sz w:val="24"/>
                <w:szCs w:val="24"/>
              </w:rPr>
              <w:t xml:space="preserve"> elektrowni szczytowo-pompowych </w:t>
            </w:r>
            <w:r w:rsidRPr="009C4E35">
              <w:rPr>
                <w:rFonts w:ascii="Times New Roman" w:hAnsi="Times New Roman" w:cs="Times New Roman"/>
                <w:sz w:val="24"/>
                <w:szCs w:val="24"/>
              </w:rPr>
              <w:t xml:space="preserve">zastosowanie ma przepis art. </w:t>
            </w:r>
            <w:r>
              <w:rPr>
                <w:rFonts w:ascii="Times New Roman" w:hAnsi="Times New Roman" w:cs="Times New Roman"/>
                <w:sz w:val="24"/>
                <w:szCs w:val="24"/>
              </w:rPr>
              <w:t xml:space="preserve">9 ust. 1 (przepis przejściowy) </w:t>
            </w:r>
            <w:r w:rsidRPr="009C4E35">
              <w:rPr>
                <w:rFonts w:ascii="Times New Roman" w:hAnsi="Times New Roman" w:cs="Times New Roman"/>
                <w:sz w:val="24"/>
                <w:szCs w:val="24"/>
              </w:rPr>
              <w:t xml:space="preserve">(art.  9  ust.  1.  Podmiot  prowadzący,  w </w:t>
            </w:r>
            <w:r>
              <w:rPr>
                <w:rFonts w:ascii="Times New Roman" w:hAnsi="Times New Roman" w:cs="Times New Roman"/>
                <w:sz w:val="24"/>
                <w:szCs w:val="24"/>
              </w:rPr>
              <w:t xml:space="preserve"> dniu  wejścia  w życie ustawy, </w:t>
            </w:r>
            <w:r w:rsidRPr="009C4E35">
              <w:rPr>
                <w:rFonts w:ascii="Times New Roman" w:hAnsi="Times New Roman" w:cs="Times New Roman"/>
                <w:sz w:val="24"/>
                <w:szCs w:val="24"/>
              </w:rPr>
              <w:t>działalność  gospodarczą  w  zakresie  magaz</w:t>
            </w:r>
            <w:r>
              <w:rPr>
                <w:rFonts w:ascii="Times New Roman" w:hAnsi="Times New Roman" w:cs="Times New Roman"/>
                <w:sz w:val="24"/>
                <w:szCs w:val="24"/>
              </w:rPr>
              <w:t xml:space="preserve">ynowania energii elektrycznej o </w:t>
            </w:r>
            <w:r w:rsidRPr="009C4E35">
              <w:rPr>
                <w:rFonts w:ascii="Times New Roman" w:hAnsi="Times New Roman" w:cs="Times New Roman"/>
                <w:sz w:val="24"/>
                <w:szCs w:val="24"/>
              </w:rPr>
              <w:t>łącznej  mocy  zainstalowanej  elektrycznej wyższej niż 10 MW, w rozumieniu</w:t>
            </w:r>
          </w:p>
          <w:p w:rsidR="009C4E35" w:rsidRPr="009C4E35" w:rsidRDefault="009C4E35" w:rsidP="009C4E35">
            <w:pPr>
              <w:jc w:val="both"/>
              <w:rPr>
                <w:rFonts w:ascii="Times New Roman" w:hAnsi="Times New Roman" w:cs="Times New Roman"/>
                <w:sz w:val="24"/>
                <w:szCs w:val="24"/>
              </w:rPr>
            </w:pPr>
            <w:r w:rsidRPr="009C4E35">
              <w:rPr>
                <w:rFonts w:ascii="Times New Roman" w:hAnsi="Times New Roman" w:cs="Times New Roman"/>
                <w:sz w:val="24"/>
                <w:szCs w:val="24"/>
              </w:rPr>
              <w:t>ustawy  zmienianej  w  art.  1,  w brzmieniu</w:t>
            </w:r>
            <w:r>
              <w:rPr>
                <w:rFonts w:ascii="Times New Roman" w:hAnsi="Times New Roman" w:cs="Times New Roman"/>
                <w:sz w:val="24"/>
                <w:szCs w:val="24"/>
              </w:rPr>
              <w:t xml:space="preserve"> nadanym niniejszą ustawą, może </w:t>
            </w:r>
            <w:r w:rsidRPr="009C4E35">
              <w:rPr>
                <w:rFonts w:ascii="Times New Roman" w:hAnsi="Times New Roman" w:cs="Times New Roman"/>
                <w:sz w:val="24"/>
                <w:szCs w:val="24"/>
              </w:rPr>
              <w:t xml:space="preserve">wykonywać   działalność   gospodarczą   w  </w:t>
            </w:r>
            <w:r w:rsidRPr="009C4E35">
              <w:rPr>
                <w:rFonts w:ascii="Times New Roman" w:hAnsi="Times New Roman" w:cs="Times New Roman"/>
                <w:sz w:val="24"/>
                <w:szCs w:val="24"/>
              </w:rPr>
              <w:lastRenderedPageBreak/>
              <w:t>z</w:t>
            </w:r>
            <w:r>
              <w:rPr>
                <w:rFonts w:ascii="Times New Roman" w:hAnsi="Times New Roman" w:cs="Times New Roman"/>
                <w:sz w:val="24"/>
                <w:szCs w:val="24"/>
              </w:rPr>
              <w:t xml:space="preserve">akresie  magazynowania  energii </w:t>
            </w:r>
            <w:r w:rsidRPr="009C4E35">
              <w:rPr>
                <w:rFonts w:ascii="Times New Roman" w:hAnsi="Times New Roman" w:cs="Times New Roman"/>
                <w:sz w:val="24"/>
                <w:szCs w:val="24"/>
              </w:rPr>
              <w:t>elektrycznej   na  dotychczasowych  zasadach  jeżeli  posiada  koncesję  na</w:t>
            </w:r>
          </w:p>
          <w:p w:rsidR="009C4E35" w:rsidRPr="009C4E35" w:rsidRDefault="009C4E35" w:rsidP="009C4E35">
            <w:pPr>
              <w:jc w:val="both"/>
              <w:rPr>
                <w:rFonts w:ascii="Times New Roman" w:hAnsi="Times New Roman" w:cs="Times New Roman"/>
                <w:sz w:val="24"/>
                <w:szCs w:val="24"/>
              </w:rPr>
            </w:pPr>
            <w:r w:rsidRPr="009C4E35">
              <w:rPr>
                <w:rFonts w:ascii="Times New Roman" w:hAnsi="Times New Roman" w:cs="Times New Roman"/>
                <w:sz w:val="24"/>
                <w:szCs w:val="24"/>
              </w:rPr>
              <w:t>wytw</w:t>
            </w:r>
            <w:r w:rsidR="003E5E1F">
              <w:rPr>
                <w:rFonts w:ascii="Times New Roman" w:hAnsi="Times New Roman" w:cs="Times New Roman"/>
                <w:sz w:val="24"/>
                <w:szCs w:val="24"/>
              </w:rPr>
              <w:t>arzanie energii elektrycznej.).</w:t>
            </w:r>
          </w:p>
          <w:p w:rsidR="009C4E35" w:rsidRDefault="009C4E35" w:rsidP="009C4E35">
            <w:pPr>
              <w:jc w:val="both"/>
              <w:rPr>
                <w:rFonts w:ascii="Times New Roman" w:hAnsi="Times New Roman" w:cs="Times New Roman"/>
                <w:sz w:val="24"/>
                <w:szCs w:val="24"/>
              </w:rPr>
            </w:pPr>
            <w:r w:rsidRPr="009C4E35">
              <w:rPr>
                <w:rFonts w:ascii="Times New Roman" w:hAnsi="Times New Roman" w:cs="Times New Roman"/>
                <w:sz w:val="24"/>
                <w:szCs w:val="24"/>
              </w:rPr>
              <w:t>Dodatkowo, uwzględniając kierunkowo uwag</w:t>
            </w:r>
            <w:r>
              <w:rPr>
                <w:rFonts w:ascii="Times New Roman" w:hAnsi="Times New Roman" w:cs="Times New Roman"/>
                <w:sz w:val="24"/>
                <w:szCs w:val="24"/>
              </w:rPr>
              <w:t xml:space="preserve">ę MAP, ze względu na istniejący </w:t>
            </w:r>
            <w:r w:rsidRPr="009C4E35">
              <w:rPr>
                <w:rFonts w:ascii="Times New Roman" w:hAnsi="Times New Roman" w:cs="Times New Roman"/>
                <w:sz w:val="24"/>
                <w:szCs w:val="24"/>
              </w:rPr>
              <w:t>upływ czasu w stosunku do opracowania projek</w:t>
            </w:r>
            <w:r>
              <w:rPr>
                <w:rFonts w:ascii="Times New Roman" w:hAnsi="Times New Roman" w:cs="Times New Roman"/>
                <w:sz w:val="24"/>
                <w:szCs w:val="24"/>
              </w:rPr>
              <w:t xml:space="preserve">tu, dokonuje się zmiany terminu </w:t>
            </w:r>
            <w:r w:rsidRPr="009C4E35">
              <w:rPr>
                <w:rFonts w:ascii="Times New Roman" w:hAnsi="Times New Roman" w:cs="Times New Roman"/>
                <w:sz w:val="24"/>
                <w:szCs w:val="24"/>
              </w:rPr>
              <w:t>w ust. 2 na 30 czerwca 2021 r.</w:t>
            </w:r>
          </w:p>
          <w:p w:rsidR="00087667" w:rsidRPr="00DB2B9B" w:rsidRDefault="00087667" w:rsidP="00E11F6B">
            <w:pPr>
              <w:jc w:val="both"/>
              <w:rPr>
                <w:rFonts w:ascii="Times New Roman" w:hAnsi="Times New Roman" w:cs="Times New Roman"/>
                <w:sz w:val="24"/>
                <w:szCs w:val="24"/>
              </w:rPr>
            </w:pPr>
          </w:p>
        </w:tc>
      </w:tr>
      <w:tr w:rsidR="00553938" w:rsidRPr="00DB2B9B" w:rsidTr="003321EA">
        <w:trPr>
          <w:trHeight w:val="1745"/>
        </w:trPr>
        <w:tc>
          <w:tcPr>
            <w:tcW w:w="630" w:type="dxa"/>
          </w:tcPr>
          <w:p w:rsidR="00553938" w:rsidRPr="00DB2B9B" w:rsidRDefault="004B1D44" w:rsidP="00553938">
            <w:pPr>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1043" w:type="dxa"/>
          </w:tcPr>
          <w:p w:rsidR="00553938" w:rsidRPr="00553938" w:rsidRDefault="00553938" w:rsidP="00553938">
            <w:pPr>
              <w:rPr>
                <w:rFonts w:ascii="Times New Roman" w:hAnsi="Times New Roman" w:cs="Times New Roman"/>
              </w:rPr>
            </w:pPr>
            <w:r w:rsidRPr="00553938">
              <w:rPr>
                <w:rFonts w:ascii="Times New Roman" w:hAnsi="Times New Roman" w:cs="Times New Roman"/>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9.</w:t>
            </w:r>
            <w:r w:rsidRPr="00DE1863">
              <w:rPr>
                <w:rFonts w:ascii="Times New Roman" w:hAnsi="Times New Roman" w:cs="Times New Roman"/>
                <w:sz w:val="24"/>
                <w:szCs w:val="24"/>
              </w:rPr>
              <w:tab/>
              <w:t>Art. 1 pkt 33 – zmiana art. 32 ust. 1 uPE, zmiana pkt 2 lit d</w:t>
            </w:r>
          </w:p>
          <w:p w:rsidR="00553938"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 przepisie dodaje się po lit. c lit d – f przy czym w projekcie dodaje się jedynie lit d i e, wymaga to zatem stosownej korekty i doszczegółowienia, jest to zatem uwaga o charakterze stricte redakcyjnym.</w:t>
            </w:r>
          </w:p>
        </w:tc>
        <w:tc>
          <w:tcPr>
            <w:tcW w:w="6344" w:type="dxa"/>
          </w:tcPr>
          <w:p w:rsidR="00F77F26" w:rsidRPr="00F77F26" w:rsidRDefault="00F77F26" w:rsidP="00553938">
            <w:pPr>
              <w:jc w:val="both"/>
              <w:rPr>
                <w:rFonts w:ascii="Times New Roman" w:hAnsi="Times New Roman" w:cs="Times New Roman"/>
                <w:b/>
                <w:sz w:val="24"/>
                <w:szCs w:val="24"/>
              </w:rPr>
            </w:pPr>
            <w:r w:rsidRPr="00F77F26">
              <w:rPr>
                <w:rFonts w:ascii="Times New Roman" w:hAnsi="Times New Roman" w:cs="Times New Roman"/>
                <w:b/>
                <w:sz w:val="24"/>
                <w:szCs w:val="24"/>
              </w:rPr>
              <w:t>Uwaga jest o charakterze legislacyjnym i nieeuropejskim.</w:t>
            </w:r>
          </w:p>
          <w:p w:rsidR="00553938" w:rsidRDefault="00E60ED4" w:rsidP="00553938">
            <w:pPr>
              <w:jc w:val="both"/>
              <w:rPr>
                <w:rFonts w:ascii="Times New Roman" w:hAnsi="Times New Roman" w:cs="Times New Roman"/>
                <w:sz w:val="24"/>
                <w:szCs w:val="24"/>
              </w:rPr>
            </w:pPr>
            <w:r w:rsidRPr="00F77F26">
              <w:rPr>
                <w:rFonts w:ascii="Times New Roman" w:hAnsi="Times New Roman" w:cs="Times New Roman"/>
                <w:b/>
                <w:sz w:val="24"/>
                <w:szCs w:val="24"/>
              </w:rPr>
              <w:t xml:space="preserve">Uwaga </w:t>
            </w:r>
            <w:r w:rsidR="003E5E1F" w:rsidRPr="00F77F26">
              <w:rPr>
                <w:rFonts w:ascii="Times New Roman" w:hAnsi="Times New Roman" w:cs="Times New Roman"/>
                <w:b/>
                <w:sz w:val="24"/>
                <w:szCs w:val="24"/>
              </w:rPr>
              <w:t>została uwzględniona</w:t>
            </w:r>
            <w:r w:rsidR="003E5E1F">
              <w:rPr>
                <w:rFonts w:ascii="Times New Roman" w:hAnsi="Times New Roman" w:cs="Times New Roman"/>
                <w:sz w:val="24"/>
                <w:szCs w:val="24"/>
              </w:rPr>
              <w:t xml:space="preserve"> poprzez poprawienie numeracji przepisu.</w:t>
            </w:r>
          </w:p>
          <w:p w:rsidR="00BF6B8D" w:rsidRPr="00DB2B9B" w:rsidRDefault="00BF6B8D" w:rsidP="00553938">
            <w:pPr>
              <w:jc w:val="both"/>
              <w:rPr>
                <w:rFonts w:ascii="Times New Roman" w:hAnsi="Times New Roman" w:cs="Times New Roman"/>
                <w:sz w:val="24"/>
                <w:szCs w:val="24"/>
              </w:rPr>
            </w:pP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17</w:t>
            </w:r>
          </w:p>
        </w:tc>
        <w:tc>
          <w:tcPr>
            <w:tcW w:w="1043" w:type="dxa"/>
          </w:tcPr>
          <w:p w:rsidR="00641F71" w:rsidRPr="00DB2B9B" w:rsidRDefault="00DE1863" w:rsidP="00B06E69">
            <w:pPr>
              <w:jc w:val="both"/>
              <w:rPr>
                <w:rFonts w:ascii="Times New Roman" w:hAnsi="Times New Roman" w:cs="Times New Roman"/>
                <w:sz w:val="24"/>
                <w:szCs w:val="24"/>
              </w:rPr>
            </w:pPr>
            <w:r>
              <w:rPr>
                <w:rFonts w:ascii="Times New Roman" w:hAnsi="Times New Roman" w:cs="Times New Roman"/>
                <w:sz w:val="24"/>
                <w:szCs w:val="24"/>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10.</w:t>
            </w:r>
            <w:r w:rsidRPr="00DE1863">
              <w:rPr>
                <w:rFonts w:ascii="Times New Roman" w:hAnsi="Times New Roman" w:cs="Times New Roman"/>
                <w:sz w:val="24"/>
                <w:szCs w:val="24"/>
              </w:rPr>
              <w:tab/>
              <w:t xml:space="preserve">Art. 1 pkt 43 – zmiana art. 40  </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 art. 40 ust. 3 zdanie drugie projektu nie jest prawidłowe wskazanie, że przedsiębiorstwo ma prowadzić działalność w sposób zapewniający pokrycie wyłączenie kosztów uzasadnionych. Regulacja powinna odnosić się do tego, jaki jest poziom strat, które Skarb Państwa zobowiązany jest pokryć. Zatem w odniesieniu do działalności nie podlegającej taryfikacji w zdaniu drugim powinno być odwołanie do odpowiedniego stosowania zdania pierwszego. Przepis wymaga doprecyzowania.</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lastRenderedPageBreak/>
              <w:t>W art. 40 ust. 4 projektu zatwierdzenie kosztów powinno następować decyzją administracyjną, tak aby przedsiębiorstwo energetyczne miało możliwość kwestionowania treści rozstrzygnięcia Prezesa URE. Przepis wymaga doprecyzowania.</w:t>
            </w:r>
          </w:p>
        </w:tc>
        <w:tc>
          <w:tcPr>
            <w:tcW w:w="6344" w:type="dxa"/>
          </w:tcPr>
          <w:p w:rsidR="00F77F26" w:rsidRPr="00F77F26" w:rsidRDefault="00F77F26" w:rsidP="00466809">
            <w:pPr>
              <w:jc w:val="both"/>
              <w:rPr>
                <w:rFonts w:ascii="Times New Roman" w:hAnsi="Times New Roman" w:cs="Times New Roman"/>
                <w:b/>
                <w:sz w:val="24"/>
                <w:szCs w:val="24"/>
              </w:rPr>
            </w:pPr>
            <w:r w:rsidRPr="00F77F26">
              <w:rPr>
                <w:rFonts w:ascii="Times New Roman" w:hAnsi="Times New Roman" w:cs="Times New Roman"/>
                <w:b/>
                <w:sz w:val="24"/>
                <w:szCs w:val="24"/>
              </w:rPr>
              <w:lastRenderedPageBreak/>
              <w:t>Uwaga jest o charakterze nieeuropejskim.</w:t>
            </w:r>
          </w:p>
          <w:p w:rsidR="003E5E1F" w:rsidRPr="00F77F26" w:rsidRDefault="003E5E1F" w:rsidP="00466809">
            <w:pPr>
              <w:jc w:val="both"/>
              <w:rPr>
                <w:rFonts w:ascii="Times New Roman" w:hAnsi="Times New Roman" w:cs="Times New Roman"/>
                <w:b/>
                <w:sz w:val="24"/>
                <w:szCs w:val="24"/>
              </w:rPr>
            </w:pPr>
            <w:r w:rsidRPr="00F77F26">
              <w:rPr>
                <w:rFonts w:ascii="Times New Roman" w:hAnsi="Times New Roman" w:cs="Times New Roman"/>
                <w:b/>
                <w:sz w:val="24"/>
                <w:szCs w:val="24"/>
              </w:rPr>
              <w:t>Uwaga została uwzględniona i wyjaśniona.</w:t>
            </w:r>
          </w:p>
          <w:p w:rsidR="001F65E4" w:rsidRDefault="009178A5" w:rsidP="00466809">
            <w:pPr>
              <w:jc w:val="both"/>
              <w:rPr>
                <w:rFonts w:ascii="Times New Roman" w:hAnsi="Times New Roman" w:cs="Times New Roman"/>
                <w:sz w:val="24"/>
                <w:szCs w:val="24"/>
              </w:rPr>
            </w:pPr>
            <w:r>
              <w:rPr>
                <w:rFonts w:ascii="Times New Roman" w:hAnsi="Times New Roman" w:cs="Times New Roman"/>
                <w:sz w:val="24"/>
                <w:szCs w:val="24"/>
              </w:rPr>
              <w:t>Z</w:t>
            </w:r>
            <w:r w:rsidR="001F65E4">
              <w:rPr>
                <w:rFonts w:ascii="Times New Roman" w:hAnsi="Times New Roman" w:cs="Times New Roman"/>
                <w:sz w:val="24"/>
                <w:szCs w:val="24"/>
              </w:rPr>
              <w:t>rezygnowano ze zmiany przedmiotowego przepisu stąd</w:t>
            </w:r>
            <w:r w:rsidR="003E5E1F">
              <w:rPr>
                <w:rFonts w:ascii="Times New Roman" w:hAnsi="Times New Roman" w:cs="Times New Roman"/>
                <w:sz w:val="24"/>
                <w:szCs w:val="24"/>
              </w:rPr>
              <w:t xml:space="preserve"> uwaga pozostaje</w:t>
            </w:r>
            <w:r w:rsidR="001F65E4">
              <w:rPr>
                <w:rFonts w:ascii="Times New Roman" w:hAnsi="Times New Roman" w:cs="Times New Roman"/>
                <w:sz w:val="24"/>
                <w:szCs w:val="24"/>
              </w:rPr>
              <w:t xml:space="preserve"> nieaktualna.</w:t>
            </w:r>
          </w:p>
          <w:p w:rsidR="00087667" w:rsidRPr="00DB2B9B" w:rsidRDefault="00087667" w:rsidP="009178A5">
            <w:pPr>
              <w:jc w:val="both"/>
              <w:rPr>
                <w:rFonts w:ascii="Times New Roman" w:hAnsi="Times New Roman" w:cs="Times New Roman"/>
                <w:sz w:val="24"/>
                <w:szCs w:val="24"/>
              </w:rPr>
            </w:pP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18</w:t>
            </w:r>
          </w:p>
        </w:tc>
        <w:tc>
          <w:tcPr>
            <w:tcW w:w="1043" w:type="dxa"/>
          </w:tcPr>
          <w:p w:rsidR="00641F71" w:rsidRPr="00DB2B9B" w:rsidRDefault="00DE1863" w:rsidP="00B06E69">
            <w:pPr>
              <w:jc w:val="both"/>
              <w:rPr>
                <w:rFonts w:ascii="Times New Roman" w:hAnsi="Times New Roman" w:cs="Times New Roman"/>
                <w:sz w:val="24"/>
                <w:szCs w:val="24"/>
              </w:rPr>
            </w:pPr>
            <w:r>
              <w:rPr>
                <w:rFonts w:ascii="Times New Roman" w:hAnsi="Times New Roman" w:cs="Times New Roman"/>
                <w:sz w:val="24"/>
                <w:szCs w:val="24"/>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11.</w:t>
            </w:r>
            <w:r w:rsidRPr="00DE1863">
              <w:rPr>
                <w:rFonts w:ascii="Times New Roman" w:hAnsi="Times New Roman" w:cs="Times New Roman"/>
                <w:sz w:val="24"/>
                <w:szCs w:val="24"/>
              </w:rPr>
              <w:tab/>
              <w:t>Art. 1 pkt 47 lit. c) – zmiany w art. 45</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Kwestia zwolnienia magazynów z opłat dystrybucyjnych i przesyłowych w zakresie energii magazynowanej jest przesądzająca dla możliwości ich funkcjonowania i rozwoju. Zatem propozycja, aby w przepisach ustawy – PE wprowadzić odpowiednie regulacje w tym zakresie jest w pełni uzasadniona. Słuszny jest też kierunek wprowadzonych rozwiązań (ograniczenie opłat dystrybucyjnych dla magazynów). Natomiast szczegóły zaproponowanych zapisów budzą pewne wątpliwości:</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a)</w:t>
            </w:r>
            <w:r w:rsidRPr="00DE1863">
              <w:rPr>
                <w:rFonts w:ascii="Times New Roman" w:hAnsi="Times New Roman" w:cs="Times New Roman"/>
                <w:sz w:val="24"/>
                <w:szCs w:val="24"/>
              </w:rPr>
              <w:tab/>
              <w:t xml:space="preserve">ust. 9 odnosi się do regulacji, jakie powinny zawierać taryfy przedsiębiorstw sieciowych, natomiast ust. 10 i 11  – do rozliczeń za usługi przesyłania i dystrybucji. Wydaje się, </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że kwestia ta powinna być ujednolicona. Z zapisów powinno jasno wynikać, że taryfy będą zawierać odpowiednie postanowienia, stosowane następnie w rozliczeniach z przedsiębiorstwem energetycznym prowadzącym działalność w zakresie magazynowania;</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b)</w:t>
            </w:r>
            <w:r w:rsidRPr="00DE1863">
              <w:rPr>
                <w:rFonts w:ascii="Times New Roman" w:hAnsi="Times New Roman" w:cs="Times New Roman"/>
                <w:sz w:val="24"/>
                <w:szCs w:val="24"/>
              </w:rPr>
              <w:tab/>
              <w:t xml:space="preserve">ust. 10 również jest niejasny i wymaga doprecyzowania. Jasnym jest, że o ile ust. 9 odnosi się do opłat zmiennych za dystrybucję/przesył (dzisiejsza opłata sieciowa zmienna), o tyle ust. 10 – do opłat stałych (opłata sieciowa stała). Magazyny nie powinny być jednak obciążone opłatą stałą w zakresie energii ponownie wprowadzonej do sieci. Wydaje się, że taka jest intencja projektodawcy, jednak brzmienie ust. 10 powinno być w tym zakresie bardziej klarowne. Z zapisu powinno jasno </w:t>
            </w:r>
            <w:r w:rsidRPr="00DE1863">
              <w:rPr>
                <w:rFonts w:ascii="Times New Roman" w:hAnsi="Times New Roman" w:cs="Times New Roman"/>
                <w:sz w:val="24"/>
                <w:szCs w:val="24"/>
              </w:rPr>
              <w:lastRenderedPageBreak/>
              <w:t>wynikać, że: (i) tylko część zamówionej mocy umownej podlega opłacie; oraz (ii) jaka część mocy z opłaty zostaje zwolniona. Propozycja MAP jest następująca: „W rozliczeniach za świadczone usługi przesyłania lub dystrybucji energii elektrycznej w przypadku opłat, których wysokość uzależniona jest od mocy umownej magazynu energii, moc ta na potrzeby rozliczeń jest pomniejszana o iloczyn mocy umownej i współczynnika sprawności magazynu w okresie rozliczeniowym. Współczynnik sprawności oblicza się jako stosunek energii wprowadzonej do sieci do energii pobranej z sieci przez magazyn.”</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(przykład dla mocy umownej wynoszącej 10 i sprawności magazynu 0,7; do rozliczeń uwzględnia się moc 10 - (0,7 * 10) = 3 – wartość uwzględniana w rozliczeniach) </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c)</w:t>
            </w:r>
            <w:r w:rsidRPr="00DE1863">
              <w:rPr>
                <w:rFonts w:ascii="Times New Roman" w:hAnsi="Times New Roman" w:cs="Times New Roman"/>
                <w:sz w:val="24"/>
                <w:szCs w:val="24"/>
              </w:rPr>
              <w:tab/>
              <w:t xml:space="preserve">Nie jest również klarowne brzmienie przepisu stanowiącego, że w rozliczeniach „uwzględnia się łączną (łączną z czym?) moc zainstalowaną elektryczną magazynu energii elektrycznej”. Czy zapis ten należy rozumieć, jako podstawę do uwzględnienia po stronie odbioru mocy magazynu w całkowitej mocy umownej jednostki wytwórczej i obciążenie jej również w tej części stałą opłatą sieciową? Jeśli tak, to w ocenie MAP jest to podejście błędne i w sposób nieuzasadniony dyskryminujące magazyny zintegrowane z jednostkami wytwórczymi. Wadliwość tego rozwiązania widoczna byłaby w szczególności </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 przypadkach, w których moc instalacji magazynowej byłaby znacząca (w stosunku do mocy jednostki wytwórczej). W zakresie magazynów powiązanych z jednostką wytwórczą (ust. 11) odpowiednie zastosowanie powinien znaleźć nie tylko ust. 9, ale również i ust. 10.</w:t>
            </w:r>
          </w:p>
        </w:tc>
        <w:tc>
          <w:tcPr>
            <w:tcW w:w="6344" w:type="dxa"/>
          </w:tcPr>
          <w:p w:rsidR="0073123E" w:rsidRPr="00F77F26" w:rsidRDefault="00F77F26" w:rsidP="0073123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Uwagi są </w:t>
            </w:r>
            <w:r w:rsidRPr="00F77F26">
              <w:rPr>
                <w:rFonts w:ascii="Times New Roman" w:hAnsi="Times New Roman" w:cs="Times New Roman"/>
                <w:b/>
                <w:sz w:val="24"/>
                <w:szCs w:val="24"/>
              </w:rPr>
              <w:t>o charakterze nieeuropejskim.</w:t>
            </w:r>
          </w:p>
          <w:p w:rsidR="00F77F26" w:rsidRPr="00F77F26" w:rsidRDefault="00F77F26" w:rsidP="0073123E">
            <w:pPr>
              <w:jc w:val="both"/>
              <w:rPr>
                <w:rFonts w:ascii="Times New Roman" w:hAnsi="Times New Roman" w:cs="Times New Roman"/>
                <w:b/>
                <w:sz w:val="24"/>
                <w:szCs w:val="24"/>
              </w:rPr>
            </w:pPr>
            <w:r w:rsidRPr="00F77F26">
              <w:rPr>
                <w:rFonts w:ascii="Times New Roman" w:hAnsi="Times New Roman" w:cs="Times New Roman"/>
                <w:b/>
                <w:sz w:val="24"/>
                <w:szCs w:val="24"/>
              </w:rPr>
              <w:t>Uwaga została uwzględniona.</w:t>
            </w:r>
          </w:p>
          <w:p w:rsidR="0073123E" w:rsidRPr="0073123E" w:rsidRDefault="0073123E" w:rsidP="0073123E">
            <w:pPr>
              <w:jc w:val="both"/>
              <w:rPr>
                <w:rFonts w:ascii="Times New Roman" w:hAnsi="Times New Roman" w:cs="Times New Roman"/>
                <w:sz w:val="24"/>
                <w:szCs w:val="24"/>
              </w:rPr>
            </w:pPr>
            <w:r w:rsidRPr="0073123E">
              <w:rPr>
                <w:rFonts w:ascii="Times New Roman" w:hAnsi="Times New Roman" w:cs="Times New Roman"/>
                <w:sz w:val="24"/>
                <w:szCs w:val="24"/>
              </w:rPr>
              <w:t>Przyjmuję się następujące nowe brzmienie przepisów ust. 9 i 10:</w:t>
            </w:r>
          </w:p>
          <w:p w:rsidR="0073123E" w:rsidRPr="0073123E" w:rsidRDefault="0073123E" w:rsidP="0073123E">
            <w:pPr>
              <w:jc w:val="both"/>
              <w:rPr>
                <w:rFonts w:ascii="Times New Roman" w:hAnsi="Times New Roman" w:cs="Times New Roman"/>
                <w:sz w:val="24"/>
                <w:szCs w:val="24"/>
              </w:rPr>
            </w:pPr>
          </w:p>
          <w:p w:rsidR="00716F8E" w:rsidRPr="002D58BE" w:rsidRDefault="0073123E" w:rsidP="00716F8E">
            <w:pPr>
              <w:jc w:val="both"/>
              <w:rPr>
                <w:rFonts w:ascii="Times New Roman" w:hAnsi="Times New Roman" w:cs="Times New Roman"/>
                <w:i/>
                <w:sz w:val="24"/>
                <w:szCs w:val="24"/>
              </w:rPr>
            </w:pPr>
            <w:r w:rsidRPr="002D58BE">
              <w:rPr>
                <w:rFonts w:ascii="Times New Roman" w:hAnsi="Times New Roman" w:cs="Times New Roman"/>
                <w:i/>
                <w:sz w:val="24"/>
                <w:szCs w:val="24"/>
              </w:rPr>
              <w:t>„</w:t>
            </w:r>
            <w:r w:rsidR="00716F8E" w:rsidRPr="002D58BE">
              <w:rPr>
                <w:rFonts w:ascii="Times New Roman" w:hAnsi="Times New Roman" w:cs="Times New Roman"/>
                <w:i/>
                <w:sz w:val="24"/>
                <w:szCs w:val="24"/>
              </w:rPr>
              <w:t>9. W rozliczeniach za świadczone usługi przesyłania lub dystrybucji energii elektrycznej w zakresie opłat za energię elektryczną pobraną z sieci elektroenergetycznej przez magazyn energii elektrycznej, przedmiotem rozliczenia jest różnica energii elektrycznej pobranej z sieci</w:t>
            </w:r>
            <w:r w:rsidR="00264B00" w:rsidRPr="002D58BE">
              <w:rPr>
                <w:rFonts w:ascii="Times New Roman" w:hAnsi="Times New Roman" w:cs="Times New Roman"/>
                <w:i/>
                <w:sz w:val="24"/>
                <w:szCs w:val="24"/>
              </w:rPr>
              <w:t xml:space="preserve"> przez magazyn energii elektrycznej</w:t>
            </w:r>
            <w:r w:rsidR="00716F8E" w:rsidRPr="002D58BE">
              <w:rPr>
                <w:rFonts w:ascii="Times New Roman" w:hAnsi="Times New Roman" w:cs="Times New Roman"/>
                <w:i/>
                <w:sz w:val="24"/>
                <w:szCs w:val="24"/>
              </w:rPr>
              <w:t xml:space="preserve"> i </w:t>
            </w:r>
            <w:r w:rsidR="00264B00" w:rsidRPr="002D58BE">
              <w:rPr>
                <w:rFonts w:ascii="Times New Roman" w:hAnsi="Times New Roman" w:cs="Times New Roman"/>
                <w:i/>
                <w:sz w:val="24"/>
                <w:szCs w:val="24"/>
              </w:rPr>
              <w:t xml:space="preserve">energii elektrycznej </w:t>
            </w:r>
            <w:r w:rsidR="00716F8E" w:rsidRPr="002D58BE">
              <w:rPr>
                <w:rFonts w:ascii="Times New Roman" w:hAnsi="Times New Roman" w:cs="Times New Roman"/>
                <w:i/>
                <w:sz w:val="24"/>
                <w:szCs w:val="24"/>
              </w:rPr>
              <w:t>wprowadzonej do sieci przez ten magazyn</w:t>
            </w:r>
            <w:r w:rsidR="00C802A6" w:rsidRPr="002D58BE">
              <w:rPr>
                <w:rFonts w:ascii="Times New Roman" w:hAnsi="Times New Roman" w:cs="Times New Roman"/>
                <w:i/>
                <w:sz w:val="24"/>
                <w:szCs w:val="24"/>
              </w:rPr>
              <w:t xml:space="preserve"> w danym okresie rozliczeniowym</w:t>
            </w:r>
            <w:r w:rsidR="00716F8E" w:rsidRPr="002D58BE">
              <w:rPr>
                <w:rFonts w:ascii="Times New Roman" w:hAnsi="Times New Roman" w:cs="Times New Roman"/>
                <w:i/>
                <w:sz w:val="24"/>
                <w:szCs w:val="24"/>
              </w:rPr>
              <w:t>.</w:t>
            </w:r>
          </w:p>
          <w:p w:rsidR="00716F8E" w:rsidRPr="002D58BE" w:rsidRDefault="00716F8E" w:rsidP="00716F8E">
            <w:pPr>
              <w:jc w:val="both"/>
              <w:rPr>
                <w:rFonts w:ascii="Times New Roman" w:hAnsi="Times New Roman" w:cs="Times New Roman"/>
                <w:i/>
                <w:sz w:val="24"/>
                <w:szCs w:val="24"/>
              </w:rPr>
            </w:pPr>
          </w:p>
          <w:p w:rsidR="0073123E" w:rsidRPr="002D58BE" w:rsidRDefault="00716F8E" w:rsidP="0073123E">
            <w:pPr>
              <w:jc w:val="both"/>
              <w:rPr>
                <w:rFonts w:ascii="Times New Roman" w:hAnsi="Times New Roman" w:cs="Times New Roman"/>
                <w:i/>
                <w:sz w:val="24"/>
                <w:szCs w:val="24"/>
              </w:rPr>
            </w:pPr>
            <w:r w:rsidRPr="002D58BE">
              <w:rPr>
                <w:rFonts w:ascii="Times New Roman" w:hAnsi="Times New Roman" w:cs="Times New Roman"/>
                <w:i/>
                <w:sz w:val="24"/>
                <w:szCs w:val="24"/>
              </w:rPr>
              <w:t>10. W rozliczeniach za świadczone usługi przesyłania lub dystrybucji energii elektrycznej w zakresie opłat za moc umowną określoną dla magazynu energii elektrycznej, z wyłączeniem rozliczeń za przekroczenie mocy umownej, moc ta na potrzeby rozliczeń jest pomniejszana o iloczyn mocy umownej i współczynnika określonego przez stosunek energii</w:t>
            </w:r>
            <w:r w:rsidR="00264B00" w:rsidRPr="002D58BE">
              <w:rPr>
                <w:rFonts w:ascii="Times New Roman" w:hAnsi="Times New Roman" w:cs="Times New Roman"/>
                <w:i/>
                <w:sz w:val="24"/>
                <w:szCs w:val="24"/>
              </w:rPr>
              <w:t xml:space="preserve"> elektrycznej</w:t>
            </w:r>
            <w:r w:rsidRPr="002D58BE">
              <w:rPr>
                <w:rFonts w:ascii="Times New Roman" w:hAnsi="Times New Roman" w:cs="Times New Roman"/>
                <w:i/>
                <w:sz w:val="24"/>
                <w:szCs w:val="24"/>
              </w:rPr>
              <w:t xml:space="preserve"> wprowadzonej do sieci </w:t>
            </w:r>
            <w:r w:rsidR="00264B00" w:rsidRPr="002D58BE">
              <w:rPr>
                <w:rFonts w:ascii="Times New Roman" w:hAnsi="Times New Roman" w:cs="Times New Roman"/>
                <w:i/>
                <w:sz w:val="24"/>
                <w:szCs w:val="24"/>
              </w:rPr>
              <w:t xml:space="preserve">przez magazyn energii elektrycznej </w:t>
            </w:r>
            <w:r w:rsidRPr="002D58BE">
              <w:rPr>
                <w:rFonts w:ascii="Times New Roman" w:hAnsi="Times New Roman" w:cs="Times New Roman"/>
                <w:i/>
                <w:sz w:val="24"/>
                <w:szCs w:val="24"/>
              </w:rPr>
              <w:t xml:space="preserve">do energii </w:t>
            </w:r>
            <w:r w:rsidR="00264B00" w:rsidRPr="002D58BE">
              <w:rPr>
                <w:rFonts w:ascii="Times New Roman" w:hAnsi="Times New Roman" w:cs="Times New Roman"/>
                <w:i/>
                <w:sz w:val="24"/>
                <w:szCs w:val="24"/>
              </w:rPr>
              <w:t xml:space="preserve">elektrycznej </w:t>
            </w:r>
            <w:r w:rsidRPr="002D58BE">
              <w:rPr>
                <w:rFonts w:ascii="Times New Roman" w:hAnsi="Times New Roman" w:cs="Times New Roman"/>
                <w:i/>
                <w:sz w:val="24"/>
                <w:szCs w:val="24"/>
              </w:rPr>
              <w:t xml:space="preserve">pobranej z sieci przez </w:t>
            </w:r>
            <w:r w:rsidR="00264B00" w:rsidRPr="002D58BE">
              <w:rPr>
                <w:rFonts w:ascii="Times New Roman" w:hAnsi="Times New Roman" w:cs="Times New Roman"/>
                <w:i/>
                <w:sz w:val="24"/>
                <w:szCs w:val="24"/>
              </w:rPr>
              <w:t xml:space="preserve">ten </w:t>
            </w:r>
            <w:r w:rsidRPr="002D58BE">
              <w:rPr>
                <w:rFonts w:ascii="Times New Roman" w:hAnsi="Times New Roman" w:cs="Times New Roman"/>
                <w:i/>
                <w:sz w:val="24"/>
                <w:szCs w:val="24"/>
              </w:rPr>
              <w:t xml:space="preserve">magazyn w </w:t>
            </w:r>
            <w:r w:rsidR="00433478" w:rsidRPr="002D58BE">
              <w:rPr>
                <w:rFonts w:ascii="Times New Roman" w:hAnsi="Times New Roman" w:cs="Times New Roman"/>
                <w:i/>
                <w:sz w:val="24"/>
                <w:szCs w:val="24"/>
              </w:rPr>
              <w:t xml:space="preserve">danym </w:t>
            </w:r>
            <w:r w:rsidRPr="002D58BE">
              <w:rPr>
                <w:rFonts w:ascii="Times New Roman" w:hAnsi="Times New Roman" w:cs="Times New Roman"/>
                <w:i/>
                <w:sz w:val="24"/>
                <w:szCs w:val="24"/>
              </w:rPr>
              <w:t>okresie rozliczeniowym</w:t>
            </w:r>
            <w:r w:rsidR="0073123E" w:rsidRPr="002D58BE">
              <w:rPr>
                <w:rFonts w:ascii="Times New Roman" w:hAnsi="Times New Roman" w:cs="Times New Roman"/>
                <w:i/>
                <w:sz w:val="24"/>
                <w:szCs w:val="24"/>
              </w:rPr>
              <w:t>.”.</w:t>
            </w:r>
          </w:p>
          <w:p w:rsidR="0073123E" w:rsidRPr="0073123E" w:rsidRDefault="0073123E" w:rsidP="0073123E">
            <w:pPr>
              <w:jc w:val="both"/>
              <w:rPr>
                <w:rFonts w:ascii="Times New Roman" w:hAnsi="Times New Roman" w:cs="Times New Roman"/>
                <w:sz w:val="24"/>
                <w:szCs w:val="24"/>
              </w:rPr>
            </w:pPr>
          </w:p>
          <w:p w:rsidR="0073123E" w:rsidRPr="00F77F26" w:rsidRDefault="0073123E" w:rsidP="0073123E">
            <w:pPr>
              <w:jc w:val="both"/>
              <w:rPr>
                <w:rFonts w:ascii="Times New Roman" w:hAnsi="Times New Roman" w:cs="Times New Roman"/>
                <w:b/>
                <w:sz w:val="24"/>
                <w:szCs w:val="24"/>
              </w:rPr>
            </w:pPr>
            <w:r w:rsidRPr="00F77F26">
              <w:rPr>
                <w:rFonts w:ascii="Times New Roman" w:hAnsi="Times New Roman" w:cs="Times New Roman"/>
                <w:b/>
                <w:sz w:val="24"/>
                <w:szCs w:val="24"/>
              </w:rPr>
              <w:t>Uwaga uwzględniona z korektą</w:t>
            </w:r>
            <w:r w:rsidR="00233785" w:rsidRPr="00F77F26">
              <w:rPr>
                <w:rFonts w:ascii="Times New Roman" w:hAnsi="Times New Roman" w:cs="Times New Roman"/>
                <w:b/>
                <w:sz w:val="24"/>
                <w:szCs w:val="24"/>
              </w:rPr>
              <w:t>.</w:t>
            </w:r>
          </w:p>
          <w:p w:rsidR="0073123E" w:rsidRPr="0073123E" w:rsidRDefault="0073123E" w:rsidP="0073123E">
            <w:pPr>
              <w:jc w:val="both"/>
              <w:rPr>
                <w:rFonts w:ascii="Times New Roman" w:hAnsi="Times New Roman" w:cs="Times New Roman"/>
                <w:sz w:val="24"/>
                <w:szCs w:val="24"/>
              </w:rPr>
            </w:pPr>
            <w:r w:rsidRPr="0073123E">
              <w:rPr>
                <w:rFonts w:ascii="Times New Roman" w:hAnsi="Times New Roman" w:cs="Times New Roman"/>
                <w:sz w:val="24"/>
                <w:szCs w:val="24"/>
              </w:rPr>
              <w:t xml:space="preserve">Pojęcie „łącznej mocy zainstalowanej” jest powszechnie stosowane w ustawie i oznacza całkowitą moc zainstalowanych urządzeń, w tym przypadku magazynu energii elektrycznej.  </w:t>
            </w:r>
          </w:p>
          <w:p w:rsidR="0073123E" w:rsidRPr="0073123E" w:rsidRDefault="0073123E" w:rsidP="0073123E">
            <w:pPr>
              <w:jc w:val="both"/>
              <w:rPr>
                <w:rFonts w:ascii="Times New Roman" w:hAnsi="Times New Roman" w:cs="Times New Roman"/>
                <w:sz w:val="24"/>
                <w:szCs w:val="24"/>
              </w:rPr>
            </w:pPr>
          </w:p>
          <w:p w:rsidR="0073123E" w:rsidRPr="0073123E" w:rsidRDefault="0073123E" w:rsidP="0073123E">
            <w:pPr>
              <w:jc w:val="both"/>
              <w:rPr>
                <w:rFonts w:ascii="Times New Roman" w:hAnsi="Times New Roman" w:cs="Times New Roman"/>
                <w:sz w:val="24"/>
                <w:szCs w:val="24"/>
              </w:rPr>
            </w:pPr>
            <w:r w:rsidRPr="0073123E">
              <w:rPr>
                <w:rFonts w:ascii="Times New Roman" w:hAnsi="Times New Roman" w:cs="Times New Roman"/>
                <w:sz w:val="24"/>
                <w:szCs w:val="24"/>
              </w:rPr>
              <w:lastRenderedPageBreak/>
              <w:t xml:space="preserve">Dla usunięcia niejasności proponuje się następujące brzmienie przepisu: </w:t>
            </w:r>
          </w:p>
          <w:p w:rsidR="0073123E" w:rsidRPr="0073123E" w:rsidRDefault="0073123E" w:rsidP="0073123E">
            <w:pPr>
              <w:jc w:val="both"/>
              <w:rPr>
                <w:rFonts w:ascii="Times New Roman" w:hAnsi="Times New Roman" w:cs="Times New Roman"/>
                <w:sz w:val="24"/>
                <w:szCs w:val="24"/>
              </w:rPr>
            </w:pPr>
          </w:p>
          <w:p w:rsidR="0073123E" w:rsidRPr="002D58BE" w:rsidRDefault="0073123E" w:rsidP="0073123E">
            <w:pPr>
              <w:jc w:val="both"/>
              <w:rPr>
                <w:rFonts w:ascii="Times New Roman" w:hAnsi="Times New Roman" w:cs="Times New Roman"/>
                <w:i/>
                <w:sz w:val="24"/>
                <w:szCs w:val="24"/>
              </w:rPr>
            </w:pPr>
            <w:r w:rsidRPr="002D58BE">
              <w:rPr>
                <w:rFonts w:ascii="Times New Roman" w:hAnsi="Times New Roman" w:cs="Times New Roman"/>
                <w:i/>
                <w:sz w:val="24"/>
                <w:szCs w:val="24"/>
              </w:rPr>
              <w:t xml:space="preserve">„11. Jeżeli magazyn energii elektrycznej jest częścią jednostki wytwórczej, w rozliczeniach za świadczone usługi przesyłania lub dystrybucji energii elektrycznej w zakresie opłat za energię elektryczną pobraną z sieci przez </w:t>
            </w:r>
            <w:r w:rsidR="00264B00" w:rsidRPr="002D58BE">
              <w:rPr>
                <w:rFonts w:ascii="Times New Roman" w:hAnsi="Times New Roman" w:cs="Times New Roman"/>
                <w:i/>
                <w:sz w:val="24"/>
                <w:szCs w:val="24"/>
              </w:rPr>
              <w:t xml:space="preserve">ten </w:t>
            </w:r>
            <w:r w:rsidRPr="002D58BE">
              <w:rPr>
                <w:rFonts w:ascii="Times New Roman" w:hAnsi="Times New Roman" w:cs="Times New Roman"/>
                <w:i/>
                <w:sz w:val="24"/>
                <w:szCs w:val="24"/>
              </w:rPr>
              <w:t xml:space="preserve">magazyn, przedmiotem rozliczenia jest różnica energii elektrycznej pobranej z sieci </w:t>
            </w:r>
            <w:r w:rsidR="00264B00" w:rsidRPr="002D58BE">
              <w:rPr>
                <w:rFonts w:ascii="Times New Roman" w:hAnsi="Times New Roman" w:cs="Times New Roman"/>
                <w:i/>
                <w:sz w:val="24"/>
                <w:szCs w:val="24"/>
              </w:rPr>
              <w:t xml:space="preserve">przez magazyn energii elektrycznej </w:t>
            </w:r>
            <w:r w:rsidRPr="002D58BE">
              <w:rPr>
                <w:rFonts w:ascii="Times New Roman" w:hAnsi="Times New Roman" w:cs="Times New Roman"/>
                <w:i/>
                <w:sz w:val="24"/>
                <w:szCs w:val="24"/>
              </w:rPr>
              <w:t xml:space="preserve">i </w:t>
            </w:r>
            <w:r w:rsidR="00264B00" w:rsidRPr="002D58BE">
              <w:rPr>
                <w:rFonts w:ascii="Times New Roman" w:hAnsi="Times New Roman" w:cs="Times New Roman"/>
                <w:i/>
                <w:sz w:val="24"/>
                <w:szCs w:val="24"/>
              </w:rPr>
              <w:t xml:space="preserve">energii elektrycznej </w:t>
            </w:r>
            <w:r w:rsidRPr="002D58BE">
              <w:rPr>
                <w:rFonts w:ascii="Times New Roman" w:hAnsi="Times New Roman" w:cs="Times New Roman"/>
                <w:i/>
                <w:sz w:val="24"/>
                <w:szCs w:val="24"/>
              </w:rPr>
              <w:t>wprowadzonej do sieci przez ten magazyn</w:t>
            </w:r>
            <w:r w:rsidR="00C802A6" w:rsidRPr="002D58BE">
              <w:rPr>
                <w:rFonts w:ascii="Times New Roman" w:hAnsi="Times New Roman" w:cs="Times New Roman"/>
                <w:i/>
                <w:sz w:val="24"/>
                <w:szCs w:val="24"/>
              </w:rPr>
              <w:t xml:space="preserve"> w danym okresie rozliczeniowym</w:t>
            </w:r>
            <w:r w:rsidRPr="002D58BE">
              <w:rPr>
                <w:rFonts w:ascii="Times New Roman" w:hAnsi="Times New Roman" w:cs="Times New Roman"/>
                <w:i/>
                <w:sz w:val="24"/>
                <w:szCs w:val="24"/>
              </w:rPr>
              <w:t>, ustalo</w:t>
            </w:r>
            <w:r w:rsidR="00264B00" w:rsidRPr="002D58BE">
              <w:rPr>
                <w:rFonts w:ascii="Times New Roman" w:hAnsi="Times New Roman" w:cs="Times New Roman"/>
                <w:i/>
                <w:sz w:val="24"/>
                <w:szCs w:val="24"/>
              </w:rPr>
              <w:t>na w oparciu o wskazania układu pomiarowo-rozliczeniowego</w:t>
            </w:r>
            <w:r w:rsidRPr="002D58BE">
              <w:rPr>
                <w:rFonts w:ascii="Times New Roman" w:hAnsi="Times New Roman" w:cs="Times New Roman"/>
                <w:i/>
                <w:sz w:val="24"/>
                <w:szCs w:val="24"/>
              </w:rPr>
              <w:t xml:space="preserve"> tego magazynu</w:t>
            </w:r>
            <w:r w:rsidR="00433478" w:rsidRPr="002D58BE">
              <w:rPr>
                <w:rFonts w:ascii="Times New Roman" w:hAnsi="Times New Roman" w:cs="Times New Roman"/>
                <w:i/>
                <w:sz w:val="24"/>
                <w:szCs w:val="24"/>
              </w:rPr>
              <w:t>, o którym mowa w ust. 13</w:t>
            </w:r>
            <w:r w:rsidRPr="002D58BE">
              <w:rPr>
                <w:rFonts w:ascii="Times New Roman" w:hAnsi="Times New Roman" w:cs="Times New Roman"/>
                <w:i/>
                <w:sz w:val="24"/>
                <w:szCs w:val="24"/>
              </w:rPr>
              <w:t>.”</w:t>
            </w:r>
          </w:p>
          <w:p w:rsidR="0073123E" w:rsidRPr="0073123E" w:rsidRDefault="0073123E" w:rsidP="0073123E">
            <w:pPr>
              <w:jc w:val="both"/>
              <w:rPr>
                <w:rFonts w:ascii="Times New Roman" w:hAnsi="Times New Roman" w:cs="Times New Roman"/>
                <w:sz w:val="24"/>
                <w:szCs w:val="24"/>
              </w:rPr>
            </w:pPr>
          </w:p>
          <w:p w:rsidR="0073123E" w:rsidRDefault="0073123E" w:rsidP="0073123E">
            <w:pPr>
              <w:jc w:val="both"/>
              <w:rPr>
                <w:rFonts w:ascii="Times New Roman" w:hAnsi="Times New Roman" w:cs="Times New Roman"/>
                <w:sz w:val="24"/>
                <w:szCs w:val="24"/>
              </w:rPr>
            </w:pPr>
            <w:r w:rsidRPr="0073123E">
              <w:rPr>
                <w:rFonts w:ascii="Times New Roman" w:hAnsi="Times New Roman" w:cs="Times New Roman"/>
                <w:sz w:val="24"/>
                <w:szCs w:val="24"/>
              </w:rPr>
              <w:t xml:space="preserve">Dodaje się przepis ust. 12 </w:t>
            </w:r>
            <w:r w:rsidR="00433478">
              <w:rPr>
                <w:rFonts w:ascii="Times New Roman" w:hAnsi="Times New Roman" w:cs="Times New Roman"/>
                <w:sz w:val="24"/>
                <w:szCs w:val="24"/>
              </w:rPr>
              <w:t xml:space="preserve">i ust. 13 </w:t>
            </w:r>
            <w:r w:rsidRPr="0073123E">
              <w:rPr>
                <w:rFonts w:ascii="Times New Roman" w:hAnsi="Times New Roman" w:cs="Times New Roman"/>
                <w:sz w:val="24"/>
                <w:szCs w:val="24"/>
              </w:rPr>
              <w:t>o brzmieniu:</w:t>
            </w:r>
          </w:p>
          <w:p w:rsidR="00433478" w:rsidRPr="002D58BE" w:rsidRDefault="00433478" w:rsidP="00433478">
            <w:pPr>
              <w:jc w:val="both"/>
              <w:rPr>
                <w:rFonts w:ascii="Times New Roman" w:hAnsi="Times New Roman" w:cs="Times New Roman"/>
                <w:i/>
                <w:sz w:val="24"/>
                <w:szCs w:val="24"/>
              </w:rPr>
            </w:pPr>
            <w:r w:rsidRPr="002D58BE">
              <w:rPr>
                <w:rFonts w:ascii="Times New Roman" w:hAnsi="Times New Roman" w:cs="Times New Roman"/>
                <w:i/>
                <w:sz w:val="24"/>
                <w:szCs w:val="24"/>
              </w:rPr>
              <w:t xml:space="preserve">„12. Jeżeli magazyn energii elektrycznej jest częścią jednostki wytwórczej, w rozliczeniach za świadczone usługi przesyłania lub dystrybucji energii elektrycznej w zakresie opłat za moc umowną określoną dla </w:t>
            </w:r>
            <w:r w:rsidR="00264B00" w:rsidRPr="002D58BE">
              <w:rPr>
                <w:rFonts w:ascii="Times New Roman" w:hAnsi="Times New Roman" w:cs="Times New Roman"/>
                <w:i/>
                <w:sz w:val="24"/>
                <w:szCs w:val="24"/>
              </w:rPr>
              <w:t xml:space="preserve">tego </w:t>
            </w:r>
            <w:r w:rsidRPr="002D58BE">
              <w:rPr>
                <w:rFonts w:ascii="Times New Roman" w:hAnsi="Times New Roman" w:cs="Times New Roman"/>
                <w:i/>
                <w:sz w:val="24"/>
                <w:szCs w:val="24"/>
              </w:rPr>
              <w:t>magazynu, z wyłączeniem rozliczeń za przekroczenie mocy umownej, moc ta na potrzeby rozliczeń jest pomniejszana o iloczyn mocy umownej i współczynnika określonego przez stosunek energii elektrycz</w:t>
            </w:r>
            <w:r w:rsidR="00264B00" w:rsidRPr="002D58BE">
              <w:rPr>
                <w:rFonts w:ascii="Times New Roman" w:hAnsi="Times New Roman" w:cs="Times New Roman"/>
                <w:i/>
                <w:sz w:val="24"/>
                <w:szCs w:val="24"/>
              </w:rPr>
              <w:t xml:space="preserve">nej wprowadzonej do sieci przez </w:t>
            </w:r>
            <w:r w:rsidRPr="002D58BE">
              <w:rPr>
                <w:rFonts w:ascii="Times New Roman" w:hAnsi="Times New Roman" w:cs="Times New Roman"/>
                <w:i/>
                <w:sz w:val="24"/>
                <w:szCs w:val="24"/>
              </w:rPr>
              <w:t xml:space="preserve">magazyn </w:t>
            </w:r>
            <w:r w:rsidR="00264B00" w:rsidRPr="002D58BE">
              <w:rPr>
                <w:rFonts w:ascii="Times New Roman" w:hAnsi="Times New Roman" w:cs="Times New Roman"/>
                <w:i/>
                <w:sz w:val="24"/>
                <w:szCs w:val="24"/>
              </w:rPr>
              <w:t xml:space="preserve">energii elektrycznej </w:t>
            </w:r>
            <w:r w:rsidRPr="002D58BE">
              <w:rPr>
                <w:rFonts w:ascii="Times New Roman" w:hAnsi="Times New Roman" w:cs="Times New Roman"/>
                <w:i/>
                <w:sz w:val="24"/>
                <w:szCs w:val="24"/>
              </w:rPr>
              <w:t xml:space="preserve">do energii elektrycznej pobranej z sieci przez ten magazyn w </w:t>
            </w:r>
            <w:r w:rsidR="00264B00" w:rsidRPr="002D58BE">
              <w:rPr>
                <w:rFonts w:ascii="Times New Roman" w:hAnsi="Times New Roman" w:cs="Times New Roman"/>
                <w:i/>
                <w:sz w:val="24"/>
                <w:szCs w:val="24"/>
              </w:rPr>
              <w:t xml:space="preserve">danym </w:t>
            </w:r>
            <w:r w:rsidRPr="002D58BE">
              <w:rPr>
                <w:rFonts w:ascii="Times New Roman" w:hAnsi="Times New Roman" w:cs="Times New Roman"/>
                <w:i/>
                <w:sz w:val="24"/>
                <w:szCs w:val="24"/>
              </w:rPr>
              <w:t>okresie rozliczeniowym.</w:t>
            </w:r>
          </w:p>
          <w:p w:rsidR="00433478" w:rsidRPr="00433478" w:rsidRDefault="00433478" w:rsidP="00433478">
            <w:pPr>
              <w:jc w:val="both"/>
              <w:rPr>
                <w:rFonts w:ascii="Times New Roman" w:hAnsi="Times New Roman" w:cs="Times New Roman"/>
                <w:sz w:val="24"/>
                <w:szCs w:val="24"/>
              </w:rPr>
            </w:pPr>
          </w:p>
          <w:p w:rsidR="00087667" w:rsidRPr="00F77F26" w:rsidRDefault="00433478" w:rsidP="0073123E">
            <w:pPr>
              <w:jc w:val="both"/>
              <w:rPr>
                <w:rFonts w:ascii="Times New Roman" w:hAnsi="Times New Roman" w:cs="Times New Roman"/>
                <w:i/>
                <w:sz w:val="24"/>
                <w:szCs w:val="24"/>
              </w:rPr>
            </w:pPr>
            <w:r w:rsidRPr="002D58BE">
              <w:rPr>
                <w:rFonts w:ascii="Times New Roman" w:hAnsi="Times New Roman" w:cs="Times New Roman"/>
                <w:i/>
                <w:sz w:val="24"/>
                <w:szCs w:val="24"/>
              </w:rPr>
              <w:t xml:space="preserve">13. Magazyn energii elektrycznej będący częścią jednostki wytwórczej jest wyposażony w układ pomiarowo-rozliczeniowy rejestrujący energię elektryczną wprowadzoną do magazynu energii elektrycznej i wyprowadzoną z tego magazynu, niezależnie od układu pomiarowo - rozliczeniowego </w:t>
            </w:r>
            <w:r w:rsidRPr="002D58BE">
              <w:rPr>
                <w:rFonts w:ascii="Times New Roman" w:hAnsi="Times New Roman" w:cs="Times New Roman"/>
                <w:i/>
                <w:sz w:val="24"/>
                <w:szCs w:val="24"/>
              </w:rPr>
              <w:lastRenderedPageBreak/>
              <w:t>rejestrującego energię elektryczną pobraną z sieci i wprowadzoną do sieci</w:t>
            </w:r>
            <w:r w:rsidR="00C802A6" w:rsidRPr="002D58BE">
              <w:rPr>
                <w:rFonts w:ascii="Times New Roman" w:hAnsi="Times New Roman" w:cs="Times New Roman"/>
                <w:i/>
                <w:sz w:val="24"/>
                <w:szCs w:val="24"/>
              </w:rPr>
              <w:t xml:space="preserve"> przez tę jednostkę</w:t>
            </w:r>
            <w:r w:rsidR="00264B00" w:rsidRPr="002D58BE">
              <w:rPr>
                <w:rFonts w:ascii="Times New Roman" w:hAnsi="Times New Roman" w:cs="Times New Roman"/>
                <w:i/>
                <w:sz w:val="24"/>
                <w:szCs w:val="24"/>
              </w:rPr>
              <w:t>.</w:t>
            </w:r>
            <w:r w:rsidRPr="002D58BE">
              <w:rPr>
                <w:rFonts w:ascii="Times New Roman" w:hAnsi="Times New Roman" w:cs="Times New Roman"/>
                <w:i/>
                <w:sz w:val="24"/>
                <w:szCs w:val="24"/>
              </w:rPr>
              <w:t>”;</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1043" w:type="dxa"/>
          </w:tcPr>
          <w:p w:rsidR="00641F71" w:rsidRPr="00DB2B9B" w:rsidRDefault="00DE1863" w:rsidP="00B06E69">
            <w:pPr>
              <w:jc w:val="both"/>
              <w:rPr>
                <w:rFonts w:ascii="Times New Roman" w:hAnsi="Times New Roman" w:cs="Times New Roman"/>
                <w:sz w:val="24"/>
                <w:szCs w:val="24"/>
              </w:rPr>
            </w:pPr>
            <w:r>
              <w:rPr>
                <w:rFonts w:ascii="Times New Roman" w:hAnsi="Times New Roman" w:cs="Times New Roman"/>
                <w:sz w:val="24"/>
                <w:szCs w:val="24"/>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12.</w:t>
            </w:r>
            <w:r w:rsidRPr="00DE1863">
              <w:rPr>
                <w:rFonts w:ascii="Times New Roman" w:hAnsi="Times New Roman" w:cs="Times New Roman"/>
                <w:sz w:val="24"/>
                <w:szCs w:val="24"/>
              </w:rPr>
              <w:tab/>
              <w:t>Zmiana Prawa Energetycznego – uwaga ogólna</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 ocenie MAP powinien być jasno określony status elektrowni szczytowo-pompowych z dopływem naturalnym. Specyfika tych jednostek oznacza, że zarówno magazynują energię (czarną, cykl szczytowo-pompowy), jak i wytwarzają energię ze źródeł odnawialnych.  Jednak w przeciwieństwie do magazynów będących częścią jednostki wytwórczej nie magazynują one energii wytworzonej z przepływu (energii z OZE.</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 kontekście budowy i eksploatacji nowych magazynów energii, zmiany wprowadzają wiele dobrych i oczekiwanych rozwiązań, ale jednocześnie nie są poruszone kluczowe kwestie, bez których budowa i eksploatacja komercyjnych magazynów energii nie będzie możliwa. Mianowicie:</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t>
            </w:r>
            <w:r w:rsidRPr="00DE1863">
              <w:rPr>
                <w:rFonts w:ascii="Times New Roman" w:hAnsi="Times New Roman" w:cs="Times New Roman"/>
                <w:sz w:val="24"/>
                <w:szCs w:val="24"/>
              </w:rPr>
              <w:tab/>
              <w:t>Wyłącznie OSP i OSD dysponują wiedzą odnośnie tego gdzie magazyny energii byłyby w stanie znacząco poprawić funkcjonowanie systemów, nie ma więc możliwości, by podmiot prywatny stricte „z rynku” inicjował rozwój projektów samodzielnie. Wobec tego od dobrej woli OSP/OSD zależy jakikolwiek development projektów magazynowych.</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t>
            </w:r>
            <w:r w:rsidRPr="00DE1863">
              <w:rPr>
                <w:rFonts w:ascii="Times New Roman" w:hAnsi="Times New Roman" w:cs="Times New Roman"/>
                <w:sz w:val="24"/>
                <w:szCs w:val="24"/>
              </w:rPr>
              <w:tab/>
              <w:t>Zmiany nie eliminują OSP i OSD z bycia jednocześnie OSM, co sprawia, że nie ma możliwości konkurowania z nimi. W konsekwencji – nie ma wolnego rynku dla OSM.</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t>
            </w:r>
            <w:r w:rsidRPr="00DE1863">
              <w:rPr>
                <w:rFonts w:ascii="Times New Roman" w:hAnsi="Times New Roman" w:cs="Times New Roman"/>
                <w:sz w:val="24"/>
                <w:szCs w:val="24"/>
              </w:rPr>
              <w:tab/>
              <w:t>W zmianach nie ma mowy o sposobie określania jakichkolwiek stawek za usługi, ani nawet sugestii, że magazyny energii powinny tworzyć wolny rynek usług.</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ab/>
              <w:t>Proponowane zmiany nie pozwalają na rozwój rynku usług z wykorzystaniem magazynów energii.</w:t>
            </w:r>
          </w:p>
        </w:tc>
        <w:tc>
          <w:tcPr>
            <w:tcW w:w="6344" w:type="dxa"/>
          </w:tcPr>
          <w:p w:rsidR="00F77F26" w:rsidRPr="00F77F26" w:rsidRDefault="009B36AE" w:rsidP="00B06E69">
            <w:pPr>
              <w:jc w:val="both"/>
              <w:rPr>
                <w:rFonts w:ascii="Times New Roman" w:hAnsi="Times New Roman" w:cs="Times New Roman"/>
                <w:b/>
                <w:sz w:val="24"/>
                <w:szCs w:val="24"/>
              </w:rPr>
            </w:pPr>
            <w:r>
              <w:rPr>
                <w:rFonts w:ascii="Times New Roman" w:hAnsi="Times New Roman" w:cs="Times New Roman"/>
                <w:b/>
                <w:sz w:val="24"/>
                <w:szCs w:val="24"/>
              </w:rPr>
              <w:t>Uwagi 1 i 2</w:t>
            </w:r>
            <w:r w:rsidR="00F77F26" w:rsidRPr="00F77F26">
              <w:rPr>
                <w:rFonts w:ascii="Times New Roman" w:hAnsi="Times New Roman" w:cs="Times New Roman"/>
                <w:b/>
                <w:sz w:val="24"/>
                <w:szCs w:val="24"/>
              </w:rPr>
              <w:t xml:space="preserve"> o charakterze nieeuropejskim</w:t>
            </w:r>
            <w:r>
              <w:rPr>
                <w:rFonts w:ascii="Times New Roman" w:hAnsi="Times New Roman" w:cs="Times New Roman"/>
                <w:b/>
                <w:sz w:val="24"/>
                <w:szCs w:val="24"/>
              </w:rPr>
              <w:t xml:space="preserve"> zaś uwagi 3 i 4 są o charakterze europejskim</w:t>
            </w:r>
            <w:r w:rsidR="00F77F26" w:rsidRPr="00F77F26">
              <w:rPr>
                <w:rFonts w:ascii="Times New Roman" w:hAnsi="Times New Roman" w:cs="Times New Roman"/>
                <w:b/>
                <w:sz w:val="24"/>
                <w:szCs w:val="24"/>
              </w:rPr>
              <w:t>.</w:t>
            </w:r>
          </w:p>
          <w:p w:rsidR="003E5E1F" w:rsidRPr="00F77F26" w:rsidRDefault="009B36AE" w:rsidP="00B06E69">
            <w:pPr>
              <w:jc w:val="both"/>
              <w:rPr>
                <w:rFonts w:ascii="Times New Roman" w:hAnsi="Times New Roman" w:cs="Times New Roman"/>
                <w:b/>
                <w:sz w:val="24"/>
                <w:szCs w:val="24"/>
              </w:rPr>
            </w:pPr>
            <w:r>
              <w:rPr>
                <w:rFonts w:ascii="Times New Roman" w:hAnsi="Times New Roman" w:cs="Times New Roman"/>
                <w:b/>
                <w:sz w:val="24"/>
                <w:szCs w:val="24"/>
              </w:rPr>
              <w:t xml:space="preserve">Ad. 1. </w:t>
            </w:r>
            <w:r w:rsidR="003E5E1F" w:rsidRPr="00F77F26">
              <w:rPr>
                <w:rFonts w:ascii="Times New Roman" w:hAnsi="Times New Roman" w:cs="Times New Roman"/>
                <w:b/>
                <w:sz w:val="24"/>
                <w:szCs w:val="24"/>
              </w:rPr>
              <w:t>Uwaga została wyjaśniona.</w:t>
            </w:r>
          </w:p>
          <w:p w:rsidR="00641F71" w:rsidRDefault="009B36AE" w:rsidP="00B06E69">
            <w:pPr>
              <w:jc w:val="both"/>
              <w:rPr>
                <w:rFonts w:ascii="Times New Roman" w:hAnsi="Times New Roman" w:cs="Times New Roman"/>
                <w:sz w:val="24"/>
                <w:szCs w:val="24"/>
              </w:rPr>
            </w:pPr>
            <w:r>
              <w:rPr>
                <w:rFonts w:ascii="Times New Roman" w:hAnsi="Times New Roman" w:cs="Times New Roman"/>
                <w:sz w:val="24"/>
                <w:szCs w:val="24"/>
              </w:rPr>
              <w:t xml:space="preserve">Ad. 1. </w:t>
            </w:r>
            <w:r w:rsidR="000F71A7">
              <w:rPr>
                <w:rFonts w:ascii="Times New Roman" w:hAnsi="Times New Roman" w:cs="Times New Roman"/>
                <w:sz w:val="24"/>
                <w:szCs w:val="24"/>
              </w:rPr>
              <w:t>Należy zaznaczyć, że s</w:t>
            </w:r>
            <w:r w:rsidR="000F71A7" w:rsidRPr="000F71A7">
              <w:rPr>
                <w:rFonts w:ascii="Times New Roman" w:hAnsi="Times New Roman" w:cs="Times New Roman"/>
                <w:sz w:val="24"/>
                <w:szCs w:val="24"/>
              </w:rPr>
              <w:t xml:space="preserve">prawność elektrowni szczytowo-pompowych z dopływem naturalnym </w:t>
            </w:r>
            <w:r w:rsidR="000F71A7">
              <w:rPr>
                <w:rFonts w:ascii="Times New Roman" w:hAnsi="Times New Roman" w:cs="Times New Roman"/>
                <w:sz w:val="24"/>
                <w:szCs w:val="24"/>
              </w:rPr>
              <w:t xml:space="preserve">wynosi </w:t>
            </w:r>
            <w:r w:rsidR="000F71A7" w:rsidRPr="000F71A7">
              <w:rPr>
                <w:rFonts w:ascii="Times New Roman" w:hAnsi="Times New Roman" w:cs="Times New Roman"/>
                <w:sz w:val="24"/>
                <w:szCs w:val="24"/>
              </w:rPr>
              <w:t xml:space="preserve">100 %, </w:t>
            </w:r>
            <w:r w:rsidR="000F71A7">
              <w:rPr>
                <w:rFonts w:ascii="Times New Roman" w:hAnsi="Times New Roman" w:cs="Times New Roman"/>
                <w:sz w:val="24"/>
                <w:szCs w:val="24"/>
              </w:rPr>
              <w:t xml:space="preserve">a więc praktycznie </w:t>
            </w:r>
            <w:r w:rsidR="000F71A7" w:rsidRPr="000F71A7">
              <w:rPr>
                <w:rFonts w:ascii="Times New Roman" w:hAnsi="Times New Roman" w:cs="Times New Roman"/>
                <w:sz w:val="24"/>
                <w:szCs w:val="24"/>
              </w:rPr>
              <w:t xml:space="preserve">nie ponoszą </w:t>
            </w:r>
            <w:r w:rsidR="000F71A7">
              <w:rPr>
                <w:rFonts w:ascii="Times New Roman" w:hAnsi="Times New Roman" w:cs="Times New Roman"/>
                <w:sz w:val="24"/>
                <w:szCs w:val="24"/>
              </w:rPr>
              <w:t xml:space="preserve">one opłat sieciowych – zgodnie z ww. przepisami ma zastosowanie </w:t>
            </w:r>
            <w:r w:rsidR="000F71A7" w:rsidRPr="000F71A7">
              <w:rPr>
                <w:rFonts w:ascii="Times New Roman" w:hAnsi="Times New Roman" w:cs="Times New Roman"/>
                <w:sz w:val="24"/>
                <w:szCs w:val="24"/>
              </w:rPr>
              <w:t>różnica energii elektrycznej pobranej z sieci i wprowadzonej do sieci przez ten magazyn energii elektrycznej</w:t>
            </w:r>
            <w:r w:rsidR="000F71A7">
              <w:rPr>
                <w:rFonts w:ascii="Times New Roman" w:hAnsi="Times New Roman" w:cs="Times New Roman"/>
                <w:sz w:val="24"/>
                <w:szCs w:val="24"/>
              </w:rPr>
              <w:t xml:space="preserve">. </w:t>
            </w:r>
          </w:p>
          <w:p w:rsidR="00EA13CF" w:rsidRDefault="00EA13CF" w:rsidP="00B06E69">
            <w:pPr>
              <w:jc w:val="both"/>
              <w:rPr>
                <w:rFonts w:ascii="Times New Roman" w:hAnsi="Times New Roman" w:cs="Times New Roman"/>
                <w:sz w:val="24"/>
                <w:szCs w:val="24"/>
              </w:rPr>
            </w:pPr>
          </w:p>
          <w:p w:rsidR="00EA13CF" w:rsidRDefault="00EA13CF" w:rsidP="00B06E69">
            <w:pPr>
              <w:jc w:val="both"/>
              <w:rPr>
                <w:rFonts w:ascii="Times New Roman" w:hAnsi="Times New Roman" w:cs="Times New Roman"/>
                <w:sz w:val="24"/>
                <w:szCs w:val="24"/>
              </w:rPr>
            </w:pPr>
          </w:p>
          <w:p w:rsidR="00EA13CF" w:rsidRDefault="00EA13CF" w:rsidP="00B06E69">
            <w:pPr>
              <w:jc w:val="both"/>
              <w:rPr>
                <w:rFonts w:ascii="Times New Roman" w:hAnsi="Times New Roman" w:cs="Times New Roman"/>
                <w:sz w:val="24"/>
                <w:szCs w:val="24"/>
              </w:rPr>
            </w:pPr>
          </w:p>
          <w:p w:rsidR="00EA13CF" w:rsidRDefault="00EA13CF" w:rsidP="00B06E69">
            <w:pPr>
              <w:jc w:val="both"/>
              <w:rPr>
                <w:rFonts w:ascii="Times New Roman" w:hAnsi="Times New Roman" w:cs="Times New Roman"/>
                <w:sz w:val="24"/>
                <w:szCs w:val="24"/>
              </w:rPr>
            </w:pPr>
          </w:p>
          <w:p w:rsidR="00EA13CF" w:rsidRDefault="00EA13CF" w:rsidP="00B06E69">
            <w:pPr>
              <w:jc w:val="both"/>
              <w:rPr>
                <w:rFonts w:ascii="Times New Roman" w:hAnsi="Times New Roman" w:cs="Times New Roman"/>
                <w:sz w:val="24"/>
                <w:szCs w:val="24"/>
              </w:rPr>
            </w:pPr>
          </w:p>
          <w:p w:rsidR="00EA13CF" w:rsidRDefault="00EA13CF" w:rsidP="00B06E69">
            <w:pPr>
              <w:jc w:val="both"/>
              <w:rPr>
                <w:rFonts w:ascii="Times New Roman" w:hAnsi="Times New Roman" w:cs="Times New Roman"/>
                <w:sz w:val="24"/>
                <w:szCs w:val="24"/>
              </w:rPr>
            </w:pPr>
          </w:p>
          <w:p w:rsidR="00EA13CF" w:rsidRPr="009B36AE" w:rsidRDefault="009B36AE" w:rsidP="009B36AE">
            <w:pPr>
              <w:jc w:val="both"/>
              <w:rPr>
                <w:rFonts w:ascii="Times New Roman" w:hAnsi="Times New Roman" w:cs="Times New Roman"/>
                <w:b/>
                <w:sz w:val="24"/>
                <w:szCs w:val="24"/>
              </w:rPr>
            </w:pPr>
            <w:r>
              <w:rPr>
                <w:rFonts w:ascii="Times New Roman" w:hAnsi="Times New Roman" w:cs="Times New Roman"/>
                <w:b/>
                <w:sz w:val="24"/>
                <w:szCs w:val="24"/>
              </w:rPr>
              <w:t xml:space="preserve">Ad. 2. </w:t>
            </w:r>
            <w:r w:rsidR="003E5E1F" w:rsidRPr="009B36AE">
              <w:rPr>
                <w:rFonts w:ascii="Times New Roman" w:hAnsi="Times New Roman" w:cs="Times New Roman"/>
                <w:b/>
                <w:sz w:val="24"/>
                <w:szCs w:val="24"/>
              </w:rPr>
              <w:t>Uwaga została wyjaśniona.</w:t>
            </w:r>
          </w:p>
          <w:p w:rsidR="00EA13CF" w:rsidRDefault="00EA13CF" w:rsidP="00EA13CF">
            <w:pPr>
              <w:jc w:val="both"/>
              <w:rPr>
                <w:rFonts w:ascii="Times New Roman" w:hAnsi="Times New Roman" w:cs="Times New Roman"/>
                <w:sz w:val="24"/>
                <w:szCs w:val="24"/>
              </w:rPr>
            </w:pPr>
            <w:r>
              <w:rPr>
                <w:rFonts w:ascii="Times New Roman" w:hAnsi="Times New Roman" w:cs="Times New Roman"/>
                <w:sz w:val="24"/>
                <w:szCs w:val="24"/>
              </w:rPr>
              <w:t xml:space="preserve">Należy zaznaczyć, że </w:t>
            </w:r>
            <w:r w:rsidR="003E5E1F">
              <w:rPr>
                <w:rFonts w:ascii="Times New Roman" w:hAnsi="Times New Roman" w:cs="Times New Roman"/>
                <w:sz w:val="24"/>
                <w:szCs w:val="24"/>
              </w:rPr>
              <w:t>OSP i OSD</w:t>
            </w:r>
            <w:r w:rsidRPr="00EA13CF">
              <w:rPr>
                <w:rFonts w:ascii="Times New Roman" w:hAnsi="Times New Roman" w:cs="Times New Roman"/>
                <w:sz w:val="24"/>
                <w:szCs w:val="24"/>
              </w:rPr>
              <w:t xml:space="preserve"> </w:t>
            </w:r>
            <w:r w:rsidR="003E5E1F">
              <w:rPr>
                <w:rFonts w:ascii="Times New Roman" w:hAnsi="Times New Roman" w:cs="Times New Roman"/>
                <w:sz w:val="24"/>
                <w:szCs w:val="24"/>
              </w:rPr>
              <w:t xml:space="preserve">konsultują z użytkownikami systemu i publikują </w:t>
            </w:r>
            <w:r w:rsidRPr="00EA13CF">
              <w:rPr>
                <w:rFonts w:ascii="Times New Roman" w:hAnsi="Times New Roman" w:cs="Times New Roman"/>
                <w:sz w:val="24"/>
                <w:szCs w:val="24"/>
              </w:rPr>
              <w:t>plan rozwoju</w:t>
            </w:r>
            <w:r w:rsidR="005720B3">
              <w:rPr>
                <w:rFonts w:ascii="Times New Roman" w:hAnsi="Times New Roman" w:cs="Times New Roman"/>
                <w:sz w:val="24"/>
                <w:szCs w:val="24"/>
              </w:rPr>
              <w:t xml:space="preserve"> – art. 16 ust. 15 ustawy – Prawo energetyczne. Ponadto projekt uwzględnia w a</w:t>
            </w:r>
            <w:r w:rsidRPr="00EA13CF">
              <w:rPr>
                <w:rFonts w:ascii="Times New Roman" w:hAnsi="Times New Roman" w:cs="Times New Roman"/>
                <w:sz w:val="24"/>
                <w:szCs w:val="24"/>
              </w:rPr>
              <w:t xml:space="preserve">rt. 1 pkt. 15 lit. b) i c) przepisy dotyczące art. 16 uPE uwzględniające zastosowanie magazynów energii elektrycznej jako alternatywy dla inwestycji „klasycznych”. </w:t>
            </w:r>
          </w:p>
          <w:p w:rsidR="00EA13CF" w:rsidRPr="00EA13CF" w:rsidRDefault="00EA13CF" w:rsidP="00EA13CF">
            <w:pPr>
              <w:jc w:val="both"/>
              <w:rPr>
                <w:rFonts w:ascii="Times New Roman" w:hAnsi="Times New Roman" w:cs="Times New Roman"/>
                <w:sz w:val="24"/>
                <w:szCs w:val="24"/>
              </w:rPr>
            </w:pPr>
          </w:p>
          <w:p w:rsidR="00EA13CF" w:rsidRPr="009B36AE" w:rsidRDefault="009B36AE" w:rsidP="009B36AE">
            <w:pPr>
              <w:jc w:val="both"/>
              <w:rPr>
                <w:rFonts w:ascii="Times New Roman" w:hAnsi="Times New Roman" w:cs="Times New Roman"/>
                <w:b/>
                <w:sz w:val="24"/>
                <w:szCs w:val="24"/>
              </w:rPr>
            </w:pPr>
            <w:r>
              <w:rPr>
                <w:rFonts w:ascii="Times New Roman" w:hAnsi="Times New Roman" w:cs="Times New Roman"/>
                <w:b/>
                <w:sz w:val="24"/>
                <w:szCs w:val="24"/>
              </w:rPr>
              <w:t xml:space="preserve">Ad. 3. </w:t>
            </w:r>
            <w:r w:rsidR="003E5E1F" w:rsidRPr="009B36AE">
              <w:rPr>
                <w:rFonts w:ascii="Times New Roman" w:hAnsi="Times New Roman" w:cs="Times New Roman"/>
                <w:b/>
                <w:sz w:val="24"/>
                <w:szCs w:val="24"/>
              </w:rPr>
              <w:t>Uwaga została wyjaśniona.</w:t>
            </w:r>
          </w:p>
          <w:p w:rsidR="00EA13CF" w:rsidRPr="00EA13CF" w:rsidRDefault="00EA13CF" w:rsidP="00EA13CF">
            <w:pPr>
              <w:jc w:val="both"/>
              <w:rPr>
                <w:rFonts w:ascii="Times New Roman" w:hAnsi="Times New Roman" w:cs="Times New Roman"/>
                <w:sz w:val="24"/>
                <w:szCs w:val="24"/>
              </w:rPr>
            </w:pPr>
            <w:r w:rsidRPr="00EA13CF">
              <w:rPr>
                <w:rFonts w:ascii="Times New Roman" w:hAnsi="Times New Roman" w:cs="Times New Roman"/>
                <w:sz w:val="24"/>
                <w:szCs w:val="24"/>
              </w:rPr>
              <w:t>Przepisy przygotowywane w związku z wdrożenie</w:t>
            </w:r>
            <w:r w:rsidR="00BD60CC">
              <w:rPr>
                <w:rFonts w:ascii="Times New Roman" w:hAnsi="Times New Roman" w:cs="Times New Roman"/>
                <w:sz w:val="24"/>
                <w:szCs w:val="24"/>
              </w:rPr>
              <w:t>m dyrektywy 2019/944 uwzględni</w:t>
            </w:r>
            <w:r w:rsidRPr="00EA13CF">
              <w:rPr>
                <w:rFonts w:ascii="Times New Roman" w:hAnsi="Times New Roman" w:cs="Times New Roman"/>
                <w:sz w:val="24"/>
                <w:szCs w:val="24"/>
              </w:rPr>
              <w:t>ą wdrożenie m.in. art. 36 i 54 tej dyrektywy.</w:t>
            </w:r>
          </w:p>
          <w:p w:rsidR="00EA13CF" w:rsidRPr="00EA13CF" w:rsidRDefault="00EA13CF" w:rsidP="00EA13CF">
            <w:pPr>
              <w:jc w:val="both"/>
              <w:rPr>
                <w:rFonts w:ascii="Times New Roman" w:hAnsi="Times New Roman" w:cs="Times New Roman"/>
                <w:sz w:val="24"/>
                <w:szCs w:val="24"/>
              </w:rPr>
            </w:pPr>
          </w:p>
          <w:p w:rsidR="003E5E1F" w:rsidRPr="009B36AE" w:rsidRDefault="009B36AE" w:rsidP="009B36AE">
            <w:pPr>
              <w:jc w:val="both"/>
              <w:rPr>
                <w:rFonts w:ascii="Times New Roman" w:hAnsi="Times New Roman" w:cs="Times New Roman"/>
                <w:b/>
                <w:sz w:val="24"/>
                <w:szCs w:val="24"/>
              </w:rPr>
            </w:pPr>
            <w:r>
              <w:rPr>
                <w:rFonts w:ascii="Times New Roman" w:hAnsi="Times New Roman" w:cs="Times New Roman"/>
                <w:b/>
                <w:sz w:val="24"/>
                <w:szCs w:val="24"/>
              </w:rPr>
              <w:t xml:space="preserve">Ad. 4. </w:t>
            </w:r>
            <w:r w:rsidR="003E5E1F" w:rsidRPr="009B36AE">
              <w:rPr>
                <w:rFonts w:ascii="Times New Roman" w:hAnsi="Times New Roman" w:cs="Times New Roman"/>
                <w:b/>
                <w:sz w:val="24"/>
                <w:szCs w:val="24"/>
              </w:rPr>
              <w:t>Uwaga została wyjaśniona.</w:t>
            </w:r>
          </w:p>
          <w:p w:rsidR="00EA13CF" w:rsidRPr="003E5E1F" w:rsidRDefault="00EA13CF" w:rsidP="003E5E1F">
            <w:pPr>
              <w:jc w:val="both"/>
              <w:rPr>
                <w:rFonts w:ascii="Times New Roman" w:hAnsi="Times New Roman" w:cs="Times New Roman"/>
                <w:sz w:val="24"/>
                <w:szCs w:val="24"/>
              </w:rPr>
            </w:pPr>
            <w:r w:rsidRPr="003E5E1F">
              <w:rPr>
                <w:rFonts w:ascii="Times New Roman" w:hAnsi="Times New Roman" w:cs="Times New Roman"/>
                <w:sz w:val="24"/>
                <w:szCs w:val="24"/>
              </w:rPr>
              <w:t xml:space="preserve">Przedmiotem tego projektu (UC17) nie było i nie jest wdrożenie wszystkich regulacji unijnych dotyczących funkcjonowania </w:t>
            </w:r>
            <w:r w:rsidRPr="003E5E1F">
              <w:rPr>
                <w:rFonts w:ascii="Times New Roman" w:hAnsi="Times New Roman" w:cs="Times New Roman"/>
                <w:sz w:val="24"/>
                <w:szCs w:val="24"/>
              </w:rPr>
              <w:lastRenderedPageBreak/>
              <w:t xml:space="preserve">rynku energii i rynku usług systemowych. Będzie to przedmiotem odrębnych przedłożeń. </w:t>
            </w:r>
          </w:p>
          <w:p w:rsidR="00EA13CF" w:rsidRPr="00DB2B9B" w:rsidRDefault="00EA13CF" w:rsidP="00B06E69">
            <w:pPr>
              <w:jc w:val="both"/>
              <w:rPr>
                <w:rFonts w:ascii="Times New Roman" w:hAnsi="Times New Roman" w:cs="Times New Roman"/>
                <w:sz w:val="24"/>
                <w:szCs w:val="24"/>
              </w:rPr>
            </w:pPr>
            <w:r w:rsidRPr="00EA13CF">
              <w:rPr>
                <w:rFonts w:ascii="Times New Roman" w:hAnsi="Times New Roman" w:cs="Times New Roman"/>
                <w:sz w:val="24"/>
                <w:szCs w:val="24"/>
              </w:rPr>
              <w:t>Należy też zauważyć, że w ramach aukcji rynku mocy zostały już zgłoszone w oparciu o magazyny energii elek</w:t>
            </w:r>
            <w:r w:rsidR="003E5E1F">
              <w:rPr>
                <w:rFonts w:ascii="Times New Roman" w:hAnsi="Times New Roman" w:cs="Times New Roman"/>
                <w:sz w:val="24"/>
                <w:szCs w:val="24"/>
              </w:rPr>
              <w:t>trycznej istotne wolumeny mocy.</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1043" w:type="dxa"/>
          </w:tcPr>
          <w:p w:rsidR="00641F71" w:rsidRPr="00DB2B9B" w:rsidRDefault="00DE1863" w:rsidP="00B06E69">
            <w:pPr>
              <w:jc w:val="both"/>
              <w:rPr>
                <w:rFonts w:ascii="Times New Roman" w:hAnsi="Times New Roman" w:cs="Times New Roman"/>
                <w:sz w:val="24"/>
                <w:szCs w:val="24"/>
              </w:rPr>
            </w:pPr>
            <w:r>
              <w:rPr>
                <w:rFonts w:ascii="Times New Roman" w:hAnsi="Times New Roman" w:cs="Times New Roman"/>
                <w:sz w:val="24"/>
                <w:szCs w:val="24"/>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13.</w:t>
            </w:r>
            <w:r w:rsidRPr="00DE1863">
              <w:rPr>
                <w:rFonts w:ascii="Times New Roman" w:hAnsi="Times New Roman" w:cs="Times New Roman"/>
                <w:sz w:val="24"/>
                <w:szCs w:val="24"/>
              </w:rPr>
              <w:tab/>
              <w:t>Art. 4 pkt 7 lit. a) – zmiana art. 45 uOZE, nowy ust. 6a</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 opinii MAP analogiczny zapis powinien być wprowadzony dla instalacji korzystających z innych form wsparcia OZE (FIT/FIP/aukcje).</w:t>
            </w:r>
          </w:p>
        </w:tc>
        <w:tc>
          <w:tcPr>
            <w:tcW w:w="6344" w:type="dxa"/>
          </w:tcPr>
          <w:p w:rsidR="009B36AE" w:rsidRPr="009B36AE" w:rsidRDefault="009B36AE" w:rsidP="00B06E69">
            <w:pPr>
              <w:jc w:val="both"/>
              <w:rPr>
                <w:rFonts w:ascii="Times New Roman" w:hAnsi="Times New Roman" w:cs="Times New Roman"/>
                <w:b/>
                <w:sz w:val="24"/>
                <w:szCs w:val="24"/>
              </w:rPr>
            </w:pPr>
            <w:r w:rsidRPr="009B36AE">
              <w:rPr>
                <w:rFonts w:ascii="Times New Roman" w:hAnsi="Times New Roman" w:cs="Times New Roman"/>
                <w:b/>
                <w:sz w:val="24"/>
                <w:szCs w:val="24"/>
              </w:rPr>
              <w:t>Uwaga jest o charakterze nieeuropejskim.</w:t>
            </w:r>
          </w:p>
          <w:p w:rsidR="00641F71" w:rsidRDefault="003E5E1F" w:rsidP="00B06E69">
            <w:pPr>
              <w:jc w:val="both"/>
              <w:rPr>
                <w:rFonts w:ascii="Times New Roman" w:hAnsi="Times New Roman" w:cs="Times New Roman"/>
                <w:sz w:val="24"/>
                <w:szCs w:val="24"/>
              </w:rPr>
            </w:pPr>
            <w:r w:rsidRPr="009B36AE">
              <w:rPr>
                <w:rFonts w:ascii="Times New Roman" w:hAnsi="Times New Roman" w:cs="Times New Roman"/>
                <w:b/>
                <w:sz w:val="24"/>
                <w:szCs w:val="24"/>
              </w:rPr>
              <w:t>Patrz uwaga nr 24 – uwaga została uwzględniona</w:t>
            </w:r>
            <w:r>
              <w:rPr>
                <w:rFonts w:ascii="Times New Roman" w:hAnsi="Times New Roman" w:cs="Times New Roman"/>
                <w:sz w:val="24"/>
                <w:szCs w:val="24"/>
              </w:rPr>
              <w:t>.</w:t>
            </w:r>
          </w:p>
          <w:p w:rsidR="003E5E1F" w:rsidRPr="00DB2B9B" w:rsidRDefault="003E5E1F" w:rsidP="00B06E69">
            <w:pPr>
              <w:jc w:val="both"/>
              <w:rPr>
                <w:rFonts w:ascii="Times New Roman" w:hAnsi="Times New Roman" w:cs="Times New Roman"/>
                <w:sz w:val="24"/>
                <w:szCs w:val="24"/>
              </w:rPr>
            </w:pP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21</w:t>
            </w:r>
          </w:p>
        </w:tc>
        <w:tc>
          <w:tcPr>
            <w:tcW w:w="1043" w:type="dxa"/>
          </w:tcPr>
          <w:p w:rsidR="00641F71" w:rsidRPr="00DB2B9B" w:rsidRDefault="00DE1863" w:rsidP="00B06E69">
            <w:pPr>
              <w:jc w:val="both"/>
              <w:rPr>
                <w:rFonts w:ascii="Times New Roman" w:hAnsi="Times New Roman" w:cs="Times New Roman"/>
                <w:sz w:val="24"/>
                <w:szCs w:val="24"/>
              </w:rPr>
            </w:pPr>
            <w:r>
              <w:rPr>
                <w:rFonts w:ascii="Times New Roman" w:hAnsi="Times New Roman" w:cs="Times New Roman"/>
                <w:sz w:val="24"/>
                <w:szCs w:val="24"/>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14.</w:t>
            </w:r>
            <w:r w:rsidRPr="00DE1863">
              <w:rPr>
                <w:rFonts w:ascii="Times New Roman" w:hAnsi="Times New Roman" w:cs="Times New Roman"/>
                <w:sz w:val="24"/>
                <w:szCs w:val="24"/>
              </w:rPr>
              <w:tab/>
              <w:t>Art. 4 pkt 7 lit. c) – zmiana art. 45 uOZE, nowy ust. 8</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W ocenie MAP brzmienie proponowanego przepisu budzi wątpliwości i zdaje się sugerować, że magazyn będący częścią instalacji OZE lub instalacji hybrydowej musi mieć odrębne od instalacji OZE (hybrydowej) połączenie z siecią. Tylko w takim  bowiem wypadku możliwe byłoby mierzenie energii pobranej z sieci i wprowadzonej do sieci wyłącznie przez ten magazyn. W ocenie MAP nie taka była intencja projektodawcy, a dodatkowo takie rozwiązanie nie jest również możliwe technicznie do zastosowania. MAP proponuje zatem następujące brzmienie przedmiotowego przepisu, a mianowicie: „Magazyn energii elektrycznej będący częścią instalacji odnawialnego źródła energii lub hybrydowej instalacji odnawialnego źródła energii jest wyposażony w układ pomiarowo–rozliczeniowy rejestrujący energię elektryczną wprowadzoną do magazynu energii elektrycznej i wyprowadzoną z tego magazynu, niezależnie od układu pomiarowo – rozliczeniowego rejestrującego energię elektryczną pobraną z sieci i wprowadzoną do sieci przez instalację odnawialnego źródła </w:t>
            </w:r>
            <w:r w:rsidRPr="00DE1863">
              <w:rPr>
                <w:rFonts w:ascii="Times New Roman" w:hAnsi="Times New Roman" w:cs="Times New Roman"/>
                <w:sz w:val="24"/>
                <w:szCs w:val="24"/>
              </w:rPr>
              <w:lastRenderedPageBreak/>
              <w:t>energii lub hybrydową instalację odnawialnego źródła wraz z magazynem energii.”</w:t>
            </w:r>
          </w:p>
        </w:tc>
        <w:tc>
          <w:tcPr>
            <w:tcW w:w="6344" w:type="dxa"/>
          </w:tcPr>
          <w:p w:rsidR="009B36AE" w:rsidRPr="009B36AE" w:rsidRDefault="009B36AE" w:rsidP="005C0C04">
            <w:pPr>
              <w:jc w:val="both"/>
              <w:rPr>
                <w:rFonts w:ascii="Times New Roman" w:hAnsi="Times New Roman" w:cs="Times New Roman"/>
                <w:b/>
                <w:sz w:val="24"/>
                <w:szCs w:val="24"/>
              </w:rPr>
            </w:pPr>
            <w:r w:rsidRPr="009B36AE">
              <w:rPr>
                <w:rFonts w:ascii="Times New Roman" w:hAnsi="Times New Roman" w:cs="Times New Roman"/>
                <w:b/>
                <w:sz w:val="24"/>
                <w:szCs w:val="24"/>
              </w:rPr>
              <w:lastRenderedPageBreak/>
              <w:t>Uwaga jest o charakterze nieeuropejskim.</w:t>
            </w:r>
          </w:p>
          <w:p w:rsidR="005C0C04" w:rsidRPr="009B36AE" w:rsidRDefault="0077075E" w:rsidP="005C0C04">
            <w:pPr>
              <w:jc w:val="both"/>
              <w:rPr>
                <w:rFonts w:ascii="Times New Roman" w:hAnsi="Times New Roman" w:cs="Times New Roman"/>
                <w:b/>
                <w:sz w:val="24"/>
                <w:szCs w:val="24"/>
              </w:rPr>
            </w:pPr>
            <w:r w:rsidRPr="009B36AE">
              <w:rPr>
                <w:rFonts w:ascii="Times New Roman" w:hAnsi="Times New Roman" w:cs="Times New Roman"/>
                <w:b/>
                <w:sz w:val="24"/>
                <w:szCs w:val="24"/>
              </w:rPr>
              <w:t xml:space="preserve">Uwaga </w:t>
            </w:r>
            <w:r w:rsidR="003E5E1F" w:rsidRPr="009B36AE">
              <w:rPr>
                <w:rFonts w:ascii="Times New Roman" w:hAnsi="Times New Roman" w:cs="Times New Roman"/>
                <w:b/>
                <w:sz w:val="24"/>
                <w:szCs w:val="24"/>
              </w:rPr>
              <w:t xml:space="preserve">została </w:t>
            </w:r>
            <w:r w:rsidRPr="009B36AE">
              <w:rPr>
                <w:rFonts w:ascii="Times New Roman" w:hAnsi="Times New Roman" w:cs="Times New Roman"/>
                <w:b/>
                <w:sz w:val="24"/>
                <w:szCs w:val="24"/>
              </w:rPr>
              <w:t>uwzględniona</w:t>
            </w:r>
            <w:r w:rsidR="009B36AE" w:rsidRPr="009B36AE">
              <w:rPr>
                <w:rFonts w:ascii="Times New Roman" w:hAnsi="Times New Roman" w:cs="Times New Roman"/>
                <w:b/>
                <w:sz w:val="24"/>
                <w:szCs w:val="24"/>
              </w:rPr>
              <w:t>.</w:t>
            </w:r>
          </w:p>
          <w:p w:rsidR="005C0C04" w:rsidRPr="005C0C04" w:rsidRDefault="009B36AE" w:rsidP="005C0C04">
            <w:pPr>
              <w:jc w:val="both"/>
              <w:rPr>
                <w:rFonts w:ascii="Times New Roman" w:hAnsi="Times New Roman" w:cs="Times New Roman"/>
                <w:sz w:val="24"/>
                <w:szCs w:val="24"/>
              </w:rPr>
            </w:pPr>
            <w:r>
              <w:rPr>
                <w:rFonts w:ascii="Times New Roman" w:hAnsi="Times New Roman" w:cs="Times New Roman"/>
                <w:sz w:val="24"/>
                <w:szCs w:val="24"/>
              </w:rPr>
              <w:t>W tym przypadku c</w:t>
            </w:r>
            <w:r w:rsidR="005C0C04" w:rsidRPr="005C0C04">
              <w:rPr>
                <w:rFonts w:ascii="Times New Roman" w:hAnsi="Times New Roman" w:cs="Times New Roman"/>
                <w:sz w:val="24"/>
                <w:szCs w:val="24"/>
              </w:rPr>
              <w:t xml:space="preserve">hodzi o układ pomiarowo-rozliczeniowy odrębny od układu pomiarowo-rozliczeniowego „na granicy sieci”. Nic nie sugeruje, że magazyn energii elektrycznej ma mieć odrębne połączenie z siecią. Wprost przeciwnie, gdyby tak było, nie byłby częścią instalacji OZE lub hybrydowej instalacji OZE. </w:t>
            </w:r>
          </w:p>
          <w:p w:rsidR="005C0C04" w:rsidRPr="005C0C04" w:rsidRDefault="005C0C04" w:rsidP="005C0C04">
            <w:pPr>
              <w:jc w:val="both"/>
              <w:rPr>
                <w:rFonts w:ascii="Times New Roman" w:hAnsi="Times New Roman" w:cs="Times New Roman"/>
                <w:sz w:val="24"/>
                <w:szCs w:val="24"/>
              </w:rPr>
            </w:pPr>
            <w:r w:rsidRPr="005C0C04">
              <w:rPr>
                <w:rFonts w:ascii="Times New Roman" w:hAnsi="Times New Roman" w:cs="Times New Roman"/>
                <w:sz w:val="24"/>
                <w:szCs w:val="24"/>
              </w:rPr>
              <w:t>Niemniej dla uniknięcia wątpliwości dokonano doprecyzowania.</w:t>
            </w:r>
          </w:p>
          <w:p w:rsidR="005C0C04" w:rsidRPr="005C0C04" w:rsidRDefault="005C0C04" w:rsidP="005C0C04">
            <w:pPr>
              <w:jc w:val="both"/>
              <w:rPr>
                <w:rFonts w:ascii="Times New Roman" w:hAnsi="Times New Roman" w:cs="Times New Roman"/>
                <w:sz w:val="24"/>
                <w:szCs w:val="24"/>
              </w:rPr>
            </w:pPr>
          </w:p>
          <w:p w:rsidR="00641F71" w:rsidRPr="002D58BE" w:rsidRDefault="005C0C04" w:rsidP="005C0C04">
            <w:pPr>
              <w:jc w:val="both"/>
              <w:rPr>
                <w:rFonts w:ascii="Times New Roman" w:hAnsi="Times New Roman" w:cs="Times New Roman"/>
                <w:i/>
                <w:sz w:val="24"/>
                <w:szCs w:val="24"/>
              </w:rPr>
            </w:pPr>
            <w:r w:rsidRPr="002D58BE">
              <w:rPr>
                <w:rFonts w:ascii="Times New Roman" w:hAnsi="Times New Roman" w:cs="Times New Roman"/>
                <w:i/>
                <w:sz w:val="24"/>
                <w:szCs w:val="24"/>
              </w:rPr>
              <w:t>„Magazyn energii elektrycznej będący częścią instalacji odnawialnego źródła energii lub hybrydowej instalacji odnawialnego źródła energii jest wyposażony w układ pomiarowo–rozliczeniowy rejestrujący energię elektryczną wprowadzoną do magazynu energii elektrycznej i wyprowadzoną z tego magazynu, niezależnie od układu pomiarowo – rozliczeniowego rejestrującego energię elektryczną pobraną z sieci</w:t>
            </w:r>
            <w:r w:rsidR="00850992" w:rsidRPr="002D58BE">
              <w:rPr>
                <w:rFonts w:ascii="Times New Roman" w:hAnsi="Times New Roman" w:cs="Times New Roman"/>
                <w:i/>
                <w:sz w:val="24"/>
                <w:szCs w:val="24"/>
              </w:rPr>
              <w:t xml:space="preserve"> i wprowadzoną do sieci przez tę</w:t>
            </w:r>
            <w:r w:rsidRPr="002D58BE">
              <w:rPr>
                <w:rFonts w:ascii="Times New Roman" w:hAnsi="Times New Roman" w:cs="Times New Roman"/>
                <w:i/>
                <w:sz w:val="24"/>
                <w:szCs w:val="24"/>
              </w:rPr>
              <w:t xml:space="preserve"> instalację odnawialnego źródła energii lub hybrydową </w:t>
            </w:r>
            <w:r w:rsidR="00850992" w:rsidRPr="002D58BE">
              <w:rPr>
                <w:rFonts w:ascii="Times New Roman" w:hAnsi="Times New Roman" w:cs="Times New Roman"/>
                <w:i/>
                <w:sz w:val="24"/>
                <w:szCs w:val="24"/>
              </w:rPr>
              <w:t>instalację odnawialnego źródła</w:t>
            </w:r>
            <w:r w:rsidRPr="002D58BE">
              <w:rPr>
                <w:rFonts w:ascii="Times New Roman" w:hAnsi="Times New Roman" w:cs="Times New Roman"/>
                <w:i/>
                <w:sz w:val="24"/>
                <w:szCs w:val="24"/>
              </w:rPr>
              <w:t>.”</w:t>
            </w:r>
            <w:r w:rsidR="003E5E1F" w:rsidRPr="002D58BE">
              <w:rPr>
                <w:rFonts w:ascii="Times New Roman" w:hAnsi="Times New Roman" w:cs="Times New Roman"/>
                <w:i/>
                <w:sz w:val="24"/>
                <w:szCs w:val="24"/>
              </w:rPr>
              <w:t>.</w:t>
            </w:r>
          </w:p>
          <w:p w:rsidR="003E5E1F" w:rsidRPr="00DB2B9B" w:rsidRDefault="003E5E1F" w:rsidP="005C0C04">
            <w:pPr>
              <w:jc w:val="both"/>
              <w:rPr>
                <w:rFonts w:ascii="Times New Roman" w:hAnsi="Times New Roman" w:cs="Times New Roman"/>
                <w:sz w:val="24"/>
                <w:szCs w:val="24"/>
              </w:rPr>
            </w:pP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22</w:t>
            </w:r>
          </w:p>
        </w:tc>
        <w:tc>
          <w:tcPr>
            <w:tcW w:w="1043" w:type="dxa"/>
          </w:tcPr>
          <w:p w:rsidR="00641F71" w:rsidRPr="00DB2B9B" w:rsidRDefault="00DE1863" w:rsidP="00B06E69">
            <w:pPr>
              <w:jc w:val="both"/>
              <w:rPr>
                <w:rFonts w:ascii="Times New Roman" w:hAnsi="Times New Roman" w:cs="Times New Roman"/>
                <w:sz w:val="24"/>
                <w:szCs w:val="24"/>
              </w:rPr>
            </w:pPr>
            <w:r>
              <w:rPr>
                <w:rFonts w:ascii="Times New Roman" w:hAnsi="Times New Roman" w:cs="Times New Roman"/>
                <w:sz w:val="24"/>
                <w:szCs w:val="24"/>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15.</w:t>
            </w:r>
            <w:r w:rsidRPr="00DE1863">
              <w:rPr>
                <w:rFonts w:ascii="Times New Roman" w:hAnsi="Times New Roman" w:cs="Times New Roman"/>
                <w:sz w:val="24"/>
                <w:szCs w:val="24"/>
              </w:rPr>
              <w:tab/>
              <w:t>Art. 4 pkt 9 lit. c) – zmiana art. 92 uOZE</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 ust. 14 i 15 powinna być uwzględniona w kwestia strat w procesie magazynowania energii pobranej z sieci. W związku z tym zapis powinien stanowić, że ilość energii z OZE (energii o której mowa w ust. 11) to różnica „pomiędzy ilością energii elektrycznej wprowadzonej do sieci z tej instalacji a ilością energii elektrycznej pobranej z sieci przez magazyn energii elektrycznej, będący częścią tej instalacji, skorygowaną współczynnikiem sprawności tego magazynu”.</w:t>
            </w:r>
          </w:p>
        </w:tc>
        <w:tc>
          <w:tcPr>
            <w:tcW w:w="6344" w:type="dxa"/>
          </w:tcPr>
          <w:p w:rsidR="009B36AE" w:rsidRPr="009B36AE" w:rsidRDefault="009B36AE" w:rsidP="003E165D">
            <w:pPr>
              <w:jc w:val="both"/>
              <w:rPr>
                <w:rFonts w:ascii="Times New Roman" w:hAnsi="Times New Roman" w:cs="Times New Roman"/>
                <w:b/>
                <w:sz w:val="24"/>
                <w:szCs w:val="24"/>
              </w:rPr>
            </w:pPr>
            <w:r w:rsidRPr="009B36AE">
              <w:rPr>
                <w:rFonts w:ascii="Times New Roman" w:hAnsi="Times New Roman" w:cs="Times New Roman"/>
                <w:b/>
                <w:sz w:val="24"/>
                <w:szCs w:val="24"/>
              </w:rPr>
              <w:t>Uwaga jest o charakterze nieeuropejskim.</w:t>
            </w:r>
          </w:p>
          <w:p w:rsidR="009B36AE" w:rsidRPr="009B36AE" w:rsidRDefault="003E165D" w:rsidP="003E165D">
            <w:pPr>
              <w:jc w:val="both"/>
              <w:rPr>
                <w:rFonts w:ascii="Times New Roman" w:hAnsi="Times New Roman" w:cs="Times New Roman"/>
                <w:b/>
                <w:sz w:val="24"/>
                <w:szCs w:val="24"/>
              </w:rPr>
            </w:pPr>
            <w:r w:rsidRPr="009B36AE">
              <w:rPr>
                <w:rFonts w:ascii="Times New Roman" w:hAnsi="Times New Roman" w:cs="Times New Roman"/>
                <w:b/>
                <w:sz w:val="24"/>
                <w:szCs w:val="24"/>
              </w:rPr>
              <w:t xml:space="preserve">Uwaga </w:t>
            </w:r>
            <w:r w:rsidR="003E5E1F" w:rsidRPr="009B36AE">
              <w:rPr>
                <w:rFonts w:ascii="Times New Roman" w:hAnsi="Times New Roman" w:cs="Times New Roman"/>
                <w:b/>
                <w:sz w:val="24"/>
                <w:szCs w:val="24"/>
              </w:rPr>
              <w:t xml:space="preserve">została </w:t>
            </w:r>
            <w:r w:rsidR="009B36AE" w:rsidRPr="009B36AE">
              <w:rPr>
                <w:rFonts w:ascii="Times New Roman" w:hAnsi="Times New Roman" w:cs="Times New Roman"/>
                <w:b/>
                <w:sz w:val="24"/>
                <w:szCs w:val="24"/>
              </w:rPr>
              <w:t>uwzględniona.</w:t>
            </w:r>
          </w:p>
          <w:p w:rsidR="003E165D" w:rsidRDefault="009B36AE" w:rsidP="003E165D">
            <w:pPr>
              <w:jc w:val="both"/>
              <w:rPr>
                <w:rFonts w:ascii="Times New Roman" w:hAnsi="Times New Roman" w:cs="Times New Roman"/>
                <w:sz w:val="24"/>
                <w:szCs w:val="24"/>
              </w:rPr>
            </w:pPr>
            <w:r>
              <w:rPr>
                <w:rFonts w:ascii="Times New Roman" w:hAnsi="Times New Roman" w:cs="Times New Roman"/>
                <w:sz w:val="24"/>
                <w:szCs w:val="24"/>
              </w:rPr>
              <w:t>Z</w:t>
            </w:r>
            <w:r w:rsidR="003E165D">
              <w:rPr>
                <w:rFonts w:ascii="Times New Roman" w:hAnsi="Times New Roman" w:cs="Times New Roman"/>
                <w:sz w:val="24"/>
                <w:szCs w:val="24"/>
              </w:rPr>
              <w:t>aproponowano następujące brzmienie dodanych w art. 92 ustawy OZE ust. 14 i 15, przenosząc treść dotychczas dodanego ust. 15 do ust. 16:</w:t>
            </w:r>
          </w:p>
          <w:p w:rsidR="003E165D" w:rsidRPr="002D58BE" w:rsidRDefault="003E165D" w:rsidP="003E165D">
            <w:pPr>
              <w:jc w:val="both"/>
              <w:rPr>
                <w:rFonts w:ascii="Times New Roman" w:hAnsi="Times New Roman" w:cs="Times New Roman"/>
                <w:i/>
                <w:sz w:val="24"/>
                <w:szCs w:val="24"/>
              </w:rPr>
            </w:pPr>
            <w:r w:rsidRPr="002D58BE">
              <w:rPr>
                <w:rFonts w:ascii="Times New Roman" w:hAnsi="Times New Roman" w:cs="Times New Roman"/>
                <w:i/>
                <w:sz w:val="24"/>
                <w:szCs w:val="24"/>
              </w:rPr>
              <w:t>14. Jeżeli instalacja odnawialnego źródła energii lub hybrydowa instalacja odnawialnego źródła energii obejmuje magazyn energii elektrycznej, ilość energii elektrycznej, o której mowa w ust. 11, oblicza się jako różnicę pomiędzy ilością energii elektrycznej wprowadzonej do sieci z tej instalacji a ilością energii elektrycznej pobranej z sieci przez magazyn energii elektrycznej, będący częścią tej instalacji, skorygowaną współczynnikiem sprawności magazynu energii elektrycznej.</w:t>
            </w:r>
          </w:p>
          <w:p w:rsidR="007A6E75" w:rsidRPr="009B36AE" w:rsidRDefault="003E165D" w:rsidP="00B06E69">
            <w:pPr>
              <w:jc w:val="both"/>
              <w:rPr>
                <w:rFonts w:ascii="Times New Roman" w:hAnsi="Times New Roman" w:cs="Times New Roman"/>
                <w:i/>
                <w:sz w:val="24"/>
                <w:szCs w:val="24"/>
              </w:rPr>
            </w:pPr>
            <w:r w:rsidRPr="002D58BE">
              <w:rPr>
                <w:rFonts w:ascii="Times New Roman" w:hAnsi="Times New Roman" w:cs="Times New Roman"/>
                <w:i/>
                <w:sz w:val="24"/>
                <w:szCs w:val="24"/>
              </w:rPr>
              <w:t>15. Przez sprawność magazynu energii elektrycznej, o której mowa w ust. 14 rozumie się stosunek energii elektrycznej wyprowadzonej z magazynu energii elektrycznej do energii elektrycznej wprowadzonej do tego magazynu, wyrażony w procentach w ramach jednego pełnego cyklu pracy magazynu energii elektrycznej, przy wykorzystaniu nominalnej pojemności tego magazynu oraz ładowania i rozładowywania go mocą nominalną.</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23</w:t>
            </w:r>
          </w:p>
        </w:tc>
        <w:tc>
          <w:tcPr>
            <w:tcW w:w="1043" w:type="dxa"/>
          </w:tcPr>
          <w:p w:rsidR="00641F71" w:rsidRPr="00DB2B9B" w:rsidRDefault="00DE1863" w:rsidP="00B06E69">
            <w:pPr>
              <w:jc w:val="both"/>
              <w:rPr>
                <w:rFonts w:ascii="Times New Roman" w:hAnsi="Times New Roman" w:cs="Times New Roman"/>
                <w:sz w:val="24"/>
                <w:szCs w:val="24"/>
              </w:rPr>
            </w:pPr>
            <w:r>
              <w:rPr>
                <w:rFonts w:ascii="Times New Roman" w:hAnsi="Times New Roman" w:cs="Times New Roman"/>
                <w:sz w:val="24"/>
                <w:szCs w:val="24"/>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16.</w:t>
            </w:r>
            <w:r w:rsidRPr="00DE1863">
              <w:rPr>
                <w:rFonts w:ascii="Times New Roman" w:hAnsi="Times New Roman" w:cs="Times New Roman"/>
                <w:sz w:val="24"/>
                <w:szCs w:val="24"/>
              </w:rPr>
              <w:tab/>
              <w:t>Art. 4 pkt 13 – nowy art. 209a uOZE</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W świetle wydania rozporządzenia Ministra Klimatu w sprawie ceny referencyjnej energii elektrycznej z odnawialnych źródeł energii w 2020 r. oraz okresów obowiązujących wytwórców, którzy wygrali aukcje w 2020 r. przepis wydaje się bezprzedmiotowy, a dodatkowo przepis ten jest sprzeczny z obowiązującym już aktem normatywnym, gdyż ceny referencyjne na rok 2020 zostały już określone w opublikowanym w dniu 4 maja 2020 r. </w:t>
            </w:r>
            <w:r w:rsidRPr="00DE1863">
              <w:rPr>
                <w:rFonts w:ascii="Times New Roman" w:hAnsi="Times New Roman" w:cs="Times New Roman"/>
                <w:sz w:val="24"/>
                <w:szCs w:val="24"/>
              </w:rPr>
              <w:lastRenderedPageBreak/>
              <w:t>rozporządzeniu Ministra Klimatu z dnia 24 kwietnia 2020 r. w sprawie ceny referencyjnej energii elektrycznej z odnawialnych źródeł energii w 2020r. oraz okresów obowiązujących wytwórców, którzy wygrali aukcje w 2020 r. (Dz.U. 2020 poz. 798). Brak jest zatem zasadności utrzymania obowiązania cen referencyjnych określonych na rok 2019, w roku 2020.</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Jednakże, w przypadku uznania za celowe pozostawienie tego przepisu, art. 209a mógłby mieć następujące brzmienie, a mianowicie: „Art. 209a. 1. Ceny referencyjne, o których mowa w art. 77 ust. 3 pkt 1, określone na rok 2020, obowiązują w roku 2021 i kolejnych latach kalendarzowych, nie dłużej niż do końca roku kalendarzowego, w którym minister właściwy do spraw energii wyda rozporządzenie, o którym mowa w art. 77 ust. 3.”</w:t>
            </w:r>
          </w:p>
        </w:tc>
        <w:tc>
          <w:tcPr>
            <w:tcW w:w="6344" w:type="dxa"/>
          </w:tcPr>
          <w:p w:rsidR="009B36AE" w:rsidRPr="009B36AE" w:rsidRDefault="009B36AE" w:rsidP="00B06E69">
            <w:pPr>
              <w:jc w:val="both"/>
              <w:rPr>
                <w:rFonts w:ascii="Times New Roman" w:hAnsi="Times New Roman" w:cs="Times New Roman"/>
                <w:b/>
                <w:sz w:val="24"/>
                <w:szCs w:val="24"/>
              </w:rPr>
            </w:pPr>
            <w:r w:rsidRPr="009B36AE">
              <w:rPr>
                <w:rFonts w:ascii="Times New Roman" w:hAnsi="Times New Roman" w:cs="Times New Roman"/>
                <w:b/>
                <w:sz w:val="24"/>
                <w:szCs w:val="24"/>
              </w:rPr>
              <w:lastRenderedPageBreak/>
              <w:t>Uwaga jest o charakterze legislacyjnym i nieeuropejskim.</w:t>
            </w:r>
          </w:p>
          <w:p w:rsidR="00641F71" w:rsidRDefault="003E5E1F" w:rsidP="00B06E69">
            <w:pPr>
              <w:jc w:val="both"/>
              <w:rPr>
                <w:rFonts w:ascii="Times New Roman" w:hAnsi="Times New Roman" w:cs="Times New Roman"/>
                <w:sz w:val="24"/>
                <w:szCs w:val="24"/>
              </w:rPr>
            </w:pPr>
            <w:r w:rsidRPr="009B36AE">
              <w:rPr>
                <w:rFonts w:ascii="Times New Roman" w:hAnsi="Times New Roman" w:cs="Times New Roman"/>
                <w:b/>
                <w:sz w:val="24"/>
                <w:szCs w:val="24"/>
              </w:rPr>
              <w:t>Uwaga została uwzględniona</w:t>
            </w:r>
            <w:r>
              <w:rPr>
                <w:rFonts w:ascii="Times New Roman" w:hAnsi="Times New Roman" w:cs="Times New Roman"/>
                <w:sz w:val="24"/>
                <w:szCs w:val="24"/>
              </w:rPr>
              <w:t xml:space="preserve"> poprzez zrezygnowanie ze zmiany w art. 4 pkt 13. </w:t>
            </w:r>
          </w:p>
          <w:p w:rsidR="00E53631" w:rsidRPr="00DB2B9B" w:rsidRDefault="00E53631" w:rsidP="00B06E69">
            <w:pPr>
              <w:jc w:val="both"/>
              <w:rPr>
                <w:rFonts w:ascii="Times New Roman" w:hAnsi="Times New Roman" w:cs="Times New Roman"/>
                <w:sz w:val="24"/>
                <w:szCs w:val="24"/>
              </w:rPr>
            </w:pP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24</w:t>
            </w:r>
          </w:p>
        </w:tc>
        <w:tc>
          <w:tcPr>
            <w:tcW w:w="1043" w:type="dxa"/>
          </w:tcPr>
          <w:p w:rsidR="00641F71" w:rsidRPr="00DB2B9B" w:rsidRDefault="00DE1863" w:rsidP="00B06E69">
            <w:pPr>
              <w:jc w:val="both"/>
              <w:rPr>
                <w:rFonts w:ascii="Times New Roman" w:hAnsi="Times New Roman" w:cs="Times New Roman"/>
                <w:sz w:val="24"/>
                <w:szCs w:val="24"/>
              </w:rPr>
            </w:pPr>
            <w:r>
              <w:rPr>
                <w:rFonts w:ascii="Times New Roman" w:hAnsi="Times New Roman" w:cs="Times New Roman"/>
                <w:sz w:val="24"/>
                <w:szCs w:val="24"/>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17.</w:t>
            </w:r>
            <w:r w:rsidRPr="00DE1863">
              <w:rPr>
                <w:rFonts w:ascii="Times New Roman" w:hAnsi="Times New Roman" w:cs="Times New Roman"/>
                <w:sz w:val="24"/>
                <w:szCs w:val="24"/>
              </w:rPr>
              <w:tab/>
              <w:t>Zmiana ustawy o odnawialnych źródłach energii – uwaga ogólna</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Biorąc pod uwagę, że zapisy ustawy o odnawialnych źródłach energii przewidują wyraźnie, że prawo do udziału w systemach wsparcia (FIT/FIP/aukcje) ma jedynie wytwórca energii elektrycznej z OZE w instalacji posiadającej wyodrębniony zespół urządzeń służących do wyprowadzania mocy wyłącznie z tej instalacji do sieci (70a ust. 1 i 2, 71 ust. 1, 75 ust. 1), we wszystkich tych postanowieniach powinna zostać zawarta wyraźna regulacja stanowiąca, że wystąpienie o wydanie zaświadczenia/deklaracji jest możliwe również w przypadku instalacji, w skład której wchodzi magazyn energii, także wówczas, gdy taki magazyn ma możliwość pobierania energii z sieci, a nie tylko z instalacji OZE, z którą jest połączony. Sam zapis proponowanego w tym zakresie art. </w:t>
            </w:r>
            <w:r w:rsidRPr="00DE1863">
              <w:rPr>
                <w:rFonts w:ascii="Times New Roman" w:hAnsi="Times New Roman" w:cs="Times New Roman"/>
                <w:sz w:val="24"/>
                <w:szCs w:val="24"/>
              </w:rPr>
              <w:lastRenderedPageBreak/>
              <w:t>92 ust. 13 wydaje się w tym zakresie niewystarczający, bo stosuje się go dopiero na etapie rozliczeń ujemnego salda.</w:t>
            </w:r>
          </w:p>
        </w:tc>
        <w:tc>
          <w:tcPr>
            <w:tcW w:w="6344" w:type="dxa"/>
          </w:tcPr>
          <w:p w:rsidR="009B36AE" w:rsidRPr="009B36AE" w:rsidRDefault="009B36AE" w:rsidP="005C0C04">
            <w:pPr>
              <w:jc w:val="both"/>
              <w:rPr>
                <w:rFonts w:ascii="Times New Roman" w:hAnsi="Times New Roman" w:cs="Times New Roman"/>
                <w:b/>
                <w:sz w:val="24"/>
                <w:szCs w:val="24"/>
              </w:rPr>
            </w:pPr>
            <w:r w:rsidRPr="009B36AE">
              <w:rPr>
                <w:rFonts w:ascii="Times New Roman" w:hAnsi="Times New Roman" w:cs="Times New Roman"/>
                <w:b/>
                <w:sz w:val="24"/>
                <w:szCs w:val="24"/>
              </w:rPr>
              <w:lastRenderedPageBreak/>
              <w:t>Uwagi są o charakterze nieeuropejskim.</w:t>
            </w:r>
          </w:p>
          <w:p w:rsidR="00BF6B8D" w:rsidRPr="009B36AE" w:rsidRDefault="00BF6B8D" w:rsidP="005C0C04">
            <w:pPr>
              <w:jc w:val="both"/>
              <w:rPr>
                <w:rFonts w:ascii="Times New Roman" w:hAnsi="Times New Roman" w:cs="Times New Roman"/>
                <w:b/>
                <w:sz w:val="24"/>
                <w:szCs w:val="24"/>
              </w:rPr>
            </w:pPr>
            <w:r w:rsidRPr="009B36AE">
              <w:rPr>
                <w:rFonts w:ascii="Times New Roman" w:hAnsi="Times New Roman" w:cs="Times New Roman"/>
                <w:b/>
                <w:sz w:val="24"/>
                <w:szCs w:val="24"/>
              </w:rPr>
              <w:t>Uwagi zostały uwzględnione.</w:t>
            </w:r>
          </w:p>
          <w:p w:rsidR="005C0C04" w:rsidRPr="002D58BE" w:rsidRDefault="0064726A" w:rsidP="005C0C04">
            <w:pPr>
              <w:jc w:val="both"/>
              <w:rPr>
                <w:rFonts w:ascii="Times New Roman" w:hAnsi="Times New Roman" w:cs="Times New Roman"/>
                <w:i/>
                <w:sz w:val="24"/>
                <w:szCs w:val="24"/>
              </w:rPr>
            </w:pPr>
            <w:r w:rsidRPr="002D58BE">
              <w:rPr>
                <w:rFonts w:ascii="Times New Roman" w:hAnsi="Times New Roman" w:cs="Times New Roman"/>
                <w:i/>
                <w:sz w:val="24"/>
                <w:szCs w:val="24"/>
              </w:rPr>
              <w:t xml:space="preserve">1) </w:t>
            </w:r>
            <w:r w:rsidR="005C0C04" w:rsidRPr="002D58BE">
              <w:rPr>
                <w:rFonts w:ascii="Times New Roman" w:hAnsi="Times New Roman" w:cs="Times New Roman"/>
                <w:i/>
                <w:sz w:val="24"/>
                <w:szCs w:val="24"/>
              </w:rPr>
              <w:t xml:space="preserve">w art. 70a po ust. 4 dodaje się ust. 5 w brzmieniu: </w:t>
            </w:r>
          </w:p>
          <w:p w:rsidR="005C0C04" w:rsidRPr="002D58BE" w:rsidRDefault="005C0C04" w:rsidP="005C0C04">
            <w:pPr>
              <w:jc w:val="both"/>
              <w:rPr>
                <w:rFonts w:ascii="Times New Roman" w:hAnsi="Times New Roman" w:cs="Times New Roman"/>
                <w:i/>
                <w:sz w:val="24"/>
                <w:szCs w:val="24"/>
              </w:rPr>
            </w:pPr>
            <w:r w:rsidRPr="002D58BE">
              <w:rPr>
                <w:rFonts w:ascii="Times New Roman" w:hAnsi="Times New Roman" w:cs="Times New Roman"/>
                <w:i/>
                <w:sz w:val="24"/>
                <w:szCs w:val="24"/>
              </w:rPr>
              <w:t>„5.  Magazynowanie energii elektrycznej pobranej z sieci przez magazyn energii elektrycznej stanowiący część instalacji odnawialnego źródła energii lub hybrydowej instalacji odnawialnego źródła energii pozostaje bez wpływu na prawo do stałej ceny zakupu, o której mowa w ust. 1 ani prawa do pokrycia ujemneg</w:t>
            </w:r>
            <w:r w:rsidR="001F7A87" w:rsidRPr="002D58BE">
              <w:rPr>
                <w:rFonts w:ascii="Times New Roman" w:hAnsi="Times New Roman" w:cs="Times New Roman"/>
                <w:i/>
                <w:sz w:val="24"/>
                <w:szCs w:val="24"/>
              </w:rPr>
              <w:t>o salda, o którym mowa w ust. 2</w:t>
            </w:r>
            <w:r w:rsidRPr="002D58BE">
              <w:rPr>
                <w:rFonts w:ascii="Times New Roman" w:hAnsi="Times New Roman" w:cs="Times New Roman"/>
                <w:i/>
                <w:sz w:val="24"/>
                <w:szCs w:val="24"/>
              </w:rPr>
              <w:t>, pod warunkiem spełnienia wyma</w:t>
            </w:r>
            <w:r w:rsidR="00B256F7" w:rsidRPr="002D58BE">
              <w:rPr>
                <w:rFonts w:ascii="Times New Roman" w:hAnsi="Times New Roman" w:cs="Times New Roman"/>
                <w:i/>
                <w:sz w:val="24"/>
                <w:szCs w:val="24"/>
              </w:rPr>
              <w:t>gań określonych w art. 45 ust. 8</w:t>
            </w:r>
            <w:r w:rsidRPr="002D58BE">
              <w:rPr>
                <w:rFonts w:ascii="Times New Roman" w:hAnsi="Times New Roman" w:cs="Times New Roman"/>
                <w:i/>
                <w:sz w:val="24"/>
                <w:szCs w:val="24"/>
              </w:rPr>
              <w:t>.”,</w:t>
            </w:r>
          </w:p>
          <w:p w:rsidR="00B256F7" w:rsidRPr="002D58BE" w:rsidRDefault="0064726A" w:rsidP="005C0C04">
            <w:pPr>
              <w:jc w:val="both"/>
              <w:rPr>
                <w:rFonts w:ascii="Times New Roman" w:hAnsi="Times New Roman" w:cs="Times New Roman"/>
                <w:i/>
                <w:sz w:val="24"/>
                <w:szCs w:val="24"/>
              </w:rPr>
            </w:pPr>
            <w:r w:rsidRPr="002D58BE">
              <w:rPr>
                <w:rFonts w:ascii="Times New Roman" w:hAnsi="Times New Roman" w:cs="Times New Roman"/>
                <w:i/>
                <w:sz w:val="24"/>
                <w:szCs w:val="24"/>
              </w:rPr>
              <w:t xml:space="preserve">2) </w:t>
            </w:r>
            <w:r w:rsidR="00B256F7" w:rsidRPr="002D58BE">
              <w:rPr>
                <w:rFonts w:ascii="Times New Roman" w:hAnsi="Times New Roman" w:cs="Times New Roman"/>
                <w:i/>
                <w:sz w:val="24"/>
                <w:szCs w:val="24"/>
              </w:rPr>
              <w:t>w art. 71 po ust. 5 dodaje się ust. 6 w brzmieniu:</w:t>
            </w:r>
          </w:p>
          <w:p w:rsidR="00B256F7" w:rsidRPr="002D58BE" w:rsidRDefault="00B256F7" w:rsidP="005C0C04">
            <w:pPr>
              <w:jc w:val="both"/>
              <w:rPr>
                <w:rFonts w:ascii="Times New Roman" w:hAnsi="Times New Roman" w:cs="Times New Roman"/>
                <w:i/>
                <w:sz w:val="24"/>
                <w:szCs w:val="24"/>
              </w:rPr>
            </w:pPr>
            <w:r w:rsidRPr="002D58BE">
              <w:rPr>
                <w:rFonts w:ascii="Times New Roman" w:hAnsi="Times New Roman" w:cs="Times New Roman"/>
                <w:i/>
                <w:sz w:val="24"/>
                <w:szCs w:val="24"/>
              </w:rPr>
              <w:t>„6. Magazynowanie energii elektrycznej pobranej z sieci przez magazyn energii elektrycznej stanowiący część instalacji odnawialnego źródła energii lub hybrydowej instalacji odnawialnego źródła energii poz</w:t>
            </w:r>
            <w:r w:rsidR="0064726A" w:rsidRPr="002D58BE">
              <w:rPr>
                <w:rFonts w:ascii="Times New Roman" w:hAnsi="Times New Roman" w:cs="Times New Roman"/>
                <w:i/>
                <w:sz w:val="24"/>
                <w:szCs w:val="24"/>
              </w:rPr>
              <w:t>ostaje bez wpływu na uprawnienie</w:t>
            </w:r>
            <w:r w:rsidRPr="002D58BE">
              <w:rPr>
                <w:rFonts w:ascii="Times New Roman" w:hAnsi="Times New Roman" w:cs="Times New Roman"/>
                <w:i/>
                <w:sz w:val="24"/>
                <w:szCs w:val="24"/>
              </w:rPr>
              <w:t xml:space="preserve"> do</w:t>
            </w:r>
            <w:r w:rsidR="0064726A" w:rsidRPr="002D58BE">
              <w:rPr>
                <w:rFonts w:ascii="Times New Roman" w:hAnsi="Times New Roman" w:cs="Times New Roman"/>
                <w:i/>
                <w:sz w:val="24"/>
                <w:szCs w:val="24"/>
              </w:rPr>
              <w:t xml:space="preserve"> uczestniczenia w aukcji</w:t>
            </w:r>
            <w:r w:rsidRPr="002D58BE">
              <w:rPr>
                <w:rFonts w:ascii="Times New Roman" w:hAnsi="Times New Roman" w:cs="Times New Roman"/>
                <w:i/>
                <w:sz w:val="24"/>
                <w:szCs w:val="24"/>
              </w:rPr>
              <w:t>, pod warunkiem spełnienia wymagań określonych w art. 45 ust. 8.”,</w:t>
            </w:r>
          </w:p>
          <w:p w:rsidR="005C0C04" w:rsidRPr="002D58BE" w:rsidRDefault="0064726A" w:rsidP="005C0C04">
            <w:pPr>
              <w:jc w:val="both"/>
              <w:rPr>
                <w:rFonts w:ascii="Times New Roman" w:hAnsi="Times New Roman" w:cs="Times New Roman"/>
                <w:i/>
                <w:sz w:val="24"/>
                <w:szCs w:val="24"/>
              </w:rPr>
            </w:pPr>
            <w:r w:rsidRPr="002D58BE">
              <w:rPr>
                <w:rFonts w:ascii="Times New Roman" w:hAnsi="Times New Roman" w:cs="Times New Roman"/>
                <w:i/>
                <w:sz w:val="24"/>
                <w:szCs w:val="24"/>
              </w:rPr>
              <w:lastRenderedPageBreak/>
              <w:t>3</w:t>
            </w:r>
            <w:r w:rsidR="005C0C04" w:rsidRPr="002D58BE">
              <w:rPr>
                <w:rFonts w:ascii="Times New Roman" w:hAnsi="Times New Roman" w:cs="Times New Roman"/>
                <w:i/>
                <w:sz w:val="24"/>
                <w:szCs w:val="24"/>
              </w:rPr>
              <w:t>)  w art. 75 po ust. 8 dodaje się ust. 9 w brzmieniu:</w:t>
            </w:r>
          </w:p>
          <w:p w:rsidR="00641F71" w:rsidRPr="002D58BE" w:rsidRDefault="005C0C04" w:rsidP="005C0C04">
            <w:pPr>
              <w:jc w:val="both"/>
              <w:rPr>
                <w:rFonts w:ascii="Times New Roman" w:hAnsi="Times New Roman" w:cs="Times New Roman"/>
                <w:i/>
                <w:sz w:val="24"/>
                <w:szCs w:val="24"/>
              </w:rPr>
            </w:pPr>
            <w:r w:rsidRPr="002D58BE">
              <w:rPr>
                <w:rFonts w:ascii="Times New Roman" w:hAnsi="Times New Roman" w:cs="Times New Roman"/>
                <w:i/>
                <w:sz w:val="24"/>
                <w:szCs w:val="24"/>
              </w:rPr>
              <w:t>„9.  Magazynowanie energii elektrycznej pobranej z sieci przez magazyn energii elektrycznej stanowiący część instalacji odnawialnego źródła energii lub hybrydowej instalacji odnawialnego źródła energii pozostaje bez wpływu na prawo do pokrycia ujemnego salda, o którym mowa w art. 93 ust. 2 pkt 3, pod warunkiem spełnienia wymag</w:t>
            </w:r>
            <w:r w:rsidR="00B256F7" w:rsidRPr="002D58BE">
              <w:rPr>
                <w:rFonts w:ascii="Times New Roman" w:hAnsi="Times New Roman" w:cs="Times New Roman"/>
                <w:i/>
                <w:sz w:val="24"/>
                <w:szCs w:val="24"/>
              </w:rPr>
              <w:t>ań określonych w art. 45  ust. 8</w:t>
            </w:r>
            <w:r w:rsidRPr="002D58BE">
              <w:rPr>
                <w:rFonts w:ascii="Times New Roman" w:hAnsi="Times New Roman" w:cs="Times New Roman"/>
                <w:i/>
                <w:sz w:val="24"/>
                <w:szCs w:val="24"/>
              </w:rPr>
              <w:t>.”,</w:t>
            </w:r>
          </w:p>
          <w:p w:rsidR="00B256F7" w:rsidRDefault="00B256F7" w:rsidP="005C0C04">
            <w:pPr>
              <w:jc w:val="both"/>
              <w:rPr>
                <w:rFonts w:ascii="Times New Roman" w:hAnsi="Times New Roman" w:cs="Times New Roman"/>
                <w:sz w:val="24"/>
                <w:szCs w:val="24"/>
              </w:rPr>
            </w:pPr>
            <w:r>
              <w:rPr>
                <w:rFonts w:ascii="Times New Roman" w:hAnsi="Times New Roman" w:cs="Times New Roman"/>
                <w:sz w:val="24"/>
                <w:szCs w:val="24"/>
              </w:rPr>
              <w:t>Analogiczny przepis występuje w odniesieniu do świadectw pochodzenia:</w:t>
            </w:r>
          </w:p>
          <w:p w:rsidR="00B256F7" w:rsidRPr="002D58BE" w:rsidRDefault="00B256F7" w:rsidP="00B256F7">
            <w:pPr>
              <w:jc w:val="both"/>
              <w:rPr>
                <w:rFonts w:ascii="Times New Roman" w:hAnsi="Times New Roman" w:cs="Times New Roman"/>
                <w:i/>
                <w:sz w:val="24"/>
                <w:szCs w:val="24"/>
              </w:rPr>
            </w:pPr>
            <w:r w:rsidRPr="002D58BE">
              <w:rPr>
                <w:rFonts w:ascii="Times New Roman" w:hAnsi="Times New Roman" w:cs="Times New Roman"/>
                <w:i/>
                <w:sz w:val="24"/>
                <w:szCs w:val="24"/>
              </w:rPr>
              <w:t>7) w art. 45:</w:t>
            </w:r>
          </w:p>
          <w:p w:rsidR="00B256F7" w:rsidRPr="002D58BE" w:rsidRDefault="00B256F7" w:rsidP="00B256F7">
            <w:pPr>
              <w:jc w:val="both"/>
              <w:rPr>
                <w:rFonts w:ascii="Times New Roman" w:hAnsi="Times New Roman" w:cs="Times New Roman"/>
                <w:i/>
                <w:sz w:val="24"/>
                <w:szCs w:val="24"/>
              </w:rPr>
            </w:pPr>
            <w:r w:rsidRPr="002D58BE">
              <w:rPr>
                <w:rFonts w:ascii="Times New Roman" w:hAnsi="Times New Roman" w:cs="Times New Roman"/>
                <w:i/>
                <w:sz w:val="24"/>
                <w:szCs w:val="24"/>
              </w:rPr>
              <w:t>a) po ust. 6 dodaje się ust. 6a w brzmieniu:</w:t>
            </w:r>
          </w:p>
          <w:p w:rsidR="00850992" w:rsidRPr="009B36AE" w:rsidRDefault="00B256F7" w:rsidP="005C0C04">
            <w:pPr>
              <w:jc w:val="both"/>
              <w:rPr>
                <w:rFonts w:ascii="Times New Roman" w:hAnsi="Times New Roman" w:cs="Times New Roman"/>
                <w:i/>
                <w:sz w:val="24"/>
                <w:szCs w:val="24"/>
              </w:rPr>
            </w:pPr>
            <w:r w:rsidRPr="002D58BE">
              <w:rPr>
                <w:rFonts w:ascii="Times New Roman" w:hAnsi="Times New Roman" w:cs="Times New Roman"/>
                <w:i/>
                <w:sz w:val="24"/>
                <w:szCs w:val="24"/>
              </w:rPr>
              <w:t xml:space="preserve">„6a. Magazynowanie energii elektrycznej pobranej z sieci przez magazyn energii elektrycznej stanowiący część instalacji odnawialnego źródła energii lub hybrydowej instalacji odnawialnego źródła energii pozostaje bez wpływu na uprawnienia do otrzymywania świadectw pochodzenia lub gwarancji pochodzenia, pod warunkiem spełnienia wymagań </w:t>
            </w:r>
            <w:r w:rsidR="009B36AE">
              <w:rPr>
                <w:rFonts w:ascii="Times New Roman" w:hAnsi="Times New Roman" w:cs="Times New Roman"/>
                <w:i/>
                <w:sz w:val="24"/>
                <w:szCs w:val="24"/>
              </w:rPr>
              <w:t>określonych w art. 45 ust. 8.”,</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1043" w:type="dxa"/>
          </w:tcPr>
          <w:p w:rsidR="00641F71" w:rsidRPr="00DB2B9B" w:rsidRDefault="00DE1863" w:rsidP="00B06E69">
            <w:pPr>
              <w:jc w:val="both"/>
              <w:rPr>
                <w:rFonts w:ascii="Times New Roman" w:hAnsi="Times New Roman" w:cs="Times New Roman"/>
                <w:sz w:val="24"/>
                <w:szCs w:val="24"/>
              </w:rPr>
            </w:pPr>
            <w:r>
              <w:rPr>
                <w:rFonts w:ascii="Times New Roman" w:hAnsi="Times New Roman" w:cs="Times New Roman"/>
                <w:sz w:val="24"/>
                <w:szCs w:val="24"/>
              </w:rPr>
              <w:t>MAP</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18.</w:t>
            </w:r>
            <w:r w:rsidRPr="00DE1863">
              <w:rPr>
                <w:rFonts w:ascii="Times New Roman" w:hAnsi="Times New Roman" w:cs="Times New Roman"/>
                <w:sz w:val="24"/>
                <w:szCs w:val="24"/>
              </w:rPr>
              <w:tab/>
              <w:t>Art. 28</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Projekt odwołuje się do art. 17 i 19 ustawy zmienianej w art. 5 (ustawa o rynku mocy), a powinien – prawdopodobnie – odwoływać się do ustawy zmienianej w art. 6 (o elektromobilności). Uprzejma prośba o weryfikację tej kwestii.</w:t>
            </w:r>
          </w:p>
        </w:tc>
        <w:tc>
          <w:tcPr>
            <w:tcW w:w="6344" w:type="dxa"/>
          </w:tcPr>
          <w:p w:rsidR="009B36AE" w:rsidRPr="009B36AE" w:rsidRDefault="009B36AE" w:rsidP="00B06E69">
            <w:pPr>
              <w:jc w:val="both"/>
              <w:rPr>
                <w:rFonts w:ascii="Times New Roman" w:hAnsi="Times New Roman" w:cs="Times New Roman"/>
                <w:b/>
                <w:sz w:val="24"/>
                <w:szCs w:val="24"/>
              </w:rPr>
            </w:pPr>
            <w:r w:rsidRPr="009B36AE">
              <w:rPr>
                <w:rFonts w:ascii="Times New Roman" w:hAnsi="Times New Roman" w:cs="Times New Roman"/>
                <w:b/>
                <w:sz w:val="24"/>
                <w:szCs w:val="24"/>
              </w:rPr>
              <w:t>Uwaga jest o charakterze legislacyjnym i nieeuropejskim.</w:t>
            </w:r>
          </w:p>
          <w:p w:rsidR="00641F71" w:rsidRDefault="00673D89" w:rsidP="00B06E69">
            <w:pPr>
              <w:jc w:val="both"/>
              <w:rPr>
                <w:rFonts w:ascii="Times New Roman" w:hAnsi="Times New Roman" w:cs="Times New Roman"/>
                <w:sz w:val="24"/>
                <w:szCs w:val="24"/>
              </w:rPr>
            </w:pPr>
            <w:r w:rsidRPr="009B36AE">
              <w:rPr>
                <w:rFonts w:ascii="Times New Roman" w:hAnsi="Times New Roman" w:cs="Times New Roman"/>
                <w:b/>
                <w:sz w:val="24"/>
                <w:szCs w:val="24"/>
              </w:rPr>
              <w:t xml:space="preserve">Uwaga </w:t>
            </w:r>
            <w:r w:rsidR="00BF6B8D" w:rsidRPr="009B36AE">
              <w:rPr>
                <w:rFonts w:ascii="Times New Roman" w:hAnsi="Times New Roman" w:cs="Times New Roman"/>
                <w:b/>
                <w:sz w:val="24"/>
                <w:szCs w:val="24"/>
              </w:rPr>
              <w:t>została uwzględniona</w:t>
            </w:r>
            <w:r w:rsidR="00BF6B8D">
              <w:rPr>
                <w:rFonts w:ascii="Times New Roman" w:hAnsi="Times New Roman" w:cs="Times New Roman"/>
                <w:sz w:val="24"/>
                <w:szCs w:val="24"/>
              </w:rPr>
              <w:t xml:space="preserve"> poprzez poprawienie odesłania. </w:t>
            </w:r>
          </w:p>
          <w:p w:rsidR="00BF6B8D" w:rsidRPr="00DB2B9B" w:rsidRDefault="00BF6B8D" w:rsidP="00B06E69">
            <w:pPr>
              <w:jc w:val="both"/>
              <w:rPr>
                <w:rFonts w:ascii="Times New Roman" w:hAnsi="Times New Roman" w:cs="Times New Roman"/>
                <w:sz w:val="24"/>
                <w:szCs w:val="24"/>
              </w:rPr>
            </w:pP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26</w:t>
            </w:r>
          </w:p>
        </w:tc>
        <w:tc>
          <w:tcPr>
            <w:tcW w:w="1043" w:type="dxa"/>
          </w:tcPr>
          <w:p w:rsidR="00641F71" w:rsidRPr="00DB2B9B" w:rsidRDefault="00485AD0" w:rsidP="00B06E69">
            <w:pPr>
              <w:jc w:val="both"/>
              <w:rPr>
                <w:rFonts w:ascii="Times New Roman" w:hAnsi="Times New Roman" w:cs="Times New Roman"/>
                <w:sz w:val="24"/>
                <w:szCs w:val="24"/>
              </w:rPr>
            </w:pPr>
            <w:r>
              <w:rPr>
                <w:rFonts w:ascii="Times New Roman" w:hAnsi="Times New Roman" w:cs="Times New Roman"/>
                <w:sz w:val="24"/>
                <w:szCs w:val="24"/>
              </w:rPr>
              <w:t>Minister ds. UE</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1.</w:t>
            </w:r>
            <w:r w:rsidRPr="00DE1863">
              <w:rPr>
                <w:rFonts w:ascii="Times New Roman" w:hAnsi="Times New Roman" w:cs="Times New Roman"/>
                <w:sz w:val="24"/>
                <w:szCs w:val="24"/>
              </w:rPr>
              <w:tab/>
              <w:t>Odnośnie do kwestii uznania wprowadzenia w Polsce inteligentnego opomiarowania za nadregulację (uwaga 7 zestawienia uwag)</w:t>
            </w:r>
          </w:p>
          <w:p w:rsidR="00DE1863" w:rsidRPr="00DE1863" w:rsidRDefault="00DE1863" w:rsidP="00DE1863">
            <w:pPr>
              <w:jc w:val="both"/>
              <w:rPr>
                <w:rFonts w:ascii="Times New Roman" w:hAnsi="Times New Roman" w:cs="Times New Roman"/>
                <w:sz w:val="24"/>
                <w:szCs w:val="24"/>
              </w:rPr>
            </w:pP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W pierwszej kolejności pragnę podkreślić, że moje uwagi wskazujące, że przepisy dotyczące wprowadzenia w Polsce inteligentnego opomiarowania mogą zostać uznane za </w:t>
            </w:r>
            <w:r w:rsidRPr="00DE1863">
              <w:rPr>
                <w:rFonts w:ascii="Times New Roman" w:hAnsi="Times New Roman" w:cs="Times New Roman"/>
                <w:sz w:val="24"/>
                <w:szCs w:val="24"/>
              </w:rPr>
              <w:lastRenderedPageBreak/>
              <w:t>nadregulację mają jedynie charakter informacyjny. Przedstawianie informacji dotyczącej możliwej nadregulacji nie wskazuje, że proponowanie rozwiązania nie mogą czy nie powinny być wprowadzane, a ma na celu jedynie informowanie o tym, jakie obowiązki ciążą na Rzeczypospolitej Polskiej w związku z transpozycją dyrektyw.</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 tym konkretnym przypadku (transpozycja art. 19 ust. 2 i załącznika II dyrektywy Parlamentu Europejskiego i Rady (UE) 2019/944 z dnia 5 czerwca 2019 r. w sprawie wspólnych zasad rynku wewnętrznego energii elektrycznej oraz zmieniającej dyrektywę 2012/27/UE) pragnę raz jeszcze podkreślić fakultatywne elementy tego przepisu dyrektywy. Nie chcąc powtarzać szczegółowej argumentacji zawartej w moim poprzednim piśmie, ponownie zwrócę jedynie uwagę, że zgodnie z art. 19 ust. 2 dyrektywy 2019/944, „państwa członkowskie zapewniają wprowadzenie na swoich terytoriach inteligentnych systemów opomiarowania, które ułatwiają aktywne uczestnictwo odbiorców w rynku energii elektrycznej. Wprowadzenie takie może być jednak uzależnione od analizy kosztów i korzyści, którą przeprowadza się zgodnie z zasadami określonymi w załączniku II”.</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 tym kontekście zwracam uwagę, że właściwe przeprowadzenie takiej analizy, jej ocena oraz notyfikowanie Komisji Europejskiej (po przeprowadzeniu takiej analizy i na podstawie jej wyników) zamiaru wprowadzenia inteligentnego systemu opomiarowania pozostają w kompetencji  projektodawcy; ocena, od strony ekonomicznej, prawidłowości takiej analizy kosztów i korzyści pozostaje poza kompetencją ministra właściwego do spraw członkostwa RP w Unii Europejskiej.</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lastRenderedPageBreak/>
              <w:t xml:space="preserve">Przyjmuję zatem do wiadomości informację zawartą w OSR projektu, zgodnie z którą Minister Gospodarki notyfikował Komisji Europejskiej rozpoczęcie procesu wdrożenia systemu inteligentnego opomiarowania przy piśmie z dnia 3 września 2012 r., przy którym przekazano Komisji „informację dotyczącą zasadności wprowadzenia inteligentnych form pomiaru zużycia energii elektrycznej w Polsce”. Z OSR wynika, że w informacji tej wskazano na pozytywną ocenę przedmiotowego przedsięwzięcia. </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Mając jednak na uwadze wspomniany powyżej przepis dyrektywy, który pozwala państwom członkowskim na uzależnienie wprowadzenia tego systemu od analizy kosztów i korzyści, którą przeprowadza się zgodnie z zasadami określonymi w załączniku II dyrektywy, zwracam uwagę na niekonsekwencję w informacjach przedstawianych przez projektodawcę odnośnie do stosownej analizy. W szczególności w uzasadnieniu projektu oraz stanowisku przedstawionym w zestawieniu uwag MK powołuje się na przeprowadzenie stosownej analizy, która została zamieszczona w Ocenie Skutków Regulacji, a same dokumenty analizę tę potwierdzające zostały zamieszczone na stronie BIP RCL w zakładce Komitet Rady Ministrów ds. Cyfryzacji, wraz z aktualizacją założeń do analizy z 2019 r. Rozumiem, że MK odwołuje się tym samym do dokumentu Ministra Gospodarki pt. „Analiza skutków społeczno-gospodarczych wdrożenia inteligentnego opomiarowania, Warszawa kwiecień 2013 r.”, która nie została dołączona do projektu (jednakże OSR zawiera link do tego dokumentu) oraz następujących dokumentów, które zostały zamieszczone na stronie BIP RCL w zakładce Komitet Rady Ministrów ds. Cyfryzacji </w:t>
            </w:r>
            <w:r w:rsidRPr="00DE1863">
              <w:rPr>
                <w:rFonts w:ascii="Times New Roman" w:hAnsi="Times New Roman" w:cs="Times New Roman"/>
                <w:sz w:val="24"/>
                <w:szCs w:val="24"/>
              </w:rPr>
              <w:lastRenderedPageBreak/>
              <w:t>(które nie zostały dołączone do projektu przekazanego KSE):</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a)</w:t>
            </w:r>
            <w:r w:rsidRPr="00DE1863">
              <w:rPr>
                <w:rFonts w:ascii="Times New Roman" w:hAnsi="Times New Roman" w:cs="Times New Roman"/>
                <w:sz w:val="24"/>
                <w:szCs w:val="24"/>
              </w:rPr>
              <w:tab/>
              <w:t>Dokument Polskiego Towarzystwa Przesyłu i Rozdziału Energii Elektrycznej pt. „Analiza w zakresie ekonomicznej oceny zasadności wprowadzenia inteligentnych form pomiaru zużycia energii elektrycznej w Polsce”, przygotowany 20 sierpnia 2012 r.;</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b)</w:t>
            </w:r>
            <w:r w:rsidRPr="00DE1863">
              <w:rPr>
                <w:rFonts w:ascii="Times New Roman" w:hAnsi="Times New Roman" w:cs="Times New Roman"/>
                <w:sz w:val="24"/>
                <w:szCs w:val="24"/>
              </w:rPr>
              <w:tab/>
              <w:t>Dokument pt. „Aneks do Analizy skutków społeczno – gospodarczych wdrożenia inteligentnego opomiarowania”, przygotowany w kwietniu 2013 r;</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c)</w:t>
            </w:r>
            <w:r w:rsidRPr="00DE1863">
              <w:rPr>
                <w:rFonts w:ascii="Times New Roman" w:hAnsi="Times New Roman" w:cs="Times New Roman"/>
                <w:sz w:val="24"/>
                <w:szCs w:val="24"/>
              </w:rPr>
              <w:tab/>
              <w:t>Dokument pt. „Aktualizacja istotnych założeń do modelu kosztów i korzyści wdrożenia inteligentnego opomiarowania w Polsce”, przygotowany w kwietniu 2019 r.</w:t>
            </w:r>
          </w:p>
          <w:p w:rsidR="00DE1863" w:rsidRPr="00DE1863" w:rsidRDefault="00DE1863" w:rsidP="00DE1863">
            <w:pPr>
              <w:jc w:val="both"/>
              <w:rPr>
                <w:rFonts w:ascii="Times New Roman" w:hAnsi="Times New Roman" w:cs="Times New Roman"/>
                <w:sz w:val="24"/>
                <w:szCs w:val="24"/>
              </w:rPr>
            </w:pP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Nie sposób jest na podstawie przedstawionych informacji jednoznacznie stwierdzić, czy przeprowadzona analiza kosztów i korzyści została wykonana przez Polskę przed 3 września 2012 r., tj. przed notyfikacją stosownej informacji Komisji Europejskiej. Zgodnie z zasadami określonymi w  załączniku I pkt 2 dyrektywy 2009/72 (poprzedzającej dyrektywę 2019/944), analiza taka powinna była bowiem poprzedzać notyfikowanie przez państwo członkowskie swojej decyzji Komisji Europejskiej. W konsekwencji notyfikacji takiej decyzji na państwach członkowskich ciąży wynikający z art. 19 ust. 4 dyrektywy 2019/944 obowiązek zapewnienia, by odbiorcy końcowi w sposób przejrzysty i niedyskryminacyjny partycypowali w kosztach związanych z wprowadzaniem takich systemów, a więc mieli świadomość ekonomicznej oceny wszystkich długoterminowych kosztów i korzyści dla rynku oraz indywidualnego konsumenta (o której mowa w analizie, </w:t>
            </w:r>
            <w:r w:rsidRPr="00DE1863">
              <w:rPr>
                <w:rFonts w:ascii="Times New Roman" w:hAnsi="Times New Roman" w:cs="Times New Roman"/>
                <w:sz w:val="24"/>
                <w:szCs w:val="24"/>
              </w:rPr>
              <w:lastRenderedPageBreak/>
              <w:t>która była podstawą decyzji państwa). Mając powyższe na uwadze sugeruję doprecyzowanie tej kwestii w OSR i uzasadnieniu projektu.</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Dodatkowo na marginesie pragnę odnieść się do argumentu MK przedstawionego w zestawieniu uwag, w myśl którego „niewprowadzenie liczników zdalnego odczytu będzie się wiązało z koniecznością zrezygnowania z zatwierdzania taryf przez Prezesa URE co z kolei będzie pozostawało w sprzeczności z polityką Rządu dotyczącą ochroną odbiorcy w gospodarstwie domowych przed nieuzasadnionym wzrostem cen energii elektrycznej”. Należy podkreślić, że wniosek ten jest błędny. Projektodawca odwołuje się w tym kontekście do art. 5 ust. 7 lit. f) dyrektywy 2019/944, zgodnie z którym „interwencje publiczne (w zakresie ustalania cen za dostawy energii elektrycznej) muszą zapewniać, by zgodnie z art. 1 i 21 wszyscy beneficjenci takich  interwencji publicznych  mieli  prawo  do tego, by zainstalowano u nich inteligentne liczniki bez dodatkowych opłat i by im taką instalację zaproponowano, a także by byli bezpośrednio informowani o możliwości instalacji inteligentnych liczników i otrzymywali niezbędną pomoc w tym zakresie”. Oznacza to, że art. 21 dyrektywy ustanawia prawo podmiotowe odbiorców końcowych – prawo do inteligentnego licznika, które państwo członkowskie musi zagwarantować niezależnie od tego, czy decyduje się na powszechne wprowadzanie systemu inteligentnego opomiarowania czy też nie. Konstatacja, że brak wprowadzenia inteligentnego opomiarowania musi automatycznie skutkować koniecznością zrezygnowania z zatwierdzania taryf przez Prezesa URE nie wynika zatem, jak twierdzi projektodawca, z wymienionych przepisów dyrektywy. Państwo, nie decydując się na wprowadzenie </w:t>
            </w:r>
            <w:r w:rsidRPr="00DE1863">
              <w:rPr>
                <w:rFonts w:ascii="Times New Roman" w:hAnsi="Times New Roman" w:cs="Times New Roman"/>
                <w:sz w:val="24"/>
                <w:szCs w:val="24"/>
              </w:rPr>
              <w:lastRenderedPageBreak/>
              <w:t>powszechnie systemu inteligentnego opomiarowania, nie musi automatycznie rezygnować z zatwierdzania taryf przez organ regulacyjny – musi jedynie zapewnić, by każdy odbiorca końcowy miał możliwość zawnioskowania i założenia indywidualnego inteligentnego licznika.</w:t>
            </w:r>
          </w:p>
        </w:tc>
        <w:tc>
          <w:tcPr>
            <w:tcW w:w="6344" w:type="dxa"/>
          </w:tcPr>
          <w:p w:rsidR="002E7AEC" w:rsidRPr="002E7AEC" w:rsidRDefault="002E7AEC" w:rsidP="00B06E69">
            <w:pPr>
              <w:jc w:val="both"/>
              <w:rPr>
                <w:rFonts w:ascii="Times New Roman" w:hAnsi="Times New Roman" w:cs="Times New Roman"/>
                <w:b/>
                <w:sz w:val="24"/>
                <w:szCs w:val="24"/>
              </w:rPr>
            </w:pPr>
            <w:r w:rsidRPr="002E7AEC">
              <w:rPr>
                <w:rFonts w:ascii="Times New Roman" w:hAnsi="Times New Roman" w:cs="Times New Roman"/>
                <w:b/>
                <w:sz w:val="24"/>
                <w:szCs w:val="24"/>
              </w:rPr>
              <w:lastRenderedPageBreak/>
              <w:t>Uwaga jest o charakterze europejskim.</w:t>
            </w:r>
          </w:p>
          <w:p w:rsidR="002E7AEC" w:rsidRDefault="002E7AEC" w:rsidP="00B06E69">
            <w:pPr>
              <w:jc w:val="both"/>
              <w:rPr>
                <w:rFonts w:ascii="Times New Roman" w:hAnsi="Times New Roman" w:cs="Times New Roman"/>
                <w:b/>
                <w:sz w:val="24"/>
                <w:szCs w:val="24"/>
              </w:rPr>
            </w:pPr>
            <w:r w:rsidRPr="002E7AEC">
              <w:rPr>
                <w:rFonts w:ascii="Times New Roman" w:hAnsi="Times New Roman" w:cs="Times New Roman"/>
                <w:b/>
                <w:sz w:val="24"/>
                <w:szCs w:val="24"/>
              </w:rPr>
              <w:t>Uwaga została uwzględniona.</w:t>
            </w:r>
          </w:p>
          <w:p w:rsidR="008A2F13" w:rsidRDefault="008A2F13" w:rsidP="008A2F13">
            <w:pPr>
              <w:jc w:val="both"/>
              <w:rPr>
                <w:rFonts w:ascii="Times New Roman" w:hAnsi="Times New Roman" w:cs="Times New Roman"/>
                <w:sz w:val="24"/>
                <w:szCs w:val="24"/>
              </w:rPr>
            </w:pPr>
            <w:r>
              <w:rPr>
                <w:rFonts w:ascii="Times New Roman" w:hAnsi="Times New Roman" w:cs="Times New Roman"/>
                <w:sz w:val="24"/>
                <w:szCs w:val="24"/>
              </w:rPr>
              <w:t xml:space="preserve">Pozytywna analiza (tzw. CBA) została przekazana </w:t>
            </w:r>
            <w:r w:rsidR="00221A66">
              <w:rPr>
                <w:rFonts w:ascii="Times New Roman" w:hAnsi="Times New Roman" w:cs="Times New Roman"/>
                <w:sz w:val="24"/>
                <w:szCs w:val="24"/>
              </w:rPr>
              <w:t xml:space="preserve">przez Polskę </w:t>
            </w:r>
            <w:r>
              <w:rPr>
                <w:rFonts w:ascii="Times New Roman" w:hAnsi="Times New Roman" w:cs="Times New Roman"/>
                <w:sz w:val="24"/>
                <w:szCs w:val="24"/>
              </w:rPr>
              <w:t>do Komisji Europejskiej w pierwszej połowie września 2012 r.</w:t>
            </w:r>
          </w:p>
          <w:p w:rsidR="008A2F13" w:rsidRPr="008A2F13" w:rsidRDefault="008A2F13" w:rsidP="008A2F13">
            <w:pPr>
              <w:jc w:val="both"/>
              <w:rPr>
                <w:rFonts w:ascii="Times New Roman" w:hAnsi="Times New Roman" w:cs="Times New Roman"/>
                <w:sz w:val="24"/>
                <w:szCs w:val="24"/>
              </w:rPr>
            </w:pPr>
            <w:r w:rsidRPr="008A2F13">
              <w:rPr>
                <w:rFonts w:ascii="Times New Roman" w:hAnsi="Times New Roman" w:cs="Times New Roman"/>
                <w:sz w:val="24"/>
                <w:szCs w:val="24"/>
              </w:rPr>
              <w:t>Podstawowym dokumentem, na podstawie którego dokonano zgłoszenia do Komisji Europejskiej stanowiła analiza PTPiREE z 20 sierpnia 2012 r.</w:t>
            </w:r>
          </w:p>
          <w:p w:rsidR="008A2F13" w:rsidRPr="008A2F13" w:rsidRDefault="008A2F13" w:rsidP="008A2F13">
            <w:pPr>
              <w:jc w:val="both"/>
              <w:rPr>
                <w:rFonts w:ascii="Times New Roman" w:hAnsi="Times New Roman" w:cs="Times New Roman"/>
                <w:sz w:val="24"/>
                <w:szCs w:val="24"/>
              </w:rPr>
            </w:pPr>
            <w:r w:rsidRPr="008A2F13">
              <w:rPr>
                <w:rFonts w:ascii="Times New Roman" w:hAnsi="Times New Roman" w:cs="Times New Roman"/>
                <w:sz w:val="24"/>
                <w:szCs w:val="24"/>
              </w:rPr>
              <w:lastRenderedPageBreak/>
              <w:t>Kwestię tę doprecyzowano w uzasadnieniu oraz OSR. Ponadto, w OSR do załączników dodano pkt 4:</w:t>
            </w:r>
          </w:p>
          <w:p w:rsidR="008A2F13" w:rsidRDefault="008A2F13" w:rsidP="008A2F13">
            <w:pPr>
              <w:jc w:val="both"/>
              <w:rPr>
                <w:rFonts w:ascii="Times New Roman" w:hAnsi="Times New Roman" w:cs="Times New Roman"/>
                <w:sz w:val="24"/>
                <w:szCs w:val="24"/>
              </w:rPr>
            </w:pPr>
            <w:r w:rsidRPr="008A2F13">
              <w:rPr>
                <w:rFonts w:ascii="Times New Roman" w:hAnsi="Times New Roman" w:cs="Times New Roman"/>
                <w:sz w:val="24"/>
                <w:szCs w:val="24"/>
              </w:rPr>
              <w:t>„Załącznik do zgłoszenia do Komisji Europejskiej w 2012 r. przygotowany w ówczesnym ministerstwie Gospodarki i bazujący na analizie PTPiREE z 20 sierpnia 2012 r., zatytułowany: Informacja dotycząca zasadności wprowadzenia inteligentnych form pomiaru zużycia energii elektrycznej w Polsce.”</w:t>
            </w:r>
          </w:p>
          <w:p w:rsidR="00B614D3" w:rsidRDefault="008A2F13" w:rsidP="00B06E69">
            <w:pPr>
              <w:jc w:val="both"/>
              <w:rPr>
                <w:rFonts w:ascii="Times New Roman" w:hAnsi="Times New Roman" w:cs="Times New Roman"/>
                <w:sz w:val="24"/>
                <w:szCs w:val="24"/>
              </w:rPr>
            </w:pPr>
            <w:r>
              <w:rPr>
                <w:rFonts w:ascii="Times New Roman" w:hAnsi="Times New Roman" w:cs="Times New Roman"/>
                <w:sz w:val="24"/>
                <w:szCs w:val="24"/>
              </w:rPr>
              <w:t xml:space="preserve">Na marginesie należy zaznaczyć, że </w:t>
            </w:r>
            <w:r w:rsidR="00E53631">
              <w:rPr>
                <w:rFonts w:ascii="Times New Roman" w:hAnsi="Times New Roman" w:cs="Times New Roman"/>
                <w:sz w:val="24"/>
                <w:szCs w:val="24"/>
              </w:rPr>
              <w:t>w os</w:t>
            </w:r>
            <w:r w:rsidR="00B614D3">
              <w:rPr>
                <w:rFonts w:ascii="Times New Roman" w:hAnsi="Times New Roman" w:cs="Times New Roman"/>
                <w:sz w:val="24"/>
                <w:szCs w:val="24"/>
              </w:rPr>
              <w:t>tatnio opublikowanych raportach:</w:t>
            </w:r>
          </w:p>
          <w:p w:rsidR="00B614D3" w:rsidRPr="00B614D3" w:rsidRDefault="00B614D3" w:rsidP="00B06E69">
            <w:pPr>
              <w:jc w:val="both"/>
              <w:rPr>
                <w:rFonts w:ascii="Times New Roman" w:hAnsi="Times New Roman" w:cs="Times New Roman"/>
                <w:sz w:val="24"/>
                <w:szCs w:val="24"/>
                <w:lang w:val="en-US"/>
              </w:rPr>
            </w:pPr>
            <w:r w:rsidRPr="00B614D3">
              <w:rPr>
                <w:rFonts w:ascii="Times New Roman" w:hAnsi="Times New Roman" w:cs="Times New Roman"/>
                <w:sz w:val="24"/>
                <w:szCs w:val="24"/>
                <w:lang w:val="en-US"/>
              </w:rPr>
              <w:t>Benchmarking smart metering deployment in the EU-28</w:t>
            </w:r>
            <w:r>
              <w:rPr>
                <w:rFonts w:ascii="Times New Roman" w:hAnsi="Times New Roman" w:cs="Times New Roman"/>
                <w:sz w:val="24"/>
                <w:szCs w:val="24"/>
                <w:lang w:val="en-US"/>
              </w:rPr>
              <w:t xml:space="preserve"> dostępnym na stronie: </w:t>
            </w:r>
            <w:r w:rsidRPr="00B614D3">
              <w:rPr>
                <w:rFonts w:ascii="Times New Roman" w:hAnsi="Times New Roman" w:cs="Times New Roman"/>
                <w:sz w:val="24"/>
                <w:szCs w:val="24"/>
                <w:lang w:val="en-US"/>
              </w:rPr>
              <w:t>https://op.europa.eu/en/publication-detail/-/publication/b397ef73-698f-11ea-b735-01aa75ed71a1/language-en?WT.mc_id=Searchresult&amp;WT.ria_c=37085&amp;WT.ria_f=3608&amp;WT.ria_ev=search</w:t>
            </w:r>
          </w:p>
          <w:p w:rsidR="00B614D3" w:rsidRPr="00B614D3" w:rsidRDefault="00B614D3" w:rsidP="00B06E69">
            <w:pPr>
              <w:jc w:val="both"/>
              <w:rPr>
                <w:rFonts w:ascii="Times New Roman" w:hAnsi="Times New Roman" w:cs="Times New Roman"/>
                <w:sz w:val="24"/>
                <w:szCs w:val="24"/>
                <w:lang w:val="en-US"/>
              </w:rPr>
            </w:pPr>
            <w:r w:rsidRPr="00B614D3">
              <w:rPr>
                <w:rFonts w:ascii="Times New Roman" w:hAnsi="Times New Roman" w:cs="Times New Roman"/>
                <w:sz w:val="24"/>
                <w:szCs w:val="24"/>
                <w:lang w:val="en-US"/>
              </w:rPr>
              <w:t xml:space="preserve">Oraz </w:t>
            </w:r>
          </w:p>
          <w:p w:rsidR="00B614D3" w:rsidRPr="00B614D3" w:rsidRDefault="00B614D3" w:rsidP="00B614D3">
            <w:pPr>
              <w:jc w:val="both"/>
              <w:rPr>
                <w:rFonts w:ascii="Times New Roman" w:hAnsi="Times New Roman" w:cs="Times New Roman"/>
                <w:sz w:val="24"/>
                <w:szCs w:val="24"/>
                <w:lang w:val="en-US"/>
              </w:rPr>
            </w:pPr>
            <w:r w:rsidRPr="00B614D3">
              <w:rPr>
                <w:rFonts w:ascii="Times New Roman" w:hAnsi="Times New Roman" w:cs="Times New Roman"/>
                <w:sz w:val="24"/>
                <w:szCs w:val="24"/>
                <w:lang w:val="en-US"/>
              </w:rPr>
              <w:t>Supporting Country Fiches</w:t>
            </w:r>
          </w:p>
          <w:p w:rsidR="00B614D3" w:rsidRPr="00B614D3" w:rsidRDefault="00B614D3" w:rsidP="00B614D3">
            <w:pPr>
              <w:jc w:val="both"/>
              <w:rPr>
                <w:rFonts w:ascii="Times New Roman" w:hAnsi="Times New Roman" w:cs="Times New Roman"/>
                <w:sz w:val="24"/>
                <w:szCs w:val="24"/>
                <w:lang w:val="en-US"/>
              </w:rPr>
            </w:pPr>
            <w:r w:rsidRPr="00B614D3">
              <w:rPr>
                <w:rFonts w:ascii="Times New Roman" w:hAnsi="Times New Roman" w:cs="Times New Roman"/>
                <w:sz w:val="24"/>
                <w:szCs w:val="24"/>
                <w:lang w:val="en-US"/>
              </w:rPr>
              <w:t>accompanying the report</w:t>
            </w:r>
          </w:p>
          <w:p w:rsidR="00B614D3" w:rsidRPr="00B614D3" w:rsidRDefault="00B614D3" w:rsidP="00B614D3">
            <w:pPr>
              <w:jc w:val="both"/>
              <w:rPr>
                <w:rFonts w:ascii="Times New Roman" w:hAnsi="Times New Roman" w:cs="Times New Roman"/>
                <w:sz w:val="24"/>
                <w:szCs w:val="24"/>
                <w:lang w:val="en-US"/>
              </w:rPr>
            </w:pPr>
            <w:r w:rsidRPr="00B614D3">
              <w:rPr>
                <w:rFonts w:ascii="Times New Roman" w:hAnsi="Times New Roman" w:cs="Times New Roman"/>
                <w:sz w:val="24"/>
                <w:szCs w:val="24"/>
                <w:lang w:val="en-US"/>
              </w:rPr>
              <w:t>Benchmarking smart metering deployment in the EU-28</w:t>
            </w:r>
          </w:p>
          <w:p w:rsidR="00B614D3" w:rsidRPr="003321EA" w:rsidRDefault="003321EA" w:rsidP="00B06E69">
            <w:pPr>
              <w:jc w:val="both"/>
              <w:rPr>
                <w:rFonts w:ascii="Times New Roman" w:hAnsi="Times New Roman" w:cs="Times New Roman"/>
                <w:sz w:val="24"/>
                <w:szCs w:val="24"/>
              </w:rPr>
            </w:pPr>
            <w:r w:rsidRPr="003321EA">
              <w:rPr>
                <w:rFonts w:ascii="Times New Roman" w:hAnsi="Times New Roman" w:cs="Times New Roman"/>
                <w:sz w:val="24"/>
                <w:szCs w:val="24"/>
              </w:rPr>
              <w:t>Dostępnym na stronie:</w:t>
            </w:r>
          </w:p>
          <w:p w:rsidR="003321EA" w:rsidRPr="003321EA" w:rsidRDefault="003321EA" w:rsidP="00B06E69">
            <w:pPr>
              <w:jc w:val="both"/>
              <w:rPr>
                <w:rFonts w:ascii="Times New Roman" w:hAnsi="Times New Roman" w:cs="Times New Roman"/>
                <w:sz w:val="24"/>
                <w:szCs w:val="24"/>
              </w:rPr>
            </w:pPr>
            <w:r w:rsidRPr="003321EA">
              <w:rPr>
                <w:rFonts w:ascii="Times New Roman" w:hAnsi="Times New Roman" w:cs="Times New Roman"/>
                <w:sz w:val="24"/>
                <w:szCs w:val="24"/>
              </w:rPr>
              <w:t>https://op.europa.eu/en/publication-detail/-/publication/09ca8b61-698f-11ea-b735-01aa75ed71a1/language-en</w:t>
            </w:r>
          </w:p>
          <w:p w:rsidR="00C762C0" w:rsidRDefault="00E53631" w:rsidP="008A2F13">
            <w:pPr>
              <w:jc w:val="both"/>
              <w:rPr>
                <w:rFonts w:ascii="Times New Roman" w:hAnsi="Times New Roman" w:cs="Times New Roman"/>
                <w:sz w:val="24"/>
                <w:szCs w:val="24"/>
              </w:rPr>
            </w:pPr>
            <w:r>
              <w:rPr>
                <w:rFonts w:ascii="Times New Roman" w:hAnsi="Times New Roman" w:cs="Times New Roman"/>
                <w:sz w:val="24"/>
                <w:szCs w:val="24"/>
              </w:rPr>
              <w:t xml:space="preserve">wskazuje się na </w:t>
            </w:r>
            <w:r w:rsidR="003321EA">
              <w:rPr>
                <w:rFonts w:ascii="Times New Roman" w:hAnsi="Times New Roman" w:cs="Times New Roman"/>
                <w:sz w:val="24"/>
                <w:szCs w:val="24"/>
              </w:rPr>
              <w:t>str. 247 na pozytywną CBA w 2012 r.</w:t>
            </w:r>
            <w:r w:rsidR="00382698">
              <w:rPr>
                <w:rFonts w:ascii="Times New Roman" w:hAnsi="Times New Roman" w:cs="Times New Roman"/>
                <w:sz w:val="24"/>
                <w:szCs w:val="24"/>
              </w:rPr>
              <w:t xml:space="preserve"> </w:t>
            </w:r>
          </w:p>
          <w:p w:rsidR="00382698" w:rsidRDefault="00382698" w:rsidP="00B06E69">
            <w:pPr>
              <w:jc w:val="both"/>
              <w:rPr>
                <w:rFonts w:ascii="Times New Roman" w:hAnsi="Times New Roman" w:cs="Times New Roman"/>
                <w:sz w:val="24"/>
                <w:szCs w:val="24"/>
              </w:rPr>
            </w:pPr>
          </w:p>
          <w:p w:rsidR="00E53631" w:rsidRPr="00DB2B9B" w:rsidRDefault="00E53631" w:rsidP="00B06E69">
            <w:pPr>
              <w:jc w:val="both"/>
              <w:rPr>
                <w:rFonts w:ascii="Times New Roman" w:hAnsi="Times New Roman" w:cs="Times New Roman"/>
                <w:sz w:val="24"/>
                <w:szCs w:val="24"/>
              </w:rPr>
            </w:pP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1043" w:type="dxa"/>
          </w:tcPr>
          <w:p w:rsidR="00641F71" w:rsidRPr="00DB2B9B" w:rsidRDefault="00485AD0" w:rsidP="00B06E69">
            <w:pPr>
              <w:jc w:val="both"/>
              <w:rPr>
                <w:rFonts w:ascii="Times New Roman" w:hAnsi="Times New Roman" w:cs="Times New Roman"/>
                <w:sz w:val="24"/>
                <w:szCs w:val="24"/>
              </w:rPr>
            </w:pPr>
            <w:r w:rsidRPr="00485AD0">
              <w:rPr>
                <w:rFonts w:ascii="Times New Roman" w:hAnsi="Times New Roman" w:cs="Times New Roman"/>
                <w:sz w:val="24"/>
                <w:szCs w:val="24"/>
              </w:rPr>
              <w:t>Minister ds. UE</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2.</w:t>
            </w:r>
            <w:r w:rsidRPr="00DE1863">
              <w:rPr>
                <w:rFonts w:ascii="Times New Roman" w:hAnsi="Times New Roman" w:cs="Times New Roman"/>
                <w:sz w:val="24"/>
                <w:szCs w:val="24"/>
              </w:rPr>
              <w:tab/>
              <w:t>Kwestia kompletności transpozycji dyrektywy 2019/944 (pkt 15 i 35 zestawienia uwag)</w:t>
            </w:r>
          </w:p>
          <w:p w:rsidR="00DE1863" w:rsidRPr="00DE1863" w:rsidRDefault="00DE1863" w:rsidP="00DE1863">
            <w:pPr>
              <w:jc w:val="both"/>
              <w:rPr>
                <w:rFonts w:ascii="Times New Roman" w:hAnsi="Times New Roman" w:cs="Times New Roman"/>
                <w:sz w:val="24"/>
                <w:szCs w:val="24"/>
              </w:rPr>
            </w:pP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Dziękując za wyjaśnienia dotyczące planów MK odnośnie do transpozycji dyrektywy 2019/944 i przyjmując do wiadomości wyjaśnienia w tym zakresie (pkt 15 i 35 zestawienia uwag) uprzejmie przypominam, że dyrektywa ta (zgodnie z jej art. 71) musi zostać transponowana do polskiego porządku prawnego co do zasady do 31 grudnia 2020 r.</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Mając na uwadze krótki czas, jaki pozostał do końca roku, w połączeniu z informacją zawartą przez projektodawcę w pkt 35 zestawienia uwag („dyrektywa [2019/944] zwiera szereg nowych instytucji, które są w trakcie opracowywania w ramach oddzielnej nowelizacji ustawy – Prawo energetyczne i nie zostały jeszcze uzgodnione”) uprzejmie proszę o dostosowanie prac nad transpozycją pozostałych przepisów dyrektywy do polskiego porządku prawnego (w ramach osobnego projektu nowelizacji ustawy – Prawo energetyczne) do wskazanego terminu transpozycji.</w:t>
            </w:r>
          </w:p>
        </w:tc>
        <w:tc>
          <w:tcPr>
            <w:tcW w:w="6344" w:type="dxa"/>
          </w:tcPr>
          <w:p w:rsidR="002E7AEC" w:rsidRPr="002E7AEC" w:rsidRDefault="002E7AEC" w:rsidP="002E7AEC">
            <w:pPr>
              <w:jc w:val="both"/>
              <w:rPr>
                <w:rFonts w:ascii="Times New Roman" w:hAnsi="Times New Roman" w:cs="Times New Roman"/>
                <w:b/>
                <w:sz w:val="24"/>
                <w:szCs w:val="24"/>
              </w:rPr>
            </w:pPr>
            <w:r w:rsidRPr="002E7AEC">
              <w:rPr>
                <w:rFonts w:ascii="Times New Roman" w:hAnsi="Times New Roman" w:cs="Times New Roman"/>
                <w:b/>
                <w:sz w:val="24"/>
                <w:szCs w:val="24"/>
              </w:rPr>
              <w:t>Uwaga jest o charakterze europejskim.</w:t>
            </w:r>
          </w:p>
          <w:p w:rsidR="00641F71" w:rsidRPr="00DB2B9B" w:rsidRDefault="001A2426" w:rsidP="00B06E69">
            <w:pPr>
              <w:jc w:val="both"/>
              <w:rPr>
                <w:rFonts w:ascii="Times New Roman" w:hAnsi="Times New Roman" w:cs="Times New Roman"/>
                <w:sz w:val="24"/>
                <w:szCs w:val="24"/>
              </w:rPr>
            </w:pPr>
            <w:r w:rsidRPr="002E7AEC">
              <w:rPr>
                <w:rFonts w:ascii="Times New Roman" w:hAnsi="Times New Roman" w:cs="Times New Roman"/>
                <w:b/>
                <w:sz w:val="24"/>
                <w:szCs w:val="24"/>
              </w:rPr>
              <w:t>Uwaga przyjęta do wiadomości.</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28</w:t>
            </w:r>
          </w:p>
        </w:tc>
        <w:tc>
          <w:tcPr>
            <w:tcW w:w="1043" w:type="dxa"/>
          </w:tcPr>
          <w:p w:rsidR="00641F71" w:rsidRPr="00DB2B9B" w:rsidRDefault="00485AD0" w:rsidP="00B06E69">
            <w:pPr>
              <w:jc w:val="both"/>
              <w:rPr>
                <w:rFonts w:ascii="Times New Roman" w:hAnsi="Times New Roman" w:cs="Times New Roman"/>
                <w:sz w:val="24"/>
                <w:szCs w:val="24"/>
              </w:rPr>
            </w:pPr>
            <w:r w:rsidRPr="00485AD0">
              <w:rPr>
                <w:rFonts w:ascii="Times New Roman" w:hAnsi="Times New Roman" w:cs="Times New Roman"/>
                <w:sz w:val="24"/>
                <w:szCs w:val="24"/>
              </w:rPr>
              <w:t>Minister ds. UE</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3.</w:t>
            </w:r>
            <w:r w:rsidRPr="00DE1863">
              <w:rPr>
                <w:rFonts w:ascii="Times New Roman" w:hAnsi="Times New Roman" w:cs="Times New Roman"/>
                <w:sz w:val="24"/>
                <w:szCs w:val="24"/>
              </w:rPr>
              <w:tab/>
              <w:t>Zawieranie umów sprzedaży lub umów kompleksowych z odbiorcą paliw gazowych lub energii elektrycznej w gospodarstwie domowym poza lokalem przedsiębiorstwa (pkt 19 zestawienia uwag)</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Pragnę podtrzymać moją uwagę dotyczącą proponowanego środka ochrony odbiorców przed niedozwolonymi praktykami (oszustwami i wprowadzaniem w błąd) </w:t>
            </w:r>
            <w:r w:rsidRPr="00DE1863">
              <w:rPr>
                <w:rFonts w:ascii="Times New Roman" w:hAnsi="Times New Roman" w:cs="Times New Roman"/>
                <w:sz w:val="24"/>
                <w:szCs w:val="24"/>
              </w:rPr>
              <w:lastRenderedPageBreak/>
              <w:t>stosowanymi w ramach sprzedaży bezpośredniej przez akwizytorów w formule door-to-door poprzez wprowadzenie zakazu zawierania umów sprzedaży lub umów kompleksowych z odbiorcą paliw gazowych lub energii elektrycznej w gospodarstwie domowym poza lokalem przedsiębiorstwa.</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Jednocześnie pragnę podkreślić, że zgłaszana uwaga nie ma na celu odwodzenie projektodawcy od rozwiązania tego problemu, a jedynie zaznaczenie wątpliwości co do proporcjonalności projektowanych środków i skutków dla realizacji innych zobowiązań wynikających z prawa UE (praw odbiorców końcowych). Istnieje bowiem obawa, że w wyniku przyjęcia proponowanych środków, które mają rozwiązać problemy części odbiorców końcowych, jednocześnie zostanie ograniczone ich prawo zmiany dostawcy. Odbiorcy końcowi, których dotyka problem, mogą być osobami starszymi, pochodzącymi z małych wsi i miejscowości, objętymi w wielu przypadkach wykluczeniem cyfrowym. W sytuacji gdy w pobliżu miejsca zamieszkania takiej osoby nie ma lokalu przedsiębiorstwa i gdy taka osoba nie ma możliwości zmiany umowy na odległość (np. przy wykorzystaniu środków łączności internetowej), rozwiązanie proponowane w projekcie ustawy może spowodować naruszenie jednego z podstawowych praw każdego odbiorcy końcowego – prawa do wyboru i zmiany sprzedawcy, ustanowionego w art. 4 i 10 ust. 1 dyrektywy 2019/944 (w zakresie dostaw energii elektrycznej) oraz art. 3 ust. 3 in fine oraz załącznika I do dyrektywy 2009/73 (w zakresie dostaw gazu). Może doprowadzić do „zakonserwowania” rynku poprzez utrudnianie zmiany dostawcy tym odbiorcom końcowym, którzy raz zawarli umowę z danym dostawcą – takie </w:t>
            </w:r>
            <w:r w:rsidRPr="00DE1863">
              <w:rPr>
                <w:rFonts w:ascii="Times New Roman" w:hAnsi="Times New Roman" w:cs="Times New Roman"/>
                <w:sz w:val="24"/>
                <w:szCs w:val="24"/>
              </w:rPr>
              <w:lastRenderedPageBreak/>
              <w:t>działanie byłoby sprzeczne z celami dyrektywy 2019/944, która zobowiązuje państwa członkowskie do zapewnienia jak największej swobody w zakresie zmiany dostawcy (w tym również skrócenia czasu potrzebnego do zmiany dostawcy, co mogłoby zachęcić konsumentów do poszukiwania lepszych ofert energii i do zmiany dostawcy, na co zwraca uwagę motyw 34). Niczego w tym kontekście nie zmienia zmiana projektu przewidująca opóźnienia wejścia w życie kwestionowanego przepisu (sześciomiesięczne vacatio legis).</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Należałoby przeanalizować, czy mając na uwadze prawo odbiorcy do zmiany dostawcy, rozwiązaniem problemu nie byłoby zastosowanie innych środków, które nie ingerują tak dalece w prawa odbiorcy, przykładowo wykorzystanie środków, jakimi dysponuje Prezes UOKiK w zakresie ochrony konsumentów, czy też zaadresowanie środków bezpośrednio przeciwko tym przedsiębiorcom (sprzedawcom), którzy stosują niedozwolone praktyki (np. przyznanie Prezesowi URE prawa do nakładania kar za takie praktyki).</w:t>
            </w:r>
          </w:p>
        </w:tc>
        <w:tc>
          <w:tcPr>
            <w:tcW w:w="6344" w:type="dxa"/>
          </w:tcPr>
          <w:p w:rsidR="002E7AEC" w:rsidRPr="002E7AEC" w:rsidRDefault="002E7AEC" w:rsidP="002E7AEC">
            <w:pPr>
              <w:jc w:val="both"/>
              <w:rPr>
                <w:rFonts w:ascii="Times New Roman" w:hAnsi="Times New Roman" w:cs="Times New Roman"/>
                <w:b/>
                <w:sz w:val="24"/>
                <w:szCs w:val="24"/>
              </w:rPr>
            </w:pPr>
            <w:r w:rsidRPr="002E7AEC">
              <w:rPr>
                <w:rFonts w:ascii="Times New Roman" w:hAnsi="Times New Roman" w:cs="Times New Roman"/>
                <w:b/>
                <w:sz w:val="24"/>
                <w:szCs w:val="24"/>
              </w:rPr>
              <w:lastRenderedPageBreak/>
              <w:t>Uwaga jest o charakterze europejskim.</w:t>
            </w:r>
          </w:p>
          <w:p w:rsidR="002E7AEC" w:rsidRDefault="002E7AEC" w:rsidP="002E7AEC">
            <w:pPr>
              <w:jc w:val="both"/>
              <w:rPr>
                <w:rFonts w:ascii="Times New Roman" w:hAnsi="Times New Roman" w:cs="Times New Roman"/>
                <w:b/>
                <w:sz w:val="24"/>
                <w:szCs w:val="24"/>
              </w:rPr>
            </w:pPr>
            <w:r w:rsidRPr="002E7AEC">
              <w:rPr>
                <w:rFonts w:ascii="Times New Roman" w:hAnsi="Times New Roman" w:cs="Times New Roman"/>
                <w:b/>
                <w:sz w:val="24"/>
                <w:szCs w:val="24"/>
              </w:rPr>
              <w:t>Uwaga została wyjaśniona</w:t>
            </w:r>
            <w:r>
              <w:rPr>
                <w:rFonts w:ascii="Times New Roman" w:hAnsi="Times New Roman" w:cs="Times New Roman"/>
                <w:b/>
                <w:sz w:val="24"/>
                <w:szCs w:val="24"/>
              </w:rPr>
              <w:t xml:space="preserve"> a uzasadnienie poprawione</w:t>
            </w:r>
            <w:r w:rsidRPr="002E7AEC">
              <w:rPr>
                <w:rFonts w:ascii="Times New Roman" w:hAnsi="Times New Roman" w:cs="Times New Roman"/>
                <w:b/>
                <w:sz w:val="24"/>
                <w:szCs w:val="24"/>
              </w:rPr>
              <w:t>.</w:t>
            </w:r>
          </w:p>
          <w:p w:rsidR="002E7AEC" w:rsidRPr="002E7AEC" w:rsidRDefault="002E7AEC" w:rsidP="002E7AEC">
            <w:pPr>
              <w:jc w:val="both"/>
              <w:rPr>
                <w:rFonts w:ascii="Times New Roman" w:hAnsi="Times New Roman" w:cs="Times New Roman"/>
                <w:sz w:val="24"/>
                <w:szCs w:val="24"/>
              </w:rPr>
            </w:pPr>
            <w:r w:rsidRPr="002E7AEC">
              <w:rPr>
                <w:rFonts w:ascii="Times New Roman" w:hAnsi="Times New Roman" w:cs="Times New Roman"/>
                <w:sz w:val="24"/>
                <w:szCs w:val="24"/>
              </w:rPr>
              <w:t xml:space="preserve">Problem zawierania umów poza lokalem przedsiębiorstwa sygnalizowany był przez Prezesa URE kilkukrotnie (co potwierdza Najwyższa Izba Kontroli w Informacji o wynikach kontroli Ochrona praw konsumenta energii elektrycznej, wskazując, że „Prezes URE kilkukrotnie zwracał się do Ministra </w:t>
            </w:r>
            <w:r w:rsidRPr="002E7AEC">
              <w:rPr>
                <w:rFonts w:ascii="Times New Roman" w:hAnsi="Times New Roman" w:cs="Times New Roman"/>
                <w:sz w:val="24"/>
                <w:szCs w:val="24"/>
              </w:rPr>
              <w:lastRenderedPageBreak/>
              <w:t>Energii z propozycjami zmian legislacyjnych, w tym wprowadzenie zakazu sprzedaży w formule bezpośredniej akwizycji”, str. 10), wymaga pilnego rozwiązania w związku licznymi  przypadkami oszustw i wprowadzania w błąd odbiorców paliw i energii w gospodarstwach domowych podczas sprzedaży bezpośredniej w tzw. formule door-to-door. Wobec powyższego proponuje się wprowadzenie zmian w ustawie – Prawo energetyczne, które pozwolą na wyeliminowanie lub znaczące zmniejszenie tego rodzaju niepożądanych zachowań. Ze skarg odbiorców wynika, że koncesjonariusze sprzedający energię elektryczną lub gaz ziemny w tzw. formule door-to-door (sprzedaż poza lokalem przedsiębiorstwa) - działający również za pośrednictwem wyspecjalizowanych agencji i przedstawicieli handlowych (akwizytorów) - dopuszczają się m.in. następujących niedozwolonych praktyk:</w:t>
            </w:r>
          </w:p>
          <w:p w:rsidR="002E7AEC" w:rsidRPr="002E7AEC" w:rsidRDefault="002E7AEC" w:rsidP="002E7AEC">
            <w:pPr>
              <w:jc w:val="both"/>
              <w:rPr>
                <w:rFonts w:ascii="Times New Roman" w:hAnsi="Times New Roman" w:cs="Times New Roman"/>
                <w:sz w:val="24"/>
                <w:szCs w:val="24"/>
              </w:rPr>
            </w:pPr>
            <w:r w:rsidRPr="002E7AEC">
              <w:rPr>
                <w:rFonts w:ascii="Times New Roman" w:hAnsi="Times New Roman" w:cs="Times New Roman"/>
                <w:sz w:val="24"/>
                <w:szCs w:val="24"/>
              </w:rPr>
              <w:t>•          niepodawanie odbiorcom nazwy sprzedawcy lub wprowadzanie w błąd, co do nazwy sprzedawcy (podawanie się za pracowników innych podmiotów),</w:t>
            </w:r>
          </w:p>
          <w:p w:rsidR="002E7AEC" w:rsidRPr="002E7AEC" w:rsidRDefault="002E7AEC" w:rsidP="002E7AEC">
            <w:pPr>
              <w:jc w:val="both"/>
              <w:rPr>
                <w:rFonts w:ascii="Times New Roman" w:hAnsi="Times New Roman" w:cs="Times New Roman"/>
                <w:sz w:val="24"/>
                <w:szCs w:val="24"/>
              </w:rPr>
            </w:pPr>
            <w:r w:rsidRPr="002E7AEC">
              <w:rPr>
                <w:rFonts w:ascii="Times New Roman" w:hAnsi="Times New Roman" w:cs="Times New Roman"/>
                <w:sz w:val="24"/>
                <w:szCs w:val="24"/>
              </w:rPr>
              <w:t>•          wprowadzanie odbiorców w błąd poprzez informowanie o obowiązku podpisywania nowych umów, aneksów do umów lub innych dokumentów związanych z  dostarczaniem paliw gazowych i energii elektrycznej oraz podawanie nieprawdziwych przyczyn tego obowiązku (np. planowane zaprzestanie dostarczania paliw gazowych lub energii elektrycznej przez dotychczasowego sprzedawcę, czy też zmiana danych dotychczasowego sprzedawcy),</w:t>
            </w:r>
          </w:p>
          <w:p w:rsidR="002E7AEC" w:rsidRPr="002E7AEC" w:rsidRDefault="002E7AEC" w:rsidP="002E7AEC">
            <w:pPr>
              <w:jc w:val="both"/>
              <w:rPr>
                <w:rFonts w:ascii="Times New Roman" w:hAnsi="Times New Roman" w:cs="Times New Roman"/>
                <w:sz w:val="24"/>
                <w:szCs w:val="24"/>
              </w:rPr>
            </w:pPr>
            <w:r w:rsidRPr="002E7AEC">
              <w:rPr>
                <w:rFonts w:ascii="Times New Roman" w:hAnsi="Times New Roman" w:cs="Times New Roman"/>
                <w:sz w:val="24"/>
                <w:szCs w:val="24"/>
              </w:rPr>
              <w:t>•          nieinformowanie odbiorców o dokonanej zmianie sprzedawcy oraz prawach i  obowiązkach wynikających z tej procedury,</w:t>
            </w:r>
          </w:p>
          <w:p w:rsidR="002E7AEC" w:rsidRPr="002E7AEC" w:rsidRDefault="002E7AEC" w:rsidP="002E7AEC">
            <w:pPr>
              <w:jc w:val="both"/>
              <w:rPr>
                <w:rFonts w:ascii="Times New Roman" w:hAnsi="Times New Roman" w:cs="Times New Roman"/>
                <w:sz w:val="24"/>
                <w:szCs w:val="24"/>
              </w:rPr>
            </w:pPr>
            <w:r w:rsidRPr="002E7AEC">
              <w:rPr>
                <w:rFonts w:ascii="Times New Roman" w:hAnsi="Times New Roman" w:cs="Times New Roman"/>
                <w:sz w:val="24"/>
                <w:szCs w:val="24"/>
              </w:rPr>
              <w:t>•          fałszowanie podpisów odbiorców,</w:t>
            </w:r>
          </w:p>
          <w:p w:rsidR="002E7AEC" w:rsidRPr="002E7AEC" w:rsidRDefault="002E7AEC" w:rsidP="002E7AEC">
            <w:pPr>
              <w:jc w:val="both"/>
              <w:rPr>
                <w:rFonts w:ascii="Times New Roman" w:hAnsi="Times New Roman" w:cs="Times New Roman"/>
                <w:sz w:val="24"/>
                <w:szCs w:val="24"/>
              </w:rPr>
            </w:pPr>
            <w:r w:rsidRPr="002E7AEC">
              <w:rPr>
                <w:rFonts w:ascii="Times New Roman" w:hAnsi="Times New Roman" w:cs="Times New Roman"/>
                <w:sz w:val="24"/>
                <w:szCs w:val="24"/>
              </w:rPr>
              <w:lastRenderedPageBreak/>
              <w:t>•          nieuwzględnienie złożonych w terminie przez odbiorców odstąpień od zawartych poza lokalem koncesjonariusza umów kompleksowych.</w:t>
            </w:r>
          </w:p>
          <w:p w:rsidR="002E7AEC" w:rsidRPr="002E7AEC" w:rsidRDefault="002E7AEC" w:rsidP="002E7AEC">
            <w:pPr>
              <w:jc w:val="both"/>
              <w:rPr>
                <w:rFonts w:ascii="Times New Roman" w:hAnsi="Times New Roman" w:cs="Times New Roman"/>
                <w:sz w:val="24"/>
                <w:szCs w:val="24"/>
              </w:rPr>
            </w:pPr>
            <w:r w:rsidRPr="002E7AEC">
              <w:rPr>
                <w:rFonts w:ascii="Times New Roman" w:hAnsi="Times New Roman" w:cs="Times New Roman"/>
                <w:sz w:val="24"/>
                <w:szCs w:val="24"/>
              </w:rPr>
              <w:t>Agresywna polityka sprzedaży przedsiębiorstw energetycznych, powiązana z brakiem profesjonalizmu przedstawicieli handlowych tych przedsiębiorstw prowadzi do występowania licznych nieprawidłowości a nawet przestępstw w trakcie podpisywania umów sprzedaży paliw gazowych i energii elektrycznej. Przedstawiciele handlowi nastawieni na maksymalizację swoich zarobków wykorzystują niewiedzę odbiorców w  gospodarstwach domowych, w szczególności osób starszych i często wprowadzając je w  błąd doprowadzają do zawarcia niekorzystnej umowy.</w:t>
            </w:r>
          </w:p>
          <w:p w:rsidR="002E7AEC" w:rsidRPr="002E7AEC" w:rsidRDefault="002E7AEC" w:rsidP="002E7AEC">
            <w:pPr>
              <w:jc w:val="both"/>
              <w:rPr>
                <w:rFonts w:ascii="Times New Roman" w:hAnsi="Times New Roman" w:cs="Times New Roman"/>
                <w:sz w:val="24"/>
                <w:szCs w:val="24"/>
              </w:rPr>
            </w:pPr>
            <w:r w:rsidRPr="002E7AEC">
              <w:rPr>
                <w:rFonts w:ascii="Times New Roman" w:hAnsi="Times New Roman" w:cs="Times New Roman"/>
                <w:sz w:val="24"/>
                <w:szCs w:val="24"/>
              </w:rPr>
              <w:t xml:space="preserve">W 2018 roku ogólna ilość zgłoszeń tylko do Punktu Informacyjnego Odbiorców Energii i Paliw Gazowych (PI) wyniosła ok. 5000, w tym spraw dot. nieuczciwych praktyk rynkowych było blisko 600 (12%). Natomiast dane za rok 2019 wskazują na łączną ilość zgłoszeń 2995 w tym nieuczciwe praktyki rynkowe 395 (13%). Przy czym spadek spraw zgłaszanych do PI związany jest specyfiką roku 2019 i funkcjonowaniem tzw. „ustawy prądowej”, która spowodowała zamrożenie rynku energii, aktywności akwizycyjnej sprzedawców, spadek ofert i niepewność funkcjonowania w nowych otoczeniu prawnym. Warto jednak zauważyć, że % udział spraw zgłaszanych na nieuczciwe praktyki sprzedawców utrzymuje się na zbliżonym poziomie w kolejnych latach mimo podejmowanych działań przez Regulatora – cyklicznych spotkań z przedsiębiorstwami energetycznymi w celu omówienia nieprawidłowości i skarg oraz mimo deklaracji zarządów spółek do podjęcia środków zaradczych, w tym wewnętrznych procedur kontrolnych. Na marginesie warto podkreślić, że powyższe dane dotyczą tylko i wyłącznie </w:t>
            </w:r>
            <w:r w:rsidRPr="002E7AEC">
              <w:rPr>
                <w:rFonts w:ascii="Times New Roman" w:hAnsi="Times New Roman" w:cs="Times New Roman"/>
                <w:sz w:val="24"/>
                <w:szCs w:val="24"/>
              </w:rPr>
              <w:lastRenderedPageBreak/>
              <w:t>zarejestrowanych zgłoszeń, które nie odzwierciedlają liczby rzeczywiście zaistniałych sytuacji. Wielu bowiem odbiorców nie wie do jakiego organu należy dokonać zgłoszenia a nawet gdy wie to tego nie czyni.</w:t>
            </w:r>
          </w:p>
          <w:p w:rsidR="002E7AEC" w:rsidRPr="002E7AEC" w:rsidRDefault="002E7AEC" w:rsidP="002E7AEC">
            <w:pPr>
              <w:jc w:val="both"/>
              <w:rPr>
                <w:rFonts w:ascii="Times New Roman" w:hAnsi="Times New Roman" w:cs="Times New Roman"/>
                <w:sz w:val="24"/>
                <w:szCs w:val="24"/>
              </w:rPr>
            </w:pPr>
            <w:r w:rsidRPr="002E7AEC">
              <w:rPr>
                <w:rFonts w:ascii="Times New Roman" w:hAnsi="Times New Roman" w:cs="Times New Roman"/>
                <w:sz w:val="24"/>
                <w:szCs w:val="24"/>
              </w:rPr>
              <w:t xml:space="preserve">Zakaz lub ograniczenie stosowania sprzedaży poprzez kanał „door to door” funkcjonuje także w innych Państwach Członkowskich. Przykładowo został on wprowadzony w Hiszpanii w październiku 2018 r. z powodu nieuczciwych praktyk rynkowych stosowanych przez sprzedawców na rynku energii elektrycznej i paliw gazowych. Jak informuje przedstawiciel Regulatora hiszpańskiego, znaczący spadek kontraktów sprzedaży „door to door” zastąpiły inne kanały sprzedaży tj. sprzedaż internetowa i sprzedaż telefoniczna oraz zwiększyła się liczba punktów sprzedaży w centrach handlowych, na stacjach benzynowych i w innych miejscach publicznych. Ograniczenie sprzedaży „door to door” stosowane jest także w Czechach. W Czechach nie wprowadzono odgórnej regulacji dot. zakazu sprzedaży „door to door”, natomiast takie prawo zostało nadane władzom lokalnym i przykładowo odpowiednik naszego prezydenta, burmistrza czy wójta wydaje na danym obszarze odpowiednie zarządzenie. We Włoszech natomiast, co prawda nie ma bezpośredniego zakazu „door to door”, ale zasady stosowania tego kanału znajdują się w prawie, są także regulowane przez włoskiego regulatora L'Autorità di Regolazione per Energia Reti e Ambiente (ARERA) Regulator opracował tzw. "Code of commercial conduct”, który zawiera wszystkie reguły i zasady stosowania kanału sprzedaży „door to door”. ARERA za złamanie kodeksu nakłada sankcje na sprzedawców, uzupełniająco robi to także odpowiednik naszego UOKIK-u. W Belgii funkcjonuje natomiast sektorowe porozumienie, w którym znajdują się wszystkie zasady i obowiązki związane ze sprzedażą poza siedzibą </w:t>
            </w:r>
            <w:r w:rsidRPr="002E7AEC">
              <w:rPr>
                <w:rFonts w:ascii="Times New Roman" w:hAnsi="Times New Roman" w:cs="Times New Roman"/>
                <w:sz w:val="24"/>
                <w:szCs w:val="24"/>
              </w:rPr>
              <w:lastRenderedPageBreak/>
              <w:t xml:space="preserve">przedsiębiorstwa, z wyszczególnieniem „door to door”.  </w:t>
            </w:r>
            <w:r w:rsidRPr="002E7AEC">
              <w:rPr>
                <w:rFonts w:ascii="Times New Roman" w:hAnsi="Times New Roman" w:cs="Times New Roman"/>
                <w:sz w:val="24"/>
                <w:szCs w:val="24"/>
                <w:lang w:val="en-US"/>
              </w:rPr>
              <w:t xml:space="preserve">Dokument nazywa się  “Agreement – The consumer in the liberalised markets for electricity and gas”.  </w:t>
            </w:r>
            <w:r w:rsidRPr="002E7AEC">
              <w:rPr>
                <w:rFonts w:ascii="Times New Roman" w:hAnsi="Times New Roman" w:cs="Times New Roman"/>
                <w:sz w:val="24"/>
                <w:szCs w:val="24"/>
              </w:rPr>
              <w:t>Porozumienie zawiera sankcje, a przyjęte zasady są obowiązkowe dla wszystkich sprzedawców (zasady są podpisywane przez pracowników sprzedawców). Rozwiązanie w zakresie kanału „door to door” są różne, co związane też jest z nieco odmienną kulturą prawną i biznesową jak i funkcjonowaniem Regulatora w relacji  z przedsiębiorstwami energetycznymi. Jednak co najbardziej istotne temat jest podejmowany przez Regulatorów z innych Państw Członkowskich i skutecznie zakazywany bądź formalnie regulowany w celu ochrony konsumentów i najsłabszych odbiorców.</w:t>
            </w:r>
          </w:p>
          <w:p w:rsidR="002E7AEC" w:rsidRPr="002E7AEC" w:rsidRDefault="002E7AEC" w:rsidP="002E7AEC">
            <w:pPr>
              <w:jc w:val="both"/>
              <w:rPr>
                <w:rFonts w:ascii="Times New Roman" w:hAnsi="Times New Roman" w:cs="Times New Roman"/>
                <w:sz w:val="24"/>
                <w:szCs w:val="24"/>
              </w:rPr>
            </w:pPr>
            <w:r w:rsidRPr="002E7AEC">
              <w:rPr>
                <w:rFonts w:ascii="Times New Roman" w:hAnsi="Times New Roman" w:cs="Times New Roman"/>
                <w:sz w:val="24"/>
                <w:szCs w:val="24"/>
              </w:rPr>
              <w:t>Wprowadzanie zakazu zawierania umów sprzedaży paliw gazowych i energii elektrycznej poza lokalem przedsiębiorstwa nie ogranicza przy tym możliwości zawarcia takiej umowy na odległość (np. telefonicznie) czy w punkcie sprzedawcy umiejscowionym np. w galerii handlowej. Zakaz ten nie spowolni ani nie wstrzyma dokonywania zmian sprzedawcy. Wręcz przeciwnie, stworzenie systemu ochrony praw odbiorców powinno zmobilizować odbiorców do podejmowania aktywnych działań na rynku paliw gazowych i energii elektrycznej.</w:t>
            </w:r>
          </w:p>
          <w:p w:rsidR="002E7AEC" w:rsidRPr="002E7AEC" w:rsidRDefault="002E7AEC" w:rsidP="002E7AEC">
            <w:pPr>
              <w:jc w:val="both"/>
              <w:rPr>
                <w:rFonts w:ascii="Times New Roman" w:hAnsi="Times New Roman" w:cs="Times New Roman"/>
                <w:sz w:val="24"/>
                <w:szCs w:val="24"/>
              </w:rPr>
            </w:pPr>
            <w:r w:rsidRPr="002E7AEC">
              <w:rPr>
                <w:rFonts w:ascii="Times New Roman" w:hAnsi="Times New Roman" w:cs="Times New Roman"/>
                <w:sz w:val="24"/>
                <w:szCs w:val="24"/>
              </w:rPr>
              <w:t xml:space="preserve">Dodatkowo należy zaznaczyć, że obecnie Prezes URE nie dysponuje odpowiednimi narzędziami pozwalającymi na skuteczną ingerencję w przypadku nieuczciwych zachowań Sprzedawców. Aby Prezes URE mógł nakładać sankcje powinien mieć podstawę prawną w przepisach merytorycznych zakazujących danego typu zachowań. Obecnie, zagadnienie to można podciągnąć pod tzw. wady oświadczenia woli uregulowane w ustawie z dnia 23 kwietnia 1964 r. – Kodeks cywilny (Dz.  U.  z  2019  r. poz. 1145, 1495, z 2020 r. poz. </w:t>
            </w:r>
            <w:r w:rsidRPr="002E7AEC">
              <w:rPr>
                <w:rFonts w:ascii="Times New Roman" w:hAnsi="Times New Roman" w:cs="Times New Roman"/>
                <w:sz w:val="24"/>
                <w:szCs w:val="24"/>
              </w:rPr>
              <w:lastRenderedPageBreak/>
              <w:t>875.). Jednakże należy zaznaczyć, że właściwy jest wówczas sąd powszechny. Zgodnie z art. 8 ustawy – Prawo energetyczne, Prezes URE właściwy jest jedynie w sprawie odmowy zawarcia umowy. Rozszerzenie właściwości tego organu o wszystkie zagadnienia związane z umowami wymagałoby zagwarantowaniu mu dodatkowych środków (ok. 20 etatów) co z kolei mogłoby zostać zakwestionowane ze względu na dodatkowe wydatki z budżetu Państwa. Należy zaznaczyć, że w pierwotnej wersji projektu rozszerzono uprawnienia Prezesa URE o sprawy związane ze zmianą umów. Jednakże ze względów finansowych szybko zrezygnowano z tych rozwiązań.  Cofnięcie zaś koncesji jest instrumentem ostatecznym i wiąże się z przeprowadzeniem długotrwałej procedury związanej m.in. z możliwością zaskarżenia decyzji Prezesa URE.</w:t>
            </w:r>
          </w:p>
          <w:p w:rsidR="00E37A4E" w:rsidRPr="002E7AEC" w:rsidRDefault="002E7AEC" w:rsidP="000C1D56">
            <w:pPr>
              <w:jc w:val="both"/>
              <w:rPr>
                <w:rFonts w:ascii="Times New Roman" w:hAnsi="Times New Roman" w:cs="Times New Roman"/>
                <w:b/>
                <w:sz w:val="24"/>
                <w:szCs w:val="24"/>
              </w:rPr>
            </w:pPr>
            <w:r w:rsidRPr="002E7AEC">
              <w:rPr>
                <w:rFonts w:ascii="Times New Roman" w:hAnsi="Times New Roman" w:cs="Times New Roman"/>
                <w:sz w:val="24"/>
                <w:szCs w:val="24"/>
              </w:rPr>
              <w:t>Zaproponowane narzędzie jest więc jedynym skutecznym środkiem, który może zapobiec ww. procederom a którego celem jest interes publiczny oraz ochrona uzasadnionego interesu konsumenta i jego prywatności.</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lastRenderedPageBreak/>
              <w:t>29</w:t>
            </w:r>
          </w:p>
        </w:tc>
        <w:tc>
          <w:tcPr>
            <w:tcW w:w="1043" w:type="dxa"/>
          </w:tcPr>
          <w:p w:rsidR="00641F71" w:rsidRPr="00DB2B9B" w:rsidRDefault="00485AD0" w:rsidP="00B06E69">
            <w:pPr>
              <w:jc w:val="both"/>
              <w:rPr>
                <w:rFonts w:ascii="Times New Roman" w:hAnsi="Times New Roman" w:cs="Times New Roman"/>
                <w:sz w:val="24"/>
                <w:szCs w:val="24"/>
              </w:rPr>
            </w:pPr>
            <w:r w:rsidRPr="00485AD0">
              <w:rPr>
                <w:rFonts w:ascii="Times New Roman" w:hAnsi="Times New Roman" w:cs="Times New Roman"/>
                <w:sz w:val="24"/>
                <w:szCs w:val="24"/>
              </w:rPr>
              <w:t>Minister ds. UE</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4.</w:t>
            </w:r>
            <w:r w:rsidRPr="00DE1863">
              <w:rPr>
                <w:rFonts w:ascii="Times New Roman" w:hAnsi="Times New Roman" w:cs="Times New Roman"/>
                <w:sz w:val="24"/>
                <w:szCs w:val="24"/>
              </w:rPr>
              <w:tab/>
              <w:t>Kwestia kosztów instalacji systemu inteligentnego opomiarowania dla odbiorców końcowych (pkt 22 zestawienia uwag)</w:t>
            </w:r>
          </w:p>
          <w:p w:rsidR="00DE1863" w:rsidRPr="00DE1863" w:rsidRDefault="00DE1863" w:rsidP="00DE1863">
            <w:pPr>
              <w:jc w:val="both"/>
              <w:rPr>
                <w:rFonts w:ascii="Times New Roman" w:hAnsi="Times New Roman" w:cs="Times New Roman"/>
                <w:sz w:val="24"/>
                <w:szCs w:val="24"/>
              </w:rPr>
            </w:pP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W mojej uwadze dotyczącej kosztów instalacji systemu inteligentnego opomiarowania dla obiorców końcowych zwracałem uwagę na konieczność prawidłowej transpozycji art. 19 ust. 4 dyrektywy 2019/944, zgodnie z którym „państwa członkowskie przystępujące do wprowadzania inteligentnych systemów opomiarowania zapewniają, by odbiorcy końcowi w sposób przejrzysty i niedyskryminacyjny partycypowali w kosztach związanych z wprowadzaniem takich systemów”. Przepis ten gwarantuje odbiorcom końcowym prawo do bycia poinformowanym (w </w:t>
            </w:r>
            <w:r w:rsidRPr="00DE1863">
              <w:rPr>
                <w:rFonts w:ascii="Times New Roman" w:hAnsi="Times New Roman" w:cs="Times New Roman"/>
                <w:sz w:val="24"/>
                <w:szCs w:val="24"/>
              </w:rPr>
              <w:lastRenderedPageBreak/>
              <w:t>przejrzysty sposób) o kosztach, które faktycznie poniosą w związku z decyzją państwa członkowskiego o instalacji systemu inteligentnego opomiarowania (np. w kosztach dostawy energii czy gazu). Oczywiście nie wynika z tego przepisu, że odbiorca końcowy nie musi ponosić finalnie żadnych kosztów związanych z instalacją systemu – chodzi tylko o to, by był on ich świadom.</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W odpowiedzi na moją uwagę projektodawca przyznaje w zestawieniu uwag, że „odbiorca partycypuje w tych kosztach poprzez wnoszenie opłat wynikających z taryfy danego operatora”. Nie ma jednak znaczenia, że „koszty znajdują się pod kontrolą regulatora”, ponieważ sam fakt zatwierdzania taryf przez Prezesa URE nie wypełnia wynikającego art. 19 ust. 4 dyrektywy 2019/944 zobowiązania do przekazania odbiorcy końcowemu pełnej informacji na temat uczestniczenia w kosztach wprowadzenia systemu.</w:t>
            </w:r>
          </w:p>
        </w:tc>
        <w:tc>
          <w:tcPr>
            <w:tcW w:w="6344" w:type="dxa"/>
          </w:tcPr>
          <w:p w:rsidR="00D227C1" w:rsidRPr="00D227C1" w:rsidRDefault="00D227C1" w:rsidP="00976B1A">
            <w:pPr>
              <w:jc w:val="both"/>
              <w:rPr>
                <w:rFonts w:ascii="Times New Roman" w:hAnsi="Times New Roman" w:cs="Times New Roman"/>
                <w:b/>
                <w:sz w:val="24"/>
                <w:szCs w:val="24"/>
              </w:rPr>
            </w:pPr>
            <w:r w:rsidRPr="00D227C1">
              <w:rPr>
                <w:rFonts w:ascii="Times New Roman" w:hAnsi="Times New Roman" w:cs="Times New Roman"/>
                <w:b/>
                <w:sz w:val="24"/>
                <w:szCs w:val="24"/>
              </w:rPr>
              <w:lastRenderedPageBreak/>
              <w:t>Uwaga jest o charakterze europejskim.</w:t>
            </w:r>
          </w:p>
          <w:p w:rsidR="00D227C1" w:rsidRPr="00D227C1" w:rsidRDefault="00D227C1" w:rsidP="00976B1A">
            <w:pPr>
              <w:jc w:val="both"/>
              <w:rPr>
                <w:rFonts w:ascii="Times New Roman" w:hAnsi="Times New Roman" w:cs="Times New Roman"/>
                <w:b/>
                <w:sz w:val="24"/>
                <w:szCs w:val="24"/>
              </w:rPr>
            </w:pPr>
            <w:r w:rsidRPr="00D227C1">
              <w:rPr>
                <w:rFonts w:ascii="Times New Roman" w:hAnsi="Times New Roman" w:cs="Times New Roman"/>
                <w:b/>
                <w:sz w:val="24"/>
                <w:szCs w:val="24"/>
              </w:rPr>
              <w:t>Uwaga została uwzględniona.</w:t>
            </w:r>
          </w:p>
          <w:p w:rsidR="009228D2" w:rsidRDefault="00B5201D" w:rsidP="00976B1A">
            <w:pPr>
              <w:jc w:val="both"/>
              <w:rPr>
                <w:rFonts w:ascii="Times New Roman" w:hAnsi="Times New Roman" w:cs="Times New Roman"/>
                <w:sz w:val="24"/>
                <w:szCs w:val="24"/>
              </w:rPr>
            </w:pPr>
            <w:r>
              <w:rPr>
                <w:rFonts w:ascii="Times New Roman" w:hAnsi="Times New Roman" w:cs="Times New Roman"/>
                <w:sz w:val="24"/>
                <w:szCs w:val="24"/>
              </w:rPr>
              <w:t>W</w:t>
            </w:r>
            <w:r w:rsidR="009228D2">
              <w:rPr>
                <w:rFonts w:ascii="Times New Roman" w:hAnsi="Times New Roman" w:cs="Times New Roman"/>
                <w:sz w:val="24"/>
                <w:szCs w:val="24"/>
              </w:rPr>
              <w:t>prowadzono przepis, zgodnie z którym:</w:t>
            </w:r>
          </w:p>
          <w:p w:rsidR="00D227C1" w:rsidRPr="00D227C1" w:rsidRDefault="00D227C1" w:rsidP="00D227C1">
            <w:pPr>
              <w:jc w:val="both"/>
              <w:rPr>
                <w:rFonts w:ascii="Times New Roman" w:hAnsi="Times New Roman" w:cs="Times New Roman"/>
                <w:i/>
                <w:sz w:val="24"/>
                <w:szCs w:val="24"/>
              </w:rPr>
            </w:pPr>
            <w:r>
              <w:rPr>
                <w:rFonts w:ascii="Times New Roman" w:hAnsi="Times New Roman" w:cs="Times New Roman"/>
                <w:i/>
                <w:sz w:val="24"/>
                <w:szCs w:val="24"/>
              </w:rPr>
              <w:t>Art. 11u.</w:t>
            </w:r>
            <w:r w:rsidR="00950223" w:rsidRPr="00D227C1">
              <w:rPr>
                <w:rFonts w:ascii="Times New Roman" w:hAnsi="Times New Roman" w:cs="Times New Roman"/>
                <w:i/>
                <w:sz w:val="24"/>
                <w:szCs w:val="24"/>
              </w:rPr>
              <w:t xml:space="preserve"> </w:t>
            </w:r>
            <w:r w:rsidRPr="00D227C1">
              <w:rPr>
                <w:rFonts w:ascii="Times New Roman" w:hAnsi="Times New Roman" w:cs="Times New Roman"/>
                <w:i/>
                <w:sz w:val="24"/>
                <w:szCs w:val="24"/>
              </w:rPr>
              <w:t>10. Operator systemu dystrybucyjnego elektroenergetycznego przekazuje odbiorcy końcowemu, o którym mowa w ust. 1 lub 6, podczas lub przed instalacją licznika zdalnego odczytu, informacje dotyczące tego licznika, określone w przepisach wydanych na podstawie art. 11x ust. 1, w tym informację o:</w:t>
            </w:r>
          </w:p>
          <w:p w:rsidR="00D227C1" w:rsidRPr="00D227C1" w:rsidRDefault="00D227C1" w:rsidP="00D227C1">
            <w:pPr>
              <w:jc w:val="both"/>
              <w:rPr>
                <w:rFonts w:ascii="Times New Roman" w:hAnsi="Times New Roman" w:cs="Times New Roman"/>
                <w:i/>
                <w:sz w:val="24"/>
                <w:szCs w:val="24"/>
              </w:rPr>
            </w:pPr>
            <w:r w:rsidRPr="00D227C1">
              <w:rPr>
                <w:rFonts w:ascii="Times New Roman" w:hAnsi="Times New Roman" w:cs="Times New Roman"/>
                <w:i/>
                <w:sz w:val="24"/>
                <w:szCs w:val="24"/>
              </w:rPr>
              <w:t>1) funkcjach licznika zdalnego odczytu;</w:t>
            </w:r>
          </w:p>
          <w:p w:rsidR="00D227C1" w:rsidRPr="00D227C1" w:rsidRDefault="00D227C1" w:rsidP="00D227C1">
            <w:pPr>
              <w:jc w:val="both"/>
              <w:rPr>
                <w:rFonts w:ascii="Times New Roman" w:hAnsi="Times New Roman" w:cs="Times New Roman"/>
                <w:i/>
                <w:sz w:val="24"/>
                <w:szCs w:val="24"/>
              </w:rPr>
            </w:pPr>
            <w:r w:rsidRPr="00D227C1">
              <w:rPr>
                <w:rFonts w:ascii="Times New Roman" w:hAnsi="Times New Roman" w:cs="Times New Roman"/>
                <w:i/>
                <w:sz w:val="24"/>
                <w:szCs w:val="24"/>
              </w:rPr>
              <w:t>2) przetwarzaniu danych osobowych tego odbiorcy;</w:t>
            </w:r>
          </w:p>
          <w:p w:rsidR="00D227C1" w:rsidRPr="00D227C1" w:rsidRDefault="00D227C1" w:rsidP="00D227C1">
            <w:pPr>
              <w:jc w:val="both"/>
              <w:rPr>
                <w:rFonts w:ascii="Times New Roman" w:hAnsi="Times New Roman" w:cs="Times New Roman"/>
                <w:i/>
                <w:sz w:val="24"/>
                <w:szCs w:val="24"/>
              </w:rPr>
            </w:pPr>
            <w:r w:rsidRPr="00D227C1">
              <w:rPr>
                <w:rFonts w:ascii="Times New Roman" w:hAnsi="Times New Roman" w:cs="Times New Roman"/>
                <w:i/>
                <w:sz w:val="24"/>
                <w:szCs w:val="24"/>
              </w:rPr>
              <w:t>3) uśrednionych oraz długoterminowych kosztach i korzyściach związanych z taką instalacją oraz</w:t>
            </w:r>
          </w:p>
          <w:p w:rsidR="00D227C1" w:rsidRPr="00D227C1" w:rsidRDefault="00D227C1" w:rsidP="00D227C1">
            <w:pPr>
              <w:jc w:val="both"/>
              <w:rPr>
                <w:rFonts w:ascii="Times New Roman" w:hAnsi="Times New Roman" w:cs="Times New Roman"/>
                <w:i/>
                <w:sz w:val="24"/>
                <w:szCs w:val="24"/>
              </w:rPr>
            </w:pPr>
            <w:r w:rsidRPr="00D227C1">
              <w:rPr>
                <w:rFonts w:ascii="Times New Roman" w:hAnsi="Times New Roman" w:cs="Times New Roman"/>
                <w:i/>
                <w:sz w:val="24"/>
                <w:szCs w:val="24"/>
              </w:rPr>
              <w:lastRenderedPageBreak/>
              <w:t>4) pokryciu i uwzględnieniu kosztów określonych w ust. 4 oraz w art. 45 ust. 1i w kosztach działalności przedsiębiorstw energetycznych zajmujących się przesyłaniem lub dystrybucją energii elektrycznej, o których mowa w art. 45 ust. 1 pkt 1 i ujęciu ich w taryfie ogłaszanej w sposób określony w art. 47 ust. 3.</w:t>
            </w:r>
          </w:p>
          <w:p w:rsidR="00010867" w:rsidRPr="00DB2B9B" w:rsidRDefault="00010867" w:rsidP="00DD7B35">
            <w:pPr>
              <w:jc w:val="both"/>
              <w:rPr>
                <w:rFonts w:ascii="Times New Roman" w:hAnsi="Times New Roman" w:cs="Times New Roman"/>
                <w:sz w:val="24"/>
                <w:szCs w:val="24"/>
              </w:rPr>
            </w:pP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1043" w:type="dxa"/>
          </w:tcPr>
          <w:p w:rsidR="00641F71" w:rsidRPr="00DB2B9B" w:rsidRDefault="00485AD0" w:rsidP="00B06E69">
            <w:pPr>
              <w:jc w:val="both"/>
              <w:rPr>
                <w:rFonts w:ascii="Times New Roman" w:hAnsi="Times New Roman" w:cs="Times New Roman"/>
                <w:sz w:val="24"/>
                <w:szCs w:val="24"/>
              </w:rPr>
            </w:pPr>
            <w:r w:rsidRPr="00485AD0">
              <w:rPr>
                <w:rFonts w:ascii="Times New Roman" w:hAnsi="Times New Roman" w:cs="Times New Roman"/>
                <w:sz w:val="24"/>
                <w:szCs w:val="24"/>
              </w:rPr>
              <w:t>Minister ds. UE</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5.</w:t>
            </w:r>
            <w:r w:rsidRPr="00DE1863">
              <w:rPr>
                <w:rFonts w:ascii="Times New Roman" w:hAnsi="Times New Roman" w:cs="Times New Roman"/>
                <w:sz w:val="24"/>
                <w:szCs w:val="24"/>
              </w:rPr>
              <w:tab/>
              <w:t>Kwestia ochrony danych osobowych w ramach systemu inteligentnego opomiarowania (pkt 26-34 zestawienia uwag)</w:t>
            </w:r>
          </w:p>
          <w:p w:rsidR="00DE1863" w:rsidRPr="00DE1863" w:rsidRDefault="00DE1863" w:rsidP="00DE1863">
            <w:pPr>
              <w:jc w:val="both"/>
              <w:rPr>
                <w:rFonts w:ascii="Times New Roman" w:hAnsi="Times New Roman" w:cs="Times New Roman"/>
                <w:sz w:val="24"/>
                <w:szCs w:val="24"/>
              </w:rPr>
            </w:pP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Odnośnie do kwestii ochrony danych osobowych, podtrzymuję moje uwagi w następującym zakresie:</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a)</w:t>
            </w:r>
            <w:r w:rsidRPr="00DE1863">
              <w:rPr>
                <w:rFonts w:ascii="Times New Roman" w:hAnsi="Times New Roman" w:cs="Times New Roman"/>
                <w:sz w:val="24"/>
                <w:szCs w:val="24"/>
              </w:rPr>
              <w:tab/>
              <w:t xml:space="preserve">Projektowany art. 11zf ust. 1 ustawy stanowi, że operator informacji rynku energii, sprzedawca energii elektrycznej, operator systemu dystrybucyjnego elektroenergetycznego lub właściciel urządzeń, instalacji lub sieci w przypadku gdy odbiorcom jest dostarczana energia elektryczna z urządzeń, instalacji lub sieci, na których nie wyznaczono operatora systemu elektroenergetycznego oraz operator systemu przesyłowego elektroenergetycznego są współadministratorami informacji rynku energii stanowiących dane osobowe w zakresie, który </w:t>
            </w:r>
            <w:r w:rsidRPr="00DE1863">
              <w:rPr>
                <w:rFonts w:ascii="Times New Roman" w:hAnsi="Times New Roman" w:cs="Times New Roman"/>
                <w:sz w:val="24"/>
                <w:szCs w:val="24"/>
              </w:rPr>
              <w:lastRenderedPageBreak/>
              <w:t>ich dotyczy, zawartych w centralnym systemie informacji rynku energii, w rozumieniu art. 26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Moja uwaga odnosząca się do ochrony danych osobowych wskazywała na wątpliwości w zakresie wskazania wspomnianych podmiotów jako współadministatorów. Należy mieć jednak na uwadze to, że to projektodawca posiada najlepszą wiedzę odnośnie do mechanizmów działających w tym obszarze, to on również odpowiada ostatecznie za kształt wprowadzanych przepisów. W związku z tym przyjmuję wyjaśnienia przedstawione odnośnie do przyjętej przez projektodawcę konstrukcji legislacyjnej. Niezależnie od tego rekomenduję skonsultowanie tej kwestii z Prezesem Urzędu Ochrony Danych Osobowych, organem nadzorczym w zakresie rozporządzenia 2016/679.</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b)</w:t>
            </w:r>
            <w:r w:rsidRPr="00DE1863">
              <w:rPr>
                <w:rFonts w:ascii="Times New Roman" w:hAnsi="Times New Roman" w:cs="Times New Roman"/>
                <w:sz w:val="24"/>
                <w:szCs w:val="24"/>
              </w:rPr>
              <w:tab/>
              <w:t>W mojej ocenie zasadne jest również poszerzenie uzasadnienia projektu ustawy o wyjaśnienie przedstawione w zestawieniu uwag, dotyczące wprowadzenia projektowanego art. 11zf ust. 5 projektu ustawy, przewidującego ograniczenie art. 15 rozporządzenia 2016/679.</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c)</w:t>
            </w:r>
            <w:r w:rsidRPr="00DE1863">
              <w:rPr>
                <w:rFonts w:ascii="Times New Roman" w:hAnsi="Times New Roman" w:cs="Times New Roman"/>
                <w:sz w:val="24"/>
                <w:szCs w:val="24"/>
              </w:rPr>
              <w:tab/>
              <w:t xml:space="preserve">Wciąż niezrozumiały pozostaje projektowany art. 11zf ust. 7 ustawy. Zgodnie z jego aktualną treścią, operator informacji rynku energii jest obowiązany do stosowania środków technicznych i organizacyjnych, o których mowa w art. 32 rozporządzenia 2016/679, w celu zapewnienia </w:t>
            </w:r>
            <w:r w:rsidRPr="00DE1863">
              <w:rPr>
                <w:rFonts w:ascii="Times New Roman" w:hAnsi="Times New Roman" w:cs="Times New Roman"/>
                <w:sz w:val="24"/>
                <w:szCs w:val="24"/>
              </w:rPr>
              <w:lastRenderedPageBreak/>
              <w:t>bezpieczeństwa centralnego systemu informacji rynku energii oraz zapewnia zgodność przetwarzania danych w ramach centralnego systemu informacji rynku energii z przepisami art. 25 rozporządzenia 2016/679. Konieczne jest wyjaśnienie, czy w takim wypadku pozostali współadministatorzy nie będą musieli stosować środków z art. 25 i art. 32 rozporządzenia 2016/679, wskazanych w projektowanym art. 11zf ust. 7 ustawy. Konstrukcja projektowanego przepisu odnosi się bowiem wyłącznie do operatora informacji rynku energii. Zwracam uwagę, że wszystkich współadministatorów powinien objąć projektowany art. 11zf ust. 17 ustawy, ogólnie wskazujący na konieczność wdrożenia odpowiednich zabezpieczeń technicznych i organizacyjnych zgodnie z rozporządzeniem 2016/679. W taki wypadku tym bardziej niezrozumiały jest cel wskazania tylko do operatora informacji rynku energii niektórych ogólnych obowiązków wynikających z rozporządzenia 2016/679, które powinny obowiązywać wszystkich administratorów i współadministatorów.</w:t>
            </w:r>
          </w:p>
        </w:tc>
        <w:tc>
          <w:tcPr>
            <w:tcW w:w="6344" w:type="dxa"/>
          </w:tcPr>
          <w:p w:rsidR="00D227C1" w:rsidRPr="00D227C1" w:rsidRDefault="00D227C1" w:rsidP="00B06E69">
            <w:pPr>
              <w:jc w:val="both"/>
              <w:rPr>
                <w:rFonts w:ascii="Times New Roman" w:hAnsi="Times New Roman" w:cs="Times New Roman"/>
                <w:b/>
                <w:sz w:val="24"/>
                <w:szCs w:val="24"/>
              </w:rPr>
            </w:pPr>
            <w:r w:rsidRPr="00D227C1">
              <w:rPr>
                <w:rFonts w:ascii="Times New Roman" w:hAnsi="Times New Roman" w:cs="Times New Roman"/>
                <w:b/>
                <w:sz w:val="24"/>
                <w:szCs w:val="24"/>
              </w:rPr>
              <w:lastRenderedPageBreak/>
              <w:t>Uwagi są o charakterze europejskim.</w:t>
            </w:r>
          </w:p>
          <w:p w:rsidR="00641F71" w:rsidRDefault="00BF4B41" w:rsidP="00B06E69">
            <w:pPr>
              <w:jc w:val="both"/>
              <w:rPr>
                <w:rFonts w:ascii="Times New Roman" w:hAnsi="Times New Roman" w:cs="Times New Roman"/>
                <w:sz w:val="24"/>
                <w:szCs w:val="24"/>
              </w:rPr>
            </w:pPr>
            <w:r>
              <w:rPr>
                <w:rFonts w:ascii="Times New Roman" w:hAnsi="Times New Roman" w:cs="Times New Roman"/>
                <w:sz w:val="24"/>
                <w:szCs w:val="24"/>
              </w:rPr>
              <w:t xml:space="preserve">Ad. a. </w:t>
            </w:r>
            <w:r w:rsidR="00D227C1" w:rsidRPr="00D227C1">
              <w:rPr>
                <w:rFonts w:ascii="Times New Roman" w:hAnsi="Times New Roman" w:cs="Times New Roman"/>
                <w:b/>
                <w:sz w:val="24"/>
                <w:szCs w:val="24"/>
              </w:rPr>
              <w:t>Uwaga została wyjaśniona.</w:t>
            </w:r>
            <w:r w:rsidR="00D227C1">
              <w:rPr>
                <w:rFonts w:ascii="Times New Roman" w:hAnsi="Times New Roman" w:cs="Times New Roman"/>
                <w:sz w:val="24"/>
                <w:szCs w:val="24"/>
              </w:rPr>
              <w:t xml:space="preserve"> </w:t>
            </w:r>
            <w:r>
              <w:rPr>
                <w:rFonts w:ascii="Times New Roman" w:hAnsi="Times New Roman" w:cs="Times New Roman"/>
                <w:sz w:val="24"/>
                <w:szCs w:val="24"/>
              </w:rPr>
              <w:t>Za przyjęciem modelu współadministrowania przemawiają względy ekonomiczne. Projekt pr</w:t>
            </w:r>
            <w:r w:rsidR="00D4400B">
              <w:rPr>
                <w:rFonts w:ascii="Times New Roman" w:hAnsi="Times New Roman" w:cs="Times New Roman"/>
                <w:sz w:val="24"/>
                <w:szCs w:val="24"/>
              </w:rPr>
              <w:t>zepisu/modelu był konsultowany</w:t>
            </w:r>
            <w:r>
              <w:rPr>
                <w:rFonts w:ascii="Times New Roman" w:hAnsi="Times New Roman" w:cs="Times New Roman"/>
                <w:sz w:val="24"/>
                <w:szCs w:val="24"/>
              </w:rPr>
              <w:t xml:space="preserve"> z Urzędem Ochrony Danych Osobowych. Podczas Konsultacji Urząd wskazał, że to do projektodawcy należy wybór modelu i że w przypadku przyjęcia modelu współadministrowania należy przypisać poszczególnych współadministratorom obowiązki wynikające z rozporządzenia RODO co jest określone w art. 11zf .</w:t>
            </w:r>
            <w:r w:rsidR="000A6302">
              <w:rPr>
                <w:rFonts w:ascii="Times New Roman" w:hAnsi="Times New Roman" w:cs="Times New Roman"/>
                <w:sz w:val="24"/>
                <w:szCs w:val="24"/>
              </w:rPr>
              <w:t xml:space="preserve"> Odbyła się w tej sprawie wymiana korespondencji oraz spotkanie z Przedstawicielami UODO.</w:t>
            </w:r>
          </w:p>
          <w:p w:rsidR="001574AB" w:rsidRPr="001574AB" w:rsidRDefault="00BF4B41" w:rsidP="00B06E69">
            <w:pPr>
              <w:jc w:val="both"/>
              <w:rPr>
                <w:rFonts w:ascii="Times New Roman" w:hAnsi="Times New Roman" w:cs="Times New Roman"/>
                <w:b/>
                <w:sz w:val="24"/>
                <w:szCs w:val="24"/>
              </w:rPr>
            </w:pPr>
            <w:r>
              <w:rPr>
                <w:rFonts w:ascii="Times New Roman" w:hAnsi="Times New Roman" w:cs="Times New Roman"/>
                <w:sz w:val="24"/>
                <w:szCs w:val="24"/>
              </w:rPr>
              <w:t xml:space="preserve">Ad. b. </w:t>
            </w:r>
            <w:r w:rsidR="003B2DE3" w:rsidRPr="00D227C1">
              <w:rPr>
                <w:rFonts w:ascii="Times New Roman" w:hAnsi="Times New Roman" w:cs="Times New Roman"/>
                <w:b/>
                <w:sz w:val="24"/>
                <w:szCs w:val="24"/>
              </w:rPr>
              <w:t>Uwaga została uwzględniona</w:t>
            </w:r>
            <w:r w:rsidR="003B2DE3">
              <w:rPr>
                <w:rFonts w:ascii="Times New Roman" w:hAnsi="Times New Roman" w:cs="Times New Roman"/>
                <w:sz w:val="24"/>
                <w:szCs w:val="24"/>
              </w:rPr>
              <w:t>. W uzasadnieniu wyjaśniono, że k</w:t>
            </w:r>
            <w:r>
              <w:rPr>
                <w:rFonts w:ascii="Times New Roman" w:hAnsi="Times New Roman" w:cs="Times New Roman"/>
                <w:sz w:val="24"/>
                <w:szCs w:val="24"/>
              </w:rPr>
              <w:t xml:space="preserve">westionowany przepis ma na celu uniknięcie (zarówno ze względów ekonomicznych jak i ekologicznych) konieczności drukowania stosu papierów i dostarczania ich odbiorcy końcowemu. Odbiorca końcowy nie zostaje wcale </w:t>
            </w:r>
            <w:r>
              <w:rPr>
                <w:rFonts w:ascii="Times New Roman" w:hAnsi="Times New Roman" w:cs="Times New Roman"/>
                <w:sz w:val="24"/>
                <w:szCs w:val="24"/>
              </w:rPr>
              <w:lastRenderedPageBreak/>
              <w:t xml:space="preserve">pozbawiony uprawnienia do uzyskania danych pomiarowych dot. jego zużycia energii elektrycznej, będzie on bowiem mógł nadal zażądać tych danych w formie elektronicznej. </w:t>
            </w:r>
          </w:p>
          <w:p w:rsidR="003B2DE3" w:rsidRPr="00DB2B9B" w:rsidRDefault="00BF4B41" w:rsidP="003B2DE3">
            <w:pPr>
              <w:jc w:val="both"/>
              <w:rPr>
                <w:rFonts w:ascii="Times New Roman" w:hAnsi="Times New Roman" w:cs="Times New Roman"/>
                <w:sz w:val="24"/>
                <w:szCs w:val="24"/>
              </w:rPr>
            </w:pPr>
            <w:r>
              <w:rPr>
                <w:rFonts w:ascii="Times New Roman" w:hAnsi="Times New Roman" w:cs="Times New Roman"/>
                <w:sz w:val="24"/>
                <w:szCs w:val="24"/>
              </w:rPr>
              <w:t xml:space="preserve">Ad. c. </w:t>
            </w:r>
            <w:r w:rsidR="003B2DE3" w:rsidRPr="00D227C1">
              <w:rPr>
                <w:rFonts w:ascii="Times New Roman" w:hAnsi="Times New Roman" w:cs="Times New Roman"/>
                <w:b/>
                <w:sz w:val="24"/>
                <w:szCs w:val="24"/>
              </w:rPr>
              <w:t>Uwaga została uwzględniona</w:t>
            </w:r>
            <w:r w:rsidR="003B2DE3" w:rsidRPr="003B2DE3">
              <w:rPr>
                <w:rFonts w:ascii="Times New Roman" w:hAnsi="Times New Roman" w:cs="Times New Roman"/>
                <w:sz w:val="24"/>
                <w:szCs w:val="24"/>
              </w:rPr>
              <w:t>. Kwestion</w:t>
            </w:r>
            <w:r w:rsidR="003B2DE3">
              <w:rPr>
                <w:rFonts w:ascii="Times New Roman" w:hAnsi="Times New Roman" w:cs="Times New Roman"/>
                <w:sz w:val="24"/>
                <w:szCs w:val="24"/>
              </w:rPr>
              <w:t xml:space="preserve">owany przepis został wykreślony, bowiem rozporządzenia UE obowiązują bezpośrednio. Tym samym usunięto wątpliwość jakoby operator informacji rynku energii jako jedyny ze współadministratorów miałby stosować przepisy rozporządzenia </w:t>
            </w:r>
            <w:r w:rsidR="003B2DE3" w:rsidRPr="003B2DE3">
              <w:rPr>
                <w:rFonts w:ascii="Times New Roman" w:hAnsi="Times New Roman" w:cs="Times New Roman"/>
                <w:sz w:val="24"/>
                <w:szCs w:val="24"/>
              </w:rPr>
              <w:t>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B2DE3">
              <w:rPr>
                <w:rFonts w:ascii="Times New Roman" w:hAnsi="Times New Roman" w:cs="Times New Roman"/>
                <w:sz w:val="24"/>
                <w:szCs w:val="24"/>
              </w:rPr>
              <w:t>.</w:t>
            </w:r>
          </w:p>
          <w:p w:rsidR="00BF4B41" w:rsidRPr="00DB2B9B" w:rsidRDefault="00BF4B41" w:rsidP="00B06E69">
            <w:pPr>
              <w:jc w:val="both"/>
              <w:rPr>
                <w:rFonts w:ascii="Times New Roman" w:hAnsi="Times New Roman" w:cs="Times New Roman"/>
                <w:sz w:val="24"/>
                <w:szCs w:val="24"/>
              </w:rPr>
            </w:pP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lastRenderedPageBreak/>
              <w:t>31</w:t>
            </w:r>
          </w:p>
        </w:tc>
        <w:tc>
          <w:tcPr>
            <w:tcW w:w="1043" w:type="dxa"/>
          </w:tcPr>
          <w:p w:rsidR="00641F71" w:rsidRPr="00DB2B9B" w:rsidRDefault="00485AD0" w:rsidP="00B06E69">
            <w:pPr>
              <w:jc w:val="both"/>
              <w:rPr>
                <w:rFonts w:ascii="Times New Roman" w:hAnsi="Times New Roman" w:cs="Times New Roman"/>
                <w:sz w:val="24"/>
                <w:szCs w:val="24"/>
              </w:rPr>
            </w:pPr>
            <w:r w:rsidRPr="00485AD0">
              <w:rPr>
                <w:rFonts w:ascii="Times New Roman" w:hAnsi="Times New Roman" w:cs="Times New Roman"/>
                <w:sz w:val="24"/>
                <w:szCs w:val="24"/>
              </w:rPr>
              <w:t>Minister ds. UE</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6.</w:t>
            </w:r>
            <w:r w:rsidRPr="00DE1863">
              <w:rPr>
                <w:rFonts w:ascii="Times New Roman" w:hAnsi="Times New Roman" w:cs="Times New Roman"/>
                <w:sz w:val="24"/>
                <w:szCs w:val="24"/>
              </w:rPr>
              <w:tab/>
              <w:t>Kwestia uznawania kwalifikacji (pkt 37 zestawienia uwag)</w:t>
            </w:r>
          </w:p>
          <w:p w:rsidR="00DE1863" w:rsidRPr="00DE1863" w:rsidRDefault="00DE1863" w:rsidP="00DE1863">
            <w:pPr>
              <w:jc w:val="both"/>
              <w:rPr>
                <w:rFonts w:ascii="Times New Roman" w:hAnsi="Times New Roman" w:cs="Times New Roman"/>
                <w:sz w:val="24"/>
                <w:szCs w:val="24"/>
              </w:rPr>
            </w:pP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Pragnę ponowić zgłoszoną w toku uzgodnień międzyresortowych uwagę dotyczącą art. 54 ustawy – Prawo energetyczne. Przedstawione przez projektodawcę wyjaśnienia (pkt 37 zestawienia uwag) wskazują na brak zrozumienia problemu i nie odnoszą się do zastrzeżeń podniesionych w opinii o zgodności projektu z prawem UE.</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a)</w:t>
            </w:r>
            <w:r w:rsidRPr="00DE1863">
              <w:rPr>
                <w:rFonts w:ascii="Times New Roman" w:hAnsi="Times New Roman" w:cs="Times New Roman"/>
                <w:sz w:val="24"/>
                <w:szCs w:val="24"/>
              </w:rPr>
              <w:tab/>
              <w:t xml:space="preserve">Zastrzeżenia te dotyczą obowiązującego art. 54 ust. 2a ustawy – Prawo energetyczne. Zgodnie z tym przepisem z obowiązku posiadania polskiego świadectwa potwierdzającego kwalifikacje zwolnieni są  obywatele </w:t>
            </w:r>
            <w:r w:rsidRPr="00DE1863">
              <w:rPr>
                <w:rFonts w:ascii="Times New Roman" w:hAnsi="Times New Roman" w:cs="Times New Roman"/>
                <w:sz w:val="24"/>
                <w:szCs w:val="24"/>
              </w:rPr>
              <w:lastRenderedPageBreak/>
              <w:t>państw członkowskich UE, Konfederacji Szwajcarskiej lub EOG, którzy nabyli w tych państwach wymagane kwalifikacje w zakresie eksploatacji urządzeń, instalacji i sieci i uzyskali potwierdzenie tych kwalifikacji zgodnie z przepisami o zasadach uznawania nabytych w państwach członkowskich Unii Europejskiej kwalifikacji do wykonywania zawodów regulowanych.</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Tym samym art. 54 ust. 2a ustawy – Prawo energetyczne  stanowi lex specialis względem zasad ogólnych ustanowionych w ustawie o zasadach uznawania kwalifikacji zawodowych nabytych w państwach członkowskich Unii Europejskiej wdrażającej do polskiego porządku prawnego dyrektywę 2005/36/WE w sprawie uznawania kwalifikacji zawodowych.</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Po pierwsze, zgodnie z ustawą o zasadach uznawania kwalifikacji zawodowych nabytych w państwach członkowskich Unii Europejskiej, uprawnienie do wystąpienia o uznanie kwalifikacji zawodowych przysługuje nie tylko obywatelom UE, EOG oraz Konfederacji Szwajcarskiej, ale również obywatelom państw trzecich, na przykład członkom rodzin obywateli UE oraz rezydentom długoterminowym UE  (katalog osób uprawnionych zawarty jest w art. 2 ust. 1 ustawy). W tym zakresie ustawa wdraża liczne akty prawa unijnego z zakresu swobody przepływu i migracji, m.in. dyrektywę 2004/38/WE w sprawie prawa obywateli Unii i członków ich rodzin do  swobodnego przemieszczania się i pobytu na terytorium Państw Członkowskich oraz dyrektywę 2009/50/WE w sprawie warunków wjazdu i pobytu obywateli państw trzecich w celu podjęcia pracy w zawodzie wymagającym wysokich kwalifikacji. W związku z brakiem przepisów unijnych, które dopuszczałyby zastosowanie wyjątków od tych aktów w stosunku do zawodów, o których mowa w art. 54 ustawy – Prawo energetyczne, nie widzę podstawy do ograniczenia zakresu podmiotowego art. 54 ust. 2a ustawy – Prawo energetyczne przez zastosowanie kryterium obywatelstwa.</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b)</w:t>
            </w:r>
            <w:r w:rsidRPr="00DE1863">
              <w:rPr>
                <w:rFonts w:ascii="Times New Roman" w:hAnsi="Times New Roman" w:cs="Times New Roman"/>
                <w:sz w:val="24"/>
                <w:szCs w:val="24"/>
              </w:rPr>
              <w:tab/>
              <w:t>Po drugie, zgodnie z Tytułem II dyrektywy 2005/36/WE wdrożonym w rozdziale 4 ustawy o zasadach uznawania kwalifikacji zawodowych nabytych w państwach członkowskich Unii Europejskiej, osobom które nabyły kwalifikacje  w państwie członkowskim przysługuje prawo do  świadczenia usług transgranicznych na terytorium innego państwa, bez konieczności ich uprzedniego uznawania. Kontrola kwalifikacji usługodawcy może nastąpić jedynie wyjątkowo w stosunku do zawodów wymienionych w rozporządzeniu Prezesa Rady Ministrów w sprawie wykazu zawodów regulowanych i działalności regulowanych, przy wykonywaniu których usługodawca posiada bezpośredni wpływ na zdrowie lub bezpieczeństwo publiczne, w przypadku których można wszcząć postępowanie w sprawie uznania kwalifikacji (do których należą m.in. zawody związane z eksploatacją sieci oraz urządzeń i instalacji), przy czym – jak wynika z art. 7 ust. 4 dyrektywy 2005/36/WE –  powinna ona mieć charakter indywidualny, a nie automatyczny. Nie można zatem założyć z góry stosowania tej kontroli względem wszystkich usługodawców wykonujących zawód wymieniony w rozporządzeniu. Tymczasem art. 54 ust. 2a ustawy – Prawo energetyczne, jednoznacznie wymaga uzyskania  potwierdzenia kwalifikacji zgodnie z przepisami o zasadach uznawania nabytych w państwach członkowskich Unii Europejskiej kwalifikacji do wykonywania zawodów regulowanych, a więc decyzji w sprawie uznania kwalifikacji.</w:t>
            </w: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c)</w:t>
            </w:r>
            <w:r w:rsidRPr="00DE1863">
              <w:rPr>
                <w:rFonts w:ascii="Times New Roman" w:hAnsi="Times New Roman" w:cs="Times New Roman"/>
                <w:sz w:val="24"/>
                <w:szCs w:val="24"/>
              </w:rPr>
              <w:tab/>
              <w:t>Wreszcie należy zwrócić uwagę na rozbieżność pomiędzy zakresem podmiotowym obowiązującego art. 54 ust. 2a ustawy – Prawo energetyczne oraz projektowanego art. 54 ust. 2b tej ustawy. Pierwszy przepis dotyczy wyłącznie obywateli wskazanych państw, drugi natomiast upoważnia Prezesa URE do uznawania kwalifikacji, nie wskazując kto może wystąpić z wnioskiem. Zastosowanie znajdzie zatem w tym względzie ustawa o zasadach uznawania kwalifikacji zawodowych nabytych w państwach członkowskich Unii Europejskiej. W efekcie obywatel państwa trzeciego, któremu zgodnie z ustawą o zasadach uznawania kwalifikacji zawodowych nabytych w państwach członkowskich Unii Europejskiej oraz art. 54 ust. 2b Prezes URE uzna kwalifikacje zawodowe, nie będzie mógł wykonywać czynności związanych z eksploatacją urządzeń, instalacji i sieci, ze względu na treść art. 54 ust. 2a   ustawy – Prawo energetyczne, gdyż przepis ten ma zastosowanie wyłącznie do obywateli UE, EOG i Konfederacji  Szwajcarskiej.</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Podsumowując, ze względu na powyższe zastrzeżenia oraz fakt wyczerpującego uregulowania kwestii związanych z uznawaniem kwalifikacji zawodowych i świadczeniem usług transgranicznych przez osoby wykonujące zawody regulowane w ustawie o zasadach uznawania kwalifikacji zawodowych nabytych w państwach członkowskich Unii Europejskiej, wskazane wydaje się uchylenie art. 54 ust. 2a ustawy – Prawo energetyczne</w:t>
            </w:r>
            <w:r>
              <w:rPr>
                <w:rFonts w:ascii="Times New Roman" w:hAnsi="Times New Roman" w:cs="Times New Roman"/>
                <w:sz w:val="24"/>
                <w:szCs w:val="24"/>
              </w:rPr>
              <w:t>.</w:t>
            </w:r>
          </w:p>
        </w:tc>
        <w:tc>
          <w:tcPr>
            <w:tcW w:w="6344" w:type="dxa"/>
          </w:tcPr>
          <w:p w:rsidR="00D227C1" w:rsidRPr="00D227C1" w:rsidRDefault="00D227C1" w:rsidP="00B06E69">
            <w:pPr>
              <w:jc w:val="both"/>
              <w:rPr>
                <w:rFonts w:ascii="Times New Roman" w:hAnsi="Times New Roman" w:cs="Times New Roman"/>
                <w:b/>
                <w:sz w:val="24"/>
                <w:szCs w:val="24"/>
              </w:rPr>
            </w:pPr>
            <w:r w:rsidRPr="00D227C1">
              <w:rPr>
                <w:rFonts w:ascii="Times New Roman" w:hAnsi="Times New Roman" w:cs="Times New Roman"/>
                <w:b/>
                <w:sz w:val="24"/>
                <w:szCs w:val="24"/>
              </w:rPr>
              <w:lastRenderedPageBreak/>
              <w:t>Uwaga jest o charakterze europejskim.</w:t>
            </w:r>
          </w:p>
          <w:p w:rsidR="00641F71" w:rsidRPr="00DB2B9B" w:rsidRDefault="005649B1" w:rsidP="00B06E69">
            <w:pPr>
              <w:jc w:val="both"/>
              <w:rPr>
                <w:rFonts w:ascii="Times New Roman" w:hAnsi="Times New Roman" w:cs="Times New Roman"/>
                <w:sz w:val="24"/>
                <w:szCs w:val="24"/>
              </w:rPr>
            </w:pPr>
            <w:r w:rsidRPr="00D227C1">
              <w:rPr>
                <w:rFonts w:ascii="Times New Roman" w:hAnsi="Times New Roman" w:cs="Times New Roman"/>
                <w:b/>
                <w:sz w:val="24"/>
                <w:szCs w:val="24"/>
              </w:rPr>
              <w:t>Uwaga uwzględniona</w:t>
            </w:r>
            <w:r>
              <w:rPr>
                <w:rFonts w:ascii="Times New Roman" w:hAnsi="Times New Roman" w:cs="Times New Roman"/>
                <w:sz w:val="24"/>
                <w:szCs w:val="24"/>
              </w:rPr>
              <w:t>. Art. 54 ust. 2a został uchylony.</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32</w:t>
            </w:r>
          </w:p>
        </w:tc>
        <w:tc>
          <w:tcPr>
            <w:tcW w:w="1043" w:type="dxa"/>
          </w:tcPr>
          <w:p w:rsidR="00641F71" w:rsidRPr="00DB2B9B" w:rsidRDefault="00485AD0" w:rsidP="00B06E69">
            <w:pPr>
              <w:jc w:val="both"/>
              <w:rPr>
                <w:rFonts w:ascii="Times New Roman" w:hAnsi="Times New Roman" w:cs="Times New Roman"/>
                <w:sz w:val="24"/>
                <w:szCs w:val="24"/>
              </w:rPr>
            </w:pPr>
            <w:r w:rsidRPr="00485AD0">
              <w:rPr>
                <w:rFonts w:ascii="Times New Roman" w:hAnsi="Times New Roman" w:cs="Times New Roman"/>
                <w:sz w:val="24"/>
                <w:szCs w:val="24"/>
              </w:rPr>
              <w:t>Minister ds. UE</w:t>
            </w:r>
          </w:p>
        </w:tc>
        <w:tc>
          <w:tcPr>
            <w:tcW w:w="5977" w:type="dxa"/>
          </w:tcPr>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7.</w:t>
            </w:r>
            <w:r w:rsidRPr="00DE1863">
              <w:rPr>
                <w:rFonts w:ascii="Times New Roman" w:hAnsi="Times New Roman" w:cs="Times New Roman"/>
                <w:sz w:val="24"/>
                <w:szCs w:val="24"/>
              </w:rPr>
              <w:tab/>
              <w:t>Dodatkowa uwaga dot. art. 1 pkt 14 – zmiana art. 9c ustawy – Prawo energetyczne, polegająca na dodaniu nowego ust. 7a</w:t>
            </w:r>
          </w:p>
          <w:p w:rsidR="00DE1863" w:rsidRPr="00DE1863" w:rsidRDefault="00DE1863" w:rsidP="00DE1863">
            <w:pPr>
              <w:jc w:val="both"/>
              <w:rPr>
                <w:rFonts w:ascii="Times New Roman" w:hAnsi="Times New Roman" w:cs="Times New Roman"/>
                <w:sz w:val="24"/>
                <w:szCs w:val="24"/>
              </w:rPr>
            </w:pPr>
          </w:p>
          <w:p w:rsidR="00DE1863" w:rsidRPr="00DE1863"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 xml:space="preserve">W projektowanym przepisie zamieszczone zostało upoważnienie dla Operatora Systemu Przesyłowego elektroenergetycznego do nakazania wytwórcy energii elektrycznej z energii wiatru lub promieniowania słonecznego zmniejszenia wytwarzanej przez niego mocy, lub do skorzystania z usług systemowych świadczonych przez odbiorców energii elektrycznej, w celu zrównoważenia dostaw energii elektrycznej z zapotrzebowaniem na tę energię oraz bezpieczeństwa pracy sieci elektroenergetycznej. </w:t>
            </w:r>
          </w:p>
          <w:p w:rsidR="00641F71" w:rsidRPr="00DB2B9B" w:rsidRDefault="00DE1863" w:rsidP="00DE1863">
            <w:pPr>
              <w:jc w:val="both"/>
              <w:rPr>
                <w:rFonts w:ascii="Times New Roman" w:hAnsi="Times New Roman" w:cs="Times New Roman"/>
                <w:sz w:val="24"/>
                <w:szCs w:val="24"/>
              </w:rPr>
            </w:pPr>
            <w:r w:rsidRPr="00DE1863">
              <w:rPr>
                <w:rFonts w:ascii="Times New Roman" w:hAnsi="Times New Roman" w:cs="Times New Roman"/>
                <w:sz w:val="24"/>
                <w:szCs w:val="24"/>
              </w:rPr>
              <w:t>Pozwalam sobie zwrócić uwagę, że przepis ten dotyczy zagadnienia zawartego w art. 13 ust. 5-7 rozporządzenia Parlamentu Europejskiego i Rady (UE) 2019/943 z dnia 5 czerwca 2019 r. w sprawie rynku wewnętrznego energii elektrycznej. Rozporządzenie to wiąże w całości i jest bezpośrednio stosowane na terytorium Rzeczypospolitej Polskiej. Państwa członkowskie nie mogą w przepisach krajowych powielać przepisów rozporządzeń unijnych, ani też, (chyba że samo rozporządzenie na to pozwala) podejmować działań  zmieniających znaczenie lub uzupełniających przepisy rozporządzenia unijnego. W tym względzie pragnę zwrócić uwagę, że projektowany przepis art. 9c ust. 7a modyfikuje treść art. 13 ust. 5-7 rozporządzenia 2019/943 i dopuszcza dokonywanie redukcji mocy w szerszym zakresie, niż to wynika z rozporządzenia 2019/943. Z tego powodu zasadne jest usunięcie projektowanego przepisu.</w:t>
            </w:r>
          </w:p>
        </w:tc>
        <w:tc>
          <w:tcPr>
            <w:tcW w:w="6344" w:type="dxa"/>
          </w:tcPr>
          <w:p w:rsidR="00D227C1" w:rsidRPr="00D227C1" w:rsidRDefault="00D227C1" w:rsidP="00B06E69">
            <w:pPr>
              <w:jc w:val="both"/>
              <w:rPr>
                <w:rFonts w:ascii="Times New Roman" w:hAnsi="Times New Roman" w:cs="Times New Roman"/>
                <w:b/>
                <w:sz w:val="24"/>
                <w:szCs w:val="24"/>
              </w:rPr>
            </w:pPr>
            <w:r w:rsidRPr="00D227C1">
              <w:rPr>
                <w:rFonts w:ascii="Times New Roman" w:hAnsi="Times New Roman" w:cs="Times New Roman"/>
                <w:b/>
                <w:sz w:val="24"/>
                <w:szCs w:val="24"/>
              </w:rPr>
              <w:t>Uwaga jest o charakterze europejskim.</w:t>
            </w:r>
          </w:p>
          <w:p w:rsidR="00641F71" w:rsidRPr="00DB2B9B" w:rsidRDefault="00BF6B8D" w:rsidP="00B06E69">
            <w:pPr>
              <w:jc w:val="both"/>
              <w:rPr>
                <w:rFonts w:ascii="Times New Roman" w:hAnsi="Times New Roman" w:cs="Times New Roman"/>
                <w:sz w:val="24"/>
                <w:szCs w:val="24"/>
              </w:rPr>
            </w:pPr>
            <w:r w:rsidRPr="00D227C1">
              <w:rPr>
                <w:rFonts w:ascii="Times New Roman" w:hAnsi="Times New Roman" w:cs="Times New Roman"/>
                <w:b/>
                <w:sz w:val="24"/>
                <w:szCs w:val="24"/>
              </w:rPr>
              <w:t>Uwaga została uwzględniona</w:t>
            </w:r>
            <w:r>
              <w:rPr>
                <w:rFonts w:ascii="Times New Roman" w:hAnsi="Times New Roman" w:cs="Times New Roman"/>
                <w:sz w:val="24"/>
                <w:szCs w:val="24"/>
              </w:rPr>
              <w:t xml:space="preserve"> poprzez zrezygnowanie z projektowanej zmiany.</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33</w:t>
            </w:r>
          </w:p>
        </w:tc>
        <w:tc>
          <w:tcPr>
            <w:tcW w:w="1043" w:type="dxa"/>
          </w:tcPr>
          <w:p w:rsidR="00641F71" w:rsidRPr="00DB2B9B" w:rsidRDefault="006D0C4E" w:rsidP="00B06E69">
            <w:pPr>
              <w:jc w:val="both"/>
              <w:rPr>
                <w:rFonts w:ascii="Times New Roman" w:hAnsi="Times New Roman" w:cs="Times New Roman"/>
                <w:sz w:val="24"/>
                <w:szCs w:val="24"/>
              </w:rPr>
            </w:pPr>
            <w:r>
              <w:rPr>
                <w:rFonts w:ascii="Times New Roman" w:hAnsi="Times New Roman" w:cs="Times New Roman"/>
                <w:sz w:val="24"/>
                <w:szCs w:val="24"/>
              </w:rPr>
              <w:t>RCL</w:t>
            </w:r>
          </w:p>
        </w:tc>
        <w:tc>
          <w:tcPr>
            <w:tcW w:w="5977" w:type="dxa"/>
          </w:tcPr>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RCL podtrzymuje zastrzeżenia co do prawidłowości wdrożenia art. 2 pkt 2 dyrektywy</w:t>
            </w:r>
            <w:r>
              <w:rPr>
                <w:rFonts w:ascii="Times New Roman" w:hAnsi="Times New Roman" w:cs="Times New Roman"/>
                <w:sz w:val="24"/>
                <w:szCs w:val="24"/>
              </w:rPr>
              <w:t xml:space="preserve"> </w:t>
            </w:r>
            <w:r w:rsidRPr="006D0C4E">
              <w:rPr>
                <w:rFonts w:ascii="Times New Roman" w:hAnsi="Times New Roman" w:cs="Times New Roman"/>
                <w:sz w:val="24"/>
                <w:szCs w:val="24"/>
              </w:rPr>
              <w:t>Parlamentu Europejskiego i Rady 2009/73/WE z d</w:t>
            </w:r>
            <w:r>
              <w:rPr>
                <w:rFonts w:ascii="Times New Roman" w:hAnsi="Times New Roman" w:cs="Times New Roman"/>
                <w:sz w:val="24"/>
                <w:szCs w:val="24"/>
              </w:rPr>
              <w:t xml:space="preserve">nia 13 lipca 2009 r. dotyczącej </w:t>
            </w:r>
            <w:r w:rsidRPr="006D0C4E">
              <w:rPr>
                <w:rFonts w:ascii="Times New Roman" w:hAnsi="Times New Roman" w:cs="Times New Roman"/>
                <w:sz w:val="24"/>
                <w:szCs w:val="24"/>
              </w:rPr>
              <w:t>wspólnych zasad rynku wewnętrznego gazu z</w:t>
            </w:r>
            <w:r>
              <w:rPr>
                <w:rFonts w:ascii="Times New Roman" w:hAnsi="Times New Roman" w:cs="Times New Roman"/>
                <w:sz w:val="24"/>
                <w:szCs w:val="24"/>
              </w:rPr>
              <w:t xml:space="preserve">iemnego i uchylającej dyrektywę </w:t>
            </w:r>
            <w:r w:rsidRPr="006D0C4E">
              <w:rPr>
                <w:rFonts w:ascii="Times New Roman" w:hAnsi="Times New Roman" w:cs="Times New Roman"/>
                <w:sz w:val="24"/>
                <w:szCs w:val="24"/>
              </w:rPr>
              <w:t>2003/55/WE, w nowelizowanym art. 3 pkt 11c lit</w:t>
            </w:r>
            <w:r>
              <w:rPr>
                <w:rFonts w:ascii="Times New Roman" w:hAnsi="Times New Roman" w:cs="Times New Roman"/>
                <w:sz w:val="24"/>
                <w:szCs w:val="24"/>
              </w:rPr>
              <w:t xml:space="preserve">. a ustawy – Prawo energetyczne </w:t>
            </w:r>
            <w:r w:rsidRPr="006D0C4E">
              <w:rPr>
                <w:rFonts w:ascii="Times New Roman" w:hAnsi="Times New Roman" w:cs="Times New Roman"/>
                <w:sz w:val="24"/>
                <w:szCs w:val="24"/>
              </w:rPr>
              <w:t xml:space="preserve">(definicja „sieci gazociągów kopalnianych”). </w:t>
            </w:r>
            <w:r>
              <w:rPr>
                <w:rFonts w:ascii="Times New Roman" w:hAnsi="Times New Roman" w:cs="Times New Roman"/>
                <w:sz w:val="24"/>
                <w:szCs w:val="24"/>
              </w:rPr>
              <w:t xml:space="preserve">Nadal wyjaśnienia bowiem wymaga </w:t>
            </w:r>
            <w:r w:rsidRPr="006D0C4E">
              <w:rPr>
                <w:rFonts w:ascii="Times New Roman" w:hAnsi="Times New Roman" w:cs="Times New Roman"/>
                <w:sz w:val="24"/>
                <w:szCs w:val="24"/>
              </w:rPr>
              <w:t>prawidłowość użycia spójnika „i” (w wyrażeniu „z</w:t>
            </w:r>
            <w:r>
              <w:rPr>
                <w:rFonts w:ascii="Times New Roman" w:hAnsi="Times New Roman" w:cs="Times New Roman"/>
                <w:sz w:val="24"/>
                <w:szCs w:val="24"/>
              </w:rPr>
              <w:t xml:space="preserve">budowanych i eksploatowanych”), </w:t>
            </w:r>
            <w:r w:rsidRPr="006D0C4E">
              <w:rPr>
                <w:rFonts w:ascii="Times New Roman" w:hAnsi="Times New Roman" w:cs="Times New Roman"/>
                <w:sz w:val="24"/>
                <w:szCs w:val="24"/>
              </w:rPr>
              <w:t>zamiast spójnika „lub”, którego użyto w art. 2 pkt 2 ww. dyrektywy. Skutkiem użycia</w:t>
            </w:r>
          </w:p>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spójnika „i” będzie – jak się wydaje - niestosowanie pr</w:t>
            </w:r>
            <w:r>
              <w:rPr>
                <w:rFonts w:ascii="Times New Roman" w:hAnsi="Times New Roman" w:cs="Times New Roman"/>
                <w:sz w:val="24"/>
                <w:szCs w:val="24"/>
              </w:rPr>
              <w:t xml:space="preserve">zepisów prawa energetycznego do </w:t>
            </w:r>
            <w:r w:rsidRPr="006D0C4E">
              <w:rPr>
                <w:rFonts w:ascii="Times New Roman" w:hAnsi="Times New Roman" w:cs="Times New Roman"/>
                <w:sz w:val="24"/>
                <w:szCs w:val="24"/>
              </w:rPr>
              <w:t>gazociągu kopalnianego, który nie jest eksploatowany (taki gazociąg, w okresie choćby</w:t>
            </w:r>
          </w:p>
          <w:p w:rsidR="00641F71" w:rsidRPr="00DB2B9B"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czasowego wyłączenia z eksploatacji nie bę</w:t>
            </w:r>
            <w:r>
              <w:rPr>
                <w:rFonts w:ascii="Times New Roman" w:hAnsi="Times New Roman" w:cs="Times New Roman"/>
                <w:sz w:val="24"/>
                <w:szCs w:val="24"/>
              </w:rPr>
              <w:t xml:space="preserve">dzie bowiem gazociągiem kopalnianym w </w:t>
            </w:r>
            <w:r w:rsidRPr="006D0C4E">
              <w:rPr>
                <w:rFonts w:ascii="Times New Roman" w:hAnsi="Times New Roman" w:cs="Times New Roman"/>
                <w:sz w:val="24"/>
                <w:szCs w:val="24"/>
              </w:rPr>
              <w:t>rozumieniu ustawy).</w:t>
            </w:r>
          </w:p>
        </w:tc>
        <w:tc>
          <w:tcPr>
            <w:tcW w:w="6344" w:type="dxa"/>
          </w:tcPr>
          <w:p w:rsidR="00D227C1" w:rsidRPr="00D227C1" w:rsidRDefault="00D227C1" w:rsidP="00B06E69">
            <w:pPr>
              <w:jc w:val="both"/>
              <w:rPr>
                <w:rFonts w:ascii="Times New Roman" w:hAnsi="Times New Roman" w:cs="Times New Roman"/>
                <w:b/>
                <w:sz w:val="24"/>
                <w:szCs w:val="24"/>
              </w:rPr>
            </w:pPr>
            <w:r w:rsidRPr="00D227C1">
              <w:rPr>
                <w:rFonts w:ascii="Times New Roman" w:hAnsi="Times New Roman" w:cs="Times New Roman"/>
                <w:b/>
                <w:sz w:val="24"/>
                <w:szCs w:val="24"/>
              </w:rPr>
              <w:t>Uwaga jest o charakterze europejskim.</w:t>
            </w:r>
          </w:p>
          <w:p w:rsidR="002D58BE" w:rsidRPr="00D227C1" w:rsidRDefault="002D58BE" w:rsidP="00B06E69">
            <w:pPr>
              <w:jc w:val="both"/>
              <w:rPr>
                <w:rFonts w:ascii="Times New Roman" w:hAnsi="Times New Roman" w:cs="Times New Roman"/>
                <w:b/>
                <w:sz w:val="24"/>
                <w:szCs w:val="24"/>
              </w:rPr>
            </w:pPr>
            <w:r w:rsidRPr="00D227C1">
              <w:rPr>
                <w:rFonts w:ascii="Times New Roman" w:hAnsi="Times New Roman" w:cs="Times New Roman"/>
                <w:b/>
                <w:sz w:val="24"/>
                <w:szCs w:val="24"/>
              </w:rPr>
              <w:t>Uwaga została wyjaśniona.</w:t>
            </w:r>
          </w:p>
          <w:p w:rsidR="00641F71" w:rsidRDefault="00D822A4" w:rsidP="00B06E69">
            <w:pPr>
              <w:jc w:val="both"/>
              <w:rPr>
                <w:rFonts w:ascii="Times New Roman" w:hAnsi="Times New Roman" w:cs="Times New Roman"/>
                <w:sz w:val="24"/>
                <w:szCs w:val="24"/>
              </w:rPr>
            </w:pPr>
            <w:r>
              <w:rPr>
                <w:rFonts w:ascii="Times New Roman" w:hAnsi="Times New Roman" w:cs="Times New Roman"/>
                <w:sz w:val="24"/>
                <w:szCs w:val="24"/>
              </w:rPr>
              <w:t xml:space="preserve">Należy zaznaczyć, że wykładnia celowościowa przemawia na rzecz użycia koniunkcji – spójnika „i” bowiem zasada dostępu powinna być zapewniona dla gazociągów eksploatowanych a nie tylko wybudowanych. </w:t>
            </w:r>
          </w:p>
          <w:p w:rsidR="00495A5C" w:rsidRPr="00DB2B9B" w:rsidRDefault="00BF6B8D" w:rsidP="00B06E69">
            <w:pPr>
              <w:jc w:val="both"/>
              <w:rPr>
                <w:rFonts w:ascii="Times New Roman" w:hAnsi="Times New Roman" w:cs="Times New Roman"/>
                <w:sz w:val="24"/>
                <w:szCs w:val="24"/>
              </w:rPr>
            </w:pPr>
            <w:r>
              <w:rPr>
                <w:rFonts w:ascii="Times New Roman" w:hAnsi="Times New Roman" w:cs="Times New Roman"/>
                <w:sz w:val="24"/>
                <w:szCs w:val="24"/>
              </w:rPr>
              <w:t>Przedmiotowa propozy</w:t>
            </w:r>
            <w:r w:rsidR="002D58BE">
              <w:rPr>
                <w:rFonts w:ascii="Times New Roman" w:hAnsi="Times New Roman" w:cs="Times New Roman"/>
                <w:sz w:val="24"/>
                <w:szCs w:val="24"/>
              </w:rPr>
              <w:t>cja definicji jest zgodna w wykł</w:t>
            </w:r>
            <w:r w:rsidR="00D227C1">
              <w:rPr>
                <w:rFonts w:ascii="Times New Roman" w:hAnsi="Times New Roman" w:cs="Times New Roman"/>
                <w:sz w:val="24"/>
                <w:szCs w:val="24"/>
              </w:rPr>
              <w:t>adnią</w:t>
            </w:r>
            <w:r>
              <w:rPr>
                <w:rFonts w:ascii="Times New Roman" w:hAnsi="Times New Roman" w:cs="Times New Roman"/>
                <w:sz w:val="24"/>
                <w:szCs w:val="24"/>
              </w:rPr>
              <w:t xml:space="preserve"> celowościową </w:t>
            </w:r>
            <w:r w:rsidR="002D58BE">
              <w:rPr>
                <w:rFonts w:ascii="Times New Roman" w:hAnsi="Times New Roman" w:cs="Times New Roman"/>
                <w:sz w:val="24"/>
                <w:szCs w:val="24"/>
              </w:rPr>
              <w:t xml:space="preserve">dyrektywy i służy jedynie wykonaniu zasady TPA (dostępu strony trzeciej) określonej w art. 34 </w:t>
            </w:r>
            <w:r w:rsidR="002D58BE" w:rsidRPr="002D58BE">
              <w:rPr>
                <w:rFonts w:ascii="Times New Roman" w:hAnsi="Times New Roman" w:cs="Times New Roman"/>
                <w:sz w:val="24"/>
                <w:szCs w:val="24"/>
              </w:rPr>
              <w:t>dyrektywy Parlamentu Europejskiego i Rady 2009/73/WE z dnia 13 lipca 2009 r. dotyczącej wspólnych zasad rynku wewnętrznego gazu ziemnego i uchylającej dyrektywę 2003/55/WE</w:t>
            </w:r>
            <w:r w:rsidR="002D58BE">
              <w:rPr>
                <w:rFonts w:ascii="Times New Roman" w:hAnsi="Times New Roman" w:cs="Times New Roman"/>
                <w:sz w:val="24"/>
                <w:szCs w:val="24"/>
              </w:rPr>
              <w:t>.</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34</w:t>
            </w:r>
          </w:p>
        </w:tc>
        <w:tc>
          <w:tcPr>
            <w:tcW w:w="1043" w:type="dxa"/>
          </w:tcPr>
          <w:p w:rsidR="00641F71" w:rsidRPr="00DB2B9B" w:rsidRDefault="006D0C4E" w:rsidP="00B06E69">
            <w:pPr>
              <w:jc w:val="both"/>
              <w:rPr>
                <w:rFonts w:ascii="Times New Roman" w:hAnsi="Times New Roman" w:cs="Times New Roman"/>
                <w:sz w:val="24"/>
                <w:szCs w:val="24"/>
              </w:rPr>
            </w:pPr>
            <w:r>
              <w:rPr>
                <w:rFonts w:ascii="Times New Roman" w:hAnsi="Times New Roman" w:cs="Times New Roman"/>
                <w:sz w:val="24"/>
                <w:szCs w:val="24"/>
              </w:rPr>
              <w:t>RCL</w:t>
            </w:r>
          </w:p>
        </w:tc>
        <w:tc>
          <w:tcPr>
            <w:tcW w:w="5977" w:type="dxa"/>
          </w:tcPr>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W zakresie nowelizowanej definicji „magazynowania energ</w:t>
            </w:r>
            <w:r>
              <w:rPr>
                <w:rFonts w:ascii="Times New Roman" w:hAnsi="Times New Roman" w:cs="Times New Roman"/>
                <w:sz w:val="24"/>
                <w:szCs w:val="24"/>
              </w:rPr>
              <w:t xml:space="preserve">ii elektrycznej” (art. 3 pkt 59 </w:t>
            </w:r>
            <w:r w:rsidRPr="006D0C4E">
              <w:rPr>
                <w:rFonts w:ascii="Times New Roman" w:hAnsi="Times New Roman" w:cs="Times New Roman"/>
                <w:sz w:val="24"/>
                <w:szCs w:val="24"/>
              </w:rPr>
              <w:t xml:space="preserve">ustawy – Prawo energetyczne) rozważenia wymaga, czy w sposób </w:t>
            </w:r>
            <w:r>
              <w:rPr>
                <w:rFonts w:ascii="Times New Roman" w:hAnsi="Times New Roman" w:cs="Times New Roman"/>
                <w:sz w:val="24"/>
                <w:szCs w:val="24"/>
              </w:rPr>
              <w:t xml:space="preserve">zupełny i prawidłowy </w:t>
            </w:r>
            <w:r w:rsidRPr="006D0C4E">
              <w:rPr>
                <w:rFonts w:ascii="Times New Roman" w:hAnsi="Times New Roman" w:cs="Times New Roman"/>
                <w:sz w:val="24"/>
                <w:szCs w:val="24"/>
              </w:rPr>
              <w:t xml:space="preserve">oddaje ona treść definicji tego pojęcia zawartej w art. 2 </w:t>
            </w:r>
            <w:r>
              <w:rPr>
                <w:rFonts w:ascii="Times New Roman" w:hAnsi="Times New Roman" w:cs="Times New Roman"/>
                <w:sz w:val="24"/>
                <w:szCs w:val="24"/>
              </w:rPr>
              <w:t xml:space="preserve">pkt 59 Parlamentu Europejskiego </w:t>
            </w:r>
            <w:r w:rsidRPr="006D0C4E">
              <w:rPr>
                <w:rFonts w:ascii="Times New Roman" w:hAnsi="Times New Roman" w:cs="Times New Roman"/>
                <w:sz w:val="24"/>
                <w:szCs w:val="24"/>
              </w:rPr>
              <w:t xml:space="preserve">i Rady (UE) 2019/944 z dnia 5 czerwca 2019 r. </w:t>
            </w:r>
            <w:r>
              <w:rPr>
                <w:rFonts w:ascii="Times New Roman" w:hAnsi="Times New Roman" w:cs="Times New Roman"/>
                <w:sz w:val="24"/>
                <w:szCs w:val="24"/>
              </w:rPr>
              <w:t xml:space="preserve">w sprawie wspólnych zasad rynku </w:t>
            </w:r>
            <w:r w:rsidRPr="006D0C4E">
              <w:rPr>
                <w:rFonts w:ascii="Times New Roman" w:hAnsi="Times New Roman" w:cs="Times New Roman"/>
                <w:sz w:val="24"/>
                <w:szCs w:val="24"/>
              </w:rPr>
              <w:t>wewnętrznego energii elektrycznej oraz zmieniającej dyrektywę 2012/</w:t>
            </w:r>
            <w:r>
              <w:rPr>
                <w:rFonts w:ascii="Times New Roman" w:hAnsi="Times New Roman" w:cs="Times New Roman"/>
                <w:sz w:val="24"/>
                <w:szCs w:val="24"/>
              </w:rPr>
              <w:t xml:space="preserve">27/U, zwanej dalej </w:t>
            </w:r>
            <w:r w:rsidRPr="006D0C4E">
              <w:rPr>
                <w:rFonts w:ascii="Times New Roman" w:hAnsi="Times New Roman" w:cs="Times New Roman"/>
                <w:sz w:val="24"/>
                <w:szCs w:val="24"/>
              </w:rPr>
              <w:t>„dyrektywą 2019/944” (na co już zwracało uwagę Ministerstwo Spraw Zagranicznych).</w:t>
            </w:r>
          </w:p>
          <w:p w:rsidR="00641F71"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Definicja tego przepisu zawarta w projekcie pomija bowiem:</w:t>
            </w:r>
          </w:p>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1) jedną z form magazynowania energii elektrycz</w:t>
            </w:r>
            <w:r>
              <w:rPr>
                <w:rFonts w:ascii="Times New Roman" w:hAnsi="Times New Roman" w:cs="Times New Roman"/>
                <w:sz w:val="24"/>
                <w:szCs w:val="24"/>
              </w:rPr>
              <w:t xml:space="preserve">nej polegającą na odroczeniu, w </w:t>
            </w:r>
            <w:r w:rsidRPr="006D0C4E">
              <w:rPr>
                <w:rFonts w:ascii="Times New Roman" w:hAnsi="Times New Roman" w:cs="Times New Roman"/>
                <w:sz w:val="24"/>
                <w:szCs w:val="24"/>
              </w:rPr>
              <w:t>systemie energetycznym, końcowego zużycia ene</w:t>
            </w:r>
            <w:r>
              <w:rPr>
                <w:rFonts w:ascii="Times New Roman" w:hAnsi="Times New Roman" w:cs="Times New Roman"/>
                <w:sz w:val="24"/>
                <w:szCs w:val="24"/>
              </w:rPr>
              <w:t xml:space="preserve">rgii elektrycznej w stosunku do </w:t>
            </w:r>
            <w:r w:rsidRPr="006D0C4E">
              <w:rPr>
                <w:rFonts w:ascii="Times New Roman" w:hAnsi="Times New Roman" w:cs="Times New Roman"/>
                <w:sz w:val="24"/>
                <w:szCs w:val="24"/>
              </w:rPr>
              <w:t>momentu jej wytworzenia,</w:t>
            </w:r>
          </w:p>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2) możliwość ponownego wykorzystania zmagaz</w:t>
            </w:r>
            <w:r>
              <w:rPr>
                <w:rFonts w:ascii="Times New Roman" w:hAnsi="Times New Roman" w:cs="Times New Roman"/>
                <w:sz w:val="24"/>
                <w:szCs w:val="24"/>
              </w:rPr>
              <w:t xml:space="preserve">ynowanej energii elektrycznej w </w:t>
            </w:r>
            <w:r w:rsidRPr="006D0C4E">
              <w:rPr>
                <w:rFonts w:ascii="Times New Roman" w:hAnsi="Times New Roman" w:cs="Times New Roman"/>
                <w:sz w:val="24"/>
                <w:szCs w:val="24"/>
              </w:rPr>
              <w:t>formie jej przetworzenia do innej postaci energii nie poprzez ponowne jej</w:t>
            </w:r>
            <w:r>
              <w:rPr>
                <w:rFonts w:ascii="Times New Roman" w:hAnsi="Times New Roman" w:cs="Times New Roman"/>
                <w:sz w:val="24"/>
                <w:szCs w:val="24"/>
              </w:rPr>
              <w:t xml:space="preserve"> </w:t>
            </w:r>
            <w:r w:rsidRPr="006D0C4E">
              <w:rPr>
                <w:rFonts w:ascii="Times New Roman" w:hAnsi="Times New Roman" w:cs="Times New Roman"/>
                <w:sz w:val="24"/>
                <w:szCs w:val="24"/>
              </w:rPr>
              <w:t>przetworzenie na energię elektryczną, lecz w postaci innego nośnika energii.</w:t>
            </w:r>
          </w:p>
          <w:p w:rsidR="006D0C4E" w:rsidRPr="00DB2B9B"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W konsekwencji rozważyć należy, czy z definicją mag</w:t>
            </w:r>
            <w:r>
              <w:rPr>
                <w:rFonts w:ascii="Times New Roman" w:hAnsi="Times New Roman" w:cs="Times New Roman"/>
                <w:sz w:val="24"/>
                <w:szCs w:val="24"/>
              </w:rPr>
              <w:t xml:space="preserve">azynowania energii elektrycznej </w:t>
            </w:r>
            <w:r w:rsidRPr="006D0C4E">
              <w:rPr>
                <w:rFonts w:ascii="Times New Roman" w:hAnsi="Times New Roman" w:cs="Times New Roman"/>
                <w:sz w:val="24"/>
                <w:szCs w:val="24"/>
              </w:rPr>
              <w:t>(po zapewnieniu, że jej brzmienie w sposób prawid</w:t>
            </w:r>
            <w:r>
              <w:rPr>
                <w:rFonts w:ascii="Times New Roman" w:hAnsi="Times New Roman" w:cs="Times New Roman"/>
                <w:sz w:val="24"/>
                <w:szCs w:val="24"/>
              </w:rPr>
              <w:t xml:space="preserve">łowy wdraża dyrektywę 2019/944) </w:t>
            </w:r>
            <w:r w:rsidRPr="006D0C4E">
              <w:rPr>
                <w:rFonts w:ascii="Times New Roman" w:hAnsi="Times New Roman" w:cs="Times New Roman"/>
                <w:sz w:val="24"/>
                <w:szCs w:val="24"/>
              </w:rPr>
              <w:t>spójne są inne przepisy projektowanej ustawy, przykładowo dodawany art. 7 ust. 2b i 3c.</w:t>
            </w:r>
          </w:p>
        </w:tc>
        <w:tc>
          <w:tcPr>
            <w:tcW w:w="6344" w:type="dxa"/>
          </w:tcPr>
          <w:p w:rsidR="00D227C1" w:rsidRPr="00D227C1" w:rsidRDefault="00D227C1" w:rsidP="00D227C1">
            <w:pPr>
              <w:jc w:val="both"/>
              <w:rPr>
                <w:rFonts w:ascii="Times New Roman" w:hAnsi="Times New Roman" w:cs="Times New Roman"/>
                <w:b/>
                <w:sz w:val="24"/>
                <w:szCs w:val="24"/>
              </w:rPr>
            </w:pPr>
            <w:r w:rsidRPr="00D227C1">
              <w:rPr>
                <w:rFonts w:ascii="Times New Roman" w:hAnsi="Times New Roman" w:cs="Times New Roman"/>
                <w:b/>
                <w:sz w:val="24"/>
                <w:szCs w:val="24"/>
              </w:rPr>
              <w:t>Uwaga jest o charakterze europejskim.</w:t>
            </w:r>
          </w:p>
          <w:p w:rsidR="00D227C1" w:rsidRPr="00D227C1" w:rsidRDefault="00D227C1" w:rsidP="00D227C1">
            <w:pPr>
              <w:jc w:val="both"/>
              <w:rPr>
                <w:rFonts w:ascii="Times New Roman" w:hAnsi="Times New Roman" w:cs="Times New Roman"/>
                <w:b/>
                <w:sz w:val="24"/>
                <w:szCs w:val="24"/>
              </w:rPr>
            </w:pPr>
            <w:r w:rsidRPr="00D227C1">
              <w:rPr>
                <w:rFonts w:ascii="Times New Roman" w:hAnsi="Times New Roman" w:cs="Times New Roman"/>
                <w:b/>
                <w:sz w:val="24"/>
                <w:szCs w:val="24"/>
              </w:rPr>
              <w:t>Uwaga została wyjaśniona</w:t>
            </w:r>
            <w:r>
              <w:rPr>
                <w:rFonts w:ascii="Times New Roman" w:hAnsi="Times New Roman" w:cs="Times New Roman"/>
                <w:b/>
                <w:sz w:val="24"/>
                <w:szCs w:val="24"/>
              </w:rPr>
              <w:t xml:space="preserve"> i uwzględniona częściowo</w:t>
            </w:r>
            <w:r w:rsidRPr="00D227C1">
              <w:rPr>
                <w:rFonts w:ascii="Times New Roman" w:hAnsi="Times New Roman" w:cs="Times New Roman"/>
                <w:b/>
                <w:sz w:val="24"/>
                <w:szCs w:val="24"/>
              </w:rPr>
              <w:t>.</w:t>
            </w:r>
          </w:p>
          <w:p w:rsidR="00641F71" w:rsidRDefault="00B73D7A" w:rsidP="005F0B2E">
            <w:pPr>
              <w:jc w:val="both"/>
              <w:rPr>
                <w:rFonts w:ascii="Times New Roman" w:hAnsi="Times New Roman" w:cs="Times New Roman"/>
                <w:sz w:val="24"/>
                <w:szCs w:val="24"/>
              </w:rPr>
            </w:pPr>
            <w:r>
              <w:rPr>
                <w:rFonts w:ascii="Times New Roman" w:hAnsi="Times New Roman" w:cs="Times New Roman"/>
                <w:sz w:val="24"/>
                <w:szCs w:val="24"/>
              </w:rPr>
              <w:t xml:space="preserve">Należy zaznaczyć, że wdrożenie do polskiego porządku prawnego rozwiązań w obszarze magazynowania energii elektrycznej </w:t>
            </w:r>
            <w:r w:rsidR="005F0B2E">
              <w:rPr>
                <w:rFonts w:ascii="Times New Roman" w:hAnsi="Times New Roman" w:cs="Times New Roman"/>
                <w:sz w:val="24"/>
                <w:szCs w:val="24"/>
              </w:rPr>
              <w:t xml:space="preserve">wynikających z dyrektywy </w:t>
            </w:r>
            <w:r w:rsidR="005F0B2E" w:rsidRPr="005F0B2E">
              <w:rPr>
                <w:rFonts w:ascii="Times New Roman" w:hAnsi="Times New Roman" w:cs="Times New Roman"/>
                <w:sz w:val="24"/>
                <w:szCs w:val="24"/>
              </w:rPr>
              <w:t>Parlamentu Europejskiego i Rady (UE) 2019/944 z dnia 5 czerwca 2019 r. w sprawie wspólnych zasad rynku wewnętrznego energii elektrycznej oraz zmieniają</w:t>
            </w:r>
            <w:r w:rsidR="005F0B2E">
              <w:rPr>
                <w:rFonts w:ascii="Times New Roman" w:hAnsi="Times New Roman" w:cs="Times New Roman"/>
                <w:sz w:val="24"/>
                <w:szCs w:val="24"/>
              </w:rPr>
              <w:t xml:space="preserve">cej dyrektywę 2012/27/U </w:t>
            </w:r>
            <w:r>
              <w:rPr>
                <w:rFonts w:ascii="Times New Roman" w:hAnsi="Times New Roman" w:cs="Times New Roman"/>
                <w:sz w:val="24"/>
                <w:szCs w:val="24"/>
              </w:rPr>
              <w:t xml:space="preserve">nastąpi w oddzielnej nowelizacji implementującej w całości calu pakiet energetyczny. </w:t>
            </w:r>
            <w:r w:rsidR="005F0B2E">
              <w:rPr>
                <w:rFonts w:ascii="Times New Roman" w:hAnsi="Times New Roman" w:cs="Times New Roman"/>
                <w:sz w:val="24"/>
                <w:szCs w:val="24"/>
              </w:rPr>
              <w:t xml:space="preserve">Obecnie projektowane przepisy jedynie znoszą wielokrotnie sygnalizowane, istniejące bariery prawne w rozwoju tego typu technologii. Pozostałe formy magazynowania energii elektrycznej pozostają niejako poza systemem elektroenergetycznym. </w:t>
            </w:r>
            <w:r w:rsidR="001F6F95">
              <w:rPr>
                <w:rFonts w:ascii="Times New Roman" w:hAnsi="Times New Roman" w:cs="Times New Roman"/>
                <w:sz w:val="24"/>
                <w:szCs w:val="24"/>
              </w:rPr>
              <w:t>W projekcie ustawy wdrażającej ww. dyrektywę rozważa się wprowadzenie dodatkowej, bardziej obszernej definicji obejmującej wszystkie formy magazynowania, np. magazynu i magazynowania energii. Taka definicja obejmie wszystkie postacie energii, bowiem magazynowanie energii elektrycznej we właściwym tego zwrotu znaczeniu obejmować powinno jedynie proces poboru z sieci lub wytworzonej energii elektrycznej, przetworzenia na inny rodzaj energii, po</w:t>
            </w:r>
            <w:r w:rsidR="00574E6A">
              <w:rPr>
                <w:rFonts w:ascii="Times New Roman" w:hAnsi="Times New Roman" w:cs="Times New Roman"/>
                <w:sz w:val="24"/>
                <w:szCs w:val="24"/>
              </w:rPr>
              <w:t>nownego przetworzenia na energię</w:t>
            </w:r>
            <w:r w:rsidR="001F6F95">
              <w:rPr>
                <w:rFonts w:ascii="Times New Roman" w:hAnsi="Times New Roman" w:cs="Times New Roman"/>
                <w:sz w:val="24"/>
                <w:szCs w:val="24"/>
              </w:rPr>
              <w:t xml:space="preserve"> elektryczną oraz oddanie do sieci lub zużycie energii elektrycznej.</w:t>
            </w:r>
          </w:p>
          <w:p w:rsidR="00222E24" w:rsidRDefault="00222E24" w:rsidP="005F0B2E">
            <w:pPr>
              <w:jc w:val="both"/>
              <w:rPr>
                <w:rFonts w:ascii="Times New Roman" w:hAnsi="Times New Roman" w:cs="Times New Roman"/>
                <w:sz w:val="24"/>
                <w:szCs w:val="24"/>
              </w:rPr>
            </w:pPr>
            <w:r>
              <w:rPr>
                <w:rFonts w:ascii="Times New Roman" w:hAnsi="Times New Roman" w:cs="Times New Roman"/>
                <w:sz w:val="24"/>
                <w:szCs w:val="24"/>
              </w:rPr>
              <w:t>Jednocześnie, wychodząc po części naprzeciw oczekiwaniom dokonano korekty definicji magazynowania i magazynów energii elektrycznej:</w:t>
            </w:r>
          </w:p>
          <w:p w:rsidR="00222E24" w:rsidRPr="002D58BE" w:rsidRDefault="00222E24" w:rsidP="00222E24">
            <w:pPr>
              <w:jc w:val="both"/>
              <w:rPr>
                <w:rFonts w:ascii="Times New Roman" w:hAnsi="Times New Roman" w:cs="Times New Roman"/>
                <w:i/>
                <w:sz w:val="24"/>
                <w:szCs w:val="24"/>
              </w:rPr>
            </w:pPr>
            <w:r w:rsidRPr="002D58BE">
              <w:rPr>
                <w:rFonts w:ascii="Times New Roman" w:hAnsi="Times New Roman" w:cs="Times New Roman"/>
                <w:i/>
                <w:sz w:val="24"/>
                <w:szCs w:val="24"/>
              </w:rPr>
              <w:t xml:space="preserve">„59) </w:t>
            </w:r>
            <w:r w:rsidRPr="002D58BE">
              <w:rPr>
                <w:rFonts w:ascii="Times New Roman" w:hAnsi="Times New Roman" w:cs="Times New Roman"/>
                <w:i/>
                <w:sz w:val="24"/>
                <w:szCs w:val="24"/>
              </w:rPr>
              <w:tab/>
              <w:t>magazynowanie energii elektrycznej – przetworzenie energii elektrycznej pobranej z sieci elektroenergetycznej lub wytworzonej przez jednostkę wytwórczą przyłączoną do sieci elektroenergetycznej i współpracującą z tą siecią do innej postaci energii, przechowanie tej energii, a następnie ponowne jej przetworzenie na energię elektryczną”,</w:t>
            </w:r>
          </w:p>
          <w:p w:rsidR="00222E24" w:rsidRPr="002D58BE" w:rsidRDefault="00222E24" w:rsidP="00222E24">
            <w:pPr>
              <w:jc w:val="both"/>
              <w:rPr>
                <w:rFonts w:ascii="Times New Roman" w:hAnsi="Times New Roman" w:cs="Times New Roman"/>
                <w:i/>
                <w:sz w:val="24"/>
                <w:szCs w:val="24"/>
              </w:rPr>
            </w:pPr>
          </w:p>
          <w:p w:rsidR="001F6F95" w:rsidRPr="00DB2B9B" w:rsidRDefault="00222E24" w:rsidP="005F0B2E">
            <w:pPr>
              <w:jc w:val="both"/>
              <w:rPr>
                <w:rFonts w:ascii="Times New Roman" w:hAnsi="Times New Roman" w:cs="Times New Roman"/>
                <w:sz w:val="24"/>
                <w:szCs w:val="24"/>
              </w:rPr>
            </w:pPr>
            <w:r w:rsidRPr="002D58BE">
              <w:rPr>
                <w:rFonts w:ascii="Times New Roman" w:hAnsi="Times New Roman" w:cs="Times New Roman"/>
                <w:i/>
                <w:sz w:val="24"/>
                <w:szCs w:val="24"/>
              </w:rPr>
              <w:t>„10k)</w:t>
            </w:r>
            <w:r w:rsidRPr="002D58BE">
              <w:rPr>
                <w:rFonts w:ascii="Times New Roman" w:hAnsi="Times New Roman" w:cs="Times New Roman"/>
                <w:i/>
                <w:sz w:val="24"/>
                <w:szCs w:val="24"/>
              </w:rPr>
              <w:tab/>
              <w:t>magazyn energii elektrycznej – instalację umożliwiającą magazynowanie energii elektrycznej i wprowadzenie jej do sieci elektroenergetycznej”;</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35</w:t>
            </w:r>
          </w:p>
        </w:tc>
        <w:tc>
          <w:tcPr>
            <w:tcW w:w="1043" w:type="dxa"/>
          </w:tcPr>
          <w:p w:rsidR="00641F71" w:rsidRPr="00DB2B9B" w:rsidRDefault="006D0C4E" w:rsidP="00B06E69">
            <w:pPr>
              <w:jc w:val="both"/>
              <w:rPr>
                <w:rFonts w:ascii="Times New Roman" w:hAnsi="Times New Roman" w:cs="Times New Roman"/>
                <w:sz w:val="24"/>
                <w:szCs w:val="24"/>
              </w:rPr>
            </w:pPr>
            <w:r>
              <w:rPr>
                <w:rFonts w:ascii="Times New Roman" w:hAnsi="Times New Roman" w:cs="Times New Roman"/>
                <w:sz w:val="24"/>
                <w:szCs w:val="24"/>
              </w:rPr>
              <w:t>RCL</w:t>
            </w:r>
          </w:p>
        </w:tc>
        <w:tc>
          <w:tcPr>
            <w:tcW w:w="5977" w:type="dxa"/>
          </w:tcPr>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Definicja „systemu pomiarowego” zawarta w dodawan</w:t>
            </w:r>
            <w:r>
              <w:rPr>
                <w:rFonts w:ascii="Times New Roman" w:hAnsi="Times New Roman" w:cs="Times New Roman"/>
                <w:sz w:val="24"/>
                <w:szCs w:val="24"/>
              </w:rPr>
              <w:t xml:space="preserve">ym art. 3 pkt 71 ustawy – Prawo </w:t>
            </w:r>
            <w:r w:rsidRPr="006D0C4E">
              <w:rPr>
                <w:rFonts w:ascii="Times New Roman" w:hAnsi="Times New Roman" w:cs="Times New Roman"/>
                <w:sz w:val="24"/>
                <w:szCs w:val="24"/>
              </w:rPr>
              <w:t xml:space="preserve">energetyczne, obejmuje także liczniki konwencjonalne </w:t>
            </w:r>
            <w:r>
              <w:rPr>
                <w:rFonts w:ascii="Times New Roman" w:hAnsi="Times New Roman" w:cs="Times New Roman"/>
                <w:sz w:val="24"/>
                <w:szCs w:val="24"/>
              </w:rPr>
              <w:t xml:space="preserve">(a więc nie posiadające funkcji </w:t>
            </w:r>
            <w:r w:rsidRPr="006D0C4E">
              <w:rPr>
                <w:rFonts w:ascii="Times New Roman" w:hAnsi="Times New Roman" w:cs="Times New Roman"/>
                <w:sz w:val="24"/>
                <w:szCs w:val="24"/>
              </w:rPr>
              <w:t>zdalnego przesyłania danych). Konsekwencje tak sk</w:t>
            </w:r>
            <w:r>
              <w:rPr>
                <w:rFonts w:ascii="Times New Roman" w:hAnsi="Times New Roman" w:cs="Times New Roman"/>
                <w:sz w:val="24"/>
                <w:szCs w:val="24"/>
              </w:rPr>
              <w:t xml:space="preserve">onstruowanej definicji „systemu </w:t>
            </w:r>
            <w:r w:rsidRPr="006D0C4E">
              <w:rPr>
                <w:rFonts w:ascii="Times New Roman" w:hAnsi="Times New Roman" w:cs="Times New Roman"/>
                <w:sz w:val="24"/>
                <w:szCs w:val="24"/>
              </w:rPr>
              <w:t>pomiarowego” mają istotne skutki w obrębie innych pr</w:t>
            </w:r>
            <w:r>
              <w:rPr>
                <w:rFonts w:ascii="Times New Roman" w:hAnsi="Times New Roman" w:cs="Times New Roman"/>
                <w:sz w:val="24"/>
                <w:szCs w:val="24"/>
              </w:rPr>
              <w:t xml:space="preserve">zepisów projektowanej ustawy, w </w:t>
            </w:r>
            <w:r w:rsidRPr="006D0C4E">
              <w:rPr>
                <w:rFonts w:ascii="Times New Roman" w:hAnsi="Times New Roman" w:cs="Times New Roman"/>
                <w:sz w:val="24"/>
                <w:szCs w:val="24"/>
              </w:rPr>
              <w:t>tym w aspekcie ich zgodności z dyrektywą 2019/944, przykładowo w dodawanym:</w:t>
            </w:r>
          </w:p>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1) art. 3 pkt 77 (definicja „najlepszych dostępnych te</w:t>
            </w:r>
            <w:r>
              <w:rPr>
                <w:rFonts w:ascii="Times New Roman" w:hAnsi="Times New Roman" w:cs="Times New Roman"/>
                <w:sz w:val="24"/>
                <w:szCs w:val="24"/>
              </w:rPr>
              <w:t xml:space="preserve">chnik”) – ponieważ definicja ta </w:t>
            </w:r>
            <w:r w:rsidRPr="006D0C4E">
              <w:rPr>
                <w:rFonts w:ascii="Times New Roman" w:hAnsi="Times New Roman" w:cs="Times New Roman"/>
                <w:sz w:val="24"/>
                <w:szCs w:val="24"/>
              </w:rPr>
              <w:t>odwołuje się do bezpieczeństwa „systemu pomiar</w:t>
            </w:r>
            <w:r>
              <w:rPr>
                <w:rFonts w:ascii="Times New Roman" w:hAnsi="Times New Roman" w:cs="Times New Roman"/>
                <w:sz w:val="24"/>
                <w:szCs w:val="24"/>
              </w:rPr>
              <w:t xml:space="preserve">owego”, obejmuje swoim zakresem </w:t>
            </w:r>
            <w:r w:rsidRPr="006D0C4E">
              <w:rPr>
                <w:rFonts w:ascii="Times New Roman" w:hAnsi="Times New Roman" w:cs="Times New Roman"/>
                <w:sz w:val="24"/>
                <w:szCs w:val="24"/>
              </w:rPr>
              <w:t>także liczniki konwencjonalne; tymczasem art. 2 p</w:t>
            </w:r>
            <w:r>
              <w:rPr>
                <w:rFonts w:ascii="Times New Roman" w:hAnsi="Times New Roman" w:cs="Times New Roman"/>
                <w:sz w:val="24"/>
                <w:szCs w:val="24"/>
              </w:rPr>
              <w:t xml:space="preserve">kt 27 dyrektywy 2019/944 odnosi </w:t>
            </w:r>
            <w:r w:rsidRPr="006D0C4E">
              <w:rPr>
                <w:rFonts w:ascii="Times New Roman" w:hAnsi="Times New Roman" w:cs="Times New Roman"/>
                <w:sz w:val="24"/>
                <w:szCs w:val="24"/>
              </w:rPr>
              <w:t>pojęcie „najlepszych dostępnych technik” wyłączni</w:t>
            </w:r>
            <w:r>
              <w:rPr>
                <w:rFonts w:ascii="Times New Roman" w:hAnsi="Times New Roman" w:cs="Times New Roman"/>
                <w:sz w:val="24"/>
                <w:szCs w:val="24"/>
              </w:rPr>
              <w:t xml:space="preserve">e do „środowiska inteligentnego </w:t>
            </w:r>
            <w:r w:rsidRPr="006D0C4E">
              <w:rPr>
                <w:rFonts w:ascii="Times New Roman" w:hAnsi="Times New Roman" w:cs="Times New Roman"/>
                <w:sz w:val="24"/>
                <w:szCs w:val="24"/>
              </w:rPr>
              <w:t>opomiarowania”, które z kolei liczników konwencjon</w:t>
            </w:r>
            <w:r>
              <w:rPr>
                <w:rFonts w:ascii="Times New Roman" w:hAnsi="Times New Roman" w:cs="Times New Roman"/>
                <w:sz w:val="24"/>
                <w:szCs w:val="24"/>
              </w:rPr>
              <w:t xml:space="preserve">alnych nie obejmuje; w zakresie </w:t>
            </w:r>
            <w:r w:rsidRPr="006D0C4E">
              <w:rPr>
                <w:rFonts w:ascii="Times New Roman" w:hAnsi="Times New Roman" w:cs="Times New Roman"/>
                <w:sz w:val="24"/>
                <w:szCs w:val="24"/>
              </w:rPr>
              <w:t>więc w jakim w ustawie – Prawo energetyczn</w:t>
            </w:r>
            <w:r>
              <w:rPr>
                <w:rFonts w:ascii="Times New Roman" w:hAnsi="Times New Roman" w:cs="Times New Roman"/>
                <w:sz w:val="24"/>
                <w:szCs w:val="24"/>
              </w:rPr>
              <w:t xml:space="preserve">e pojęcie „systemu pomiarowego” </w:t>
            </w:r>
            <w:r w:rsidRPr="006D0C4E">
              <w:rPr>
                <w:rFonts w:ascii="Times New Roman" w:hAnsi="Times New Roman" w:cs="Times New Roman"/>
                <w:sz w:val="24"/>
                <w:szCs w:val="24"/>
              </w:rPr>
              <w:t>odnosi się także do liczników konwencjonalnych, w ocenie RCL, powoduje, że</w:t>
            </w:r>
          </w:p>
          <w:p w:rsidR="00641F71"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dodawany art. 3 pkt 77 zawiera nadregulację, co wy</w:t>
            </w:r>
            <w:r>
              <w:rPr>
                <w:rFonts w:ascii="Times New Roman" w:hAnsi="Times New Roman" w:cs="Times New Roman"/>
                <w:sz w:val="24"/>
                <w:szCs w:val="24"/>
              </w:rPr>
              <w:t xml:space="preserve">maga ujęcia w odwróconej tabeli </w:t>
            </w:r>
            <w:r w:rsidRPr="006D0C4E">
              <w:rPr>
                <w:rFonts w:ascii="Times New Roman" w:hAnsi="Times New Roman" w:cs="Times New Roman"/>
                <w:sz w:val="24"/>
                <w:szCs w:val="24"/>
              </w:rPr>
              <w:t xml:space="preserve">zgodności oraz wyjaśnienia w uzasadnieniu </w:t>
            </w:r>
            <w:r>
              <w:rPr>
                <w:rFonts w:ascii="Times New Roman" w:hAnsi="Times New Roman" w:cs="Times New Roman"/>
                <w:sz w:val="24"/>
                <w:szCs w:val="24"/>
              </w:rPr>
              <w:t xml:space="preserve">zasadności zastosowania takiego </w:t>
            </w:r>
            <w:r w:rsidRPr="006D0C4E">
              <w:rPr>
                <w:rFonts w:ascii="Times New Roman" w:hAnsi="Times New Roman" w:cs="Times New Roman"/>
                <w:sz w:val="24"/>
                <w:szCs w:val="24"/>
              </w:rPr>
              <w:t>rozwiązania,</w:t>
            </w:r>
          </w:p>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2) art. 11u ust. 13 – który w zakresie obowiązku d</w:t>
            </w:r>
            <w:r>
              <w:rPr>
                <w:rFonts w:ascii="Times New Roman" w:hAnsi="Times New Roman" w:cs="Times New Roman"/>
                <w:sz w:val="24"/>
                <w:szCs w:val="24"/>
              </w:rPr>
              <w:t xml:space="preserve">ostosowania systemu pomiarowego </w:t>
            </w:r>
            <w:r w:rsidRPr="006D0C4E">
              <w:rPr>
                <w:rFonts w:ascii="Times New Roman" w:hAnsi="Times New Roman" w:cs="Times New Roman"/>
                <w:sz w:val="24"/>
                <w:szCs w:val="24"/>
              </w:rPr>
              <w:t>użytkowanego przed dniem 4 lipca 2019 r., ”w ty</w:t>
            </w:r>
            <w:r>
              <w:rPr>
                <w:rFonts w:ascii="Times New Roman" w:hAnsi="Times New Roman" w:cs="Times New Roman"/>
                <w:sz w:val="24"/>
                <w:szCs w:val="24"/>
              </w:rPr>
              <w:t xml:space="preserve">m systemy zdalnego odczytu oraz </w:t>
            </w:r>
            <w:r w:rsidRPr="006D0C4E">
              <w:rPr>
                <w:rFonts w:ascii="Times New Roman" w:hAnsi="Times New Roman" w:cs="Times New Roman"/>
                <w:sz w:val="24"/>
                <w:szCs w:val="24"/>
              </w:rPr>
              <w:t>liczniki zdalnego odczytu, do wymagań określonych w ustawie oraz w przepisach</w:t>
            </w:r>
            <w:r>
              <w:rPr>
                <w:rFonts w:ascii="Times New Roman" w:hAnsi="Times New Roman" w:cs="Times New Roman"/>
                <w:sz w:val="24"/>
                <w:szCs w:val="24"/>
              </w:rPr>
              <w:t xml:space="preserve"> </w:t>
            </w:r>
            <w:r w:rsidRPr="006D0C4E">
              <w:rPr>
                <w:rFonts w:ascii="Times New Roman" w:hAnsi="Times New Roman" w:cs="Times New Roman"/>
                <w:sz w:val="24"/>
                <w:szCs w:val="24"/>
              </w:rPr>
              <w:t>wydanych na podstawie art. 11x” w terminie do dnia 4 lipca 2031 r., obejmuje także</w:t>
            </w:r>
            <w:r>
              <w:rPr>
                <w:rFonts w:ascii="Times New Roman" w:hAnsi="Times New Roman" w:cs="Times New Roman"/>
                <w:sz w:val="24"/>
                <w:szCs w:val="24"/>
              </w:rPr>
              <w:t xml:space="preserve"> </w:t>
            </w:r>
            <w:r w:rsidRPr="006D0C4E">
              <w:rPr>
                <w:rFonts w:ascii="Times New Roman" w:hAnsi="Times New Roman" w:cs="Times New Roman"/>
                <w:sz w:val="24"/>
                <w:szCs w:val="24"/>
              </w:rPr>
              <w:t>liczniki konwencjonalne. Tym samym de facto wprowadza się obowiązek stosowania</w:t>
            </w:r>
            <w:r w:rsidR="00032FA1">
              <w:rPr>
                <w:rFonts w:ascii="Times New Roman" w:hAnsi="Times New Roman" w:cs="Times New Roman"/>
                <w:sz w:val="24"/>
                <w:szCs w:val="24"/>
              </w:rPr>
              <w:t xml:space="preserve"> </w:t>
            </w:r>
            <w:r w:rsidRPr="006D0C4E">
              <w:rPr>
                <w:rFonts w:ascii="Times New Roman" w:hAnsi="Times New Roman" w:cs="Times New Roman"/>
                <w:sz w:val="24"/>
                <w:szCs w:val="24"/>
              </w:rPr>
              <w:t>od dnia 5 lipca 2031 r. wyłącznie liczników inteligentnych, tymczasem:</w:t>
            </w:r>
          </w:p>
          <w:p w:rsid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 xml:space="preserve">a) art. 19 ust. 6 dyrektywy 2019/944 (który co do </w:t>
            </w:r>
            <w:r>
              <w:rPr>
                <w:rFonts w:ascii="Times New Roman" w:hAnsi="Times New Roman" w:cs="Times New Roman"/>
                <w:sz w:val="24"/>
                <w:szCs w:val="24"/>
              </w:rPr>
              <w:t xml:space="preserve">zasady wdrażać ma art. 11u ust. </w:t>
            </w:r>
            <w:r w:rsidRPr="006D0C4E">
              <w:rPr>
                <w:rFonts w:ascii="Times New Roman" w:hAnsi="Times New Roman" w:cs="Times New Roman"/>
                <w:sz w:val="24"/>
                <w:szCs w:val="24"/>
              </w:rPr>
              <w:t>13) nakazuje dostosować do dnia 4 lipca 20</w:t>
            </w:r>
            <w:r>
              <w:rPr>
                <w:rFonts w:ascii="Times New Roman" w:hAnsi="Times New Roman" w:cs="Times New Roman"/>
                <w:sz w:val="24"/>
                <w:szCs w:val="24"/>
              </w:rPr>
              <w:t xml:space="preserve">31 r. do wymogów wynikających z </w:t>
            </w:r>
            <w:r w:rsidRPr="006D0C4E">
              <w:rPr>
                <w:rFonts w:ascii="Times New Roman" w:hAnsi="Times New Roman" w:cs="Times New Roman"/>
                <w:sz w:val="24"/>
                <w:szCs w:val="24"/>
              </w:rPr>
              <w:t>dyrektywy wyłącznie „inteligentne systemy opomiarowania, które są już</w:t>
            </w:r>
          </w:p>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zainstalowane lub w przypadku których "rozpoczęcie prac" miało miejsce przed</w:t>
            </w:r>
          </w:p>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dniem 4 lipca 2019 r.”,</w:t>
            </w:r>
          </w:p>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b) pkt 3 in fine załącznika II do dyrektywy 2019/9</w:t>
            </w:r>
            <w:r>
              <w:rPr>
                <w:rFonts w:ascii="Times New Roman" w:hAnsi="Times New Roman" w:cs="Times New Roman"/>
                <w:sz w:val="24"/>
                <w:szCs w:val="24"/>
              </w:rPr>
              <w:t xml:space="preserve">44, który stanowi co prawda, że </w:t>
            </w:r>
            <w:r w:rsidRPr="006D0C4E">
              <w:rPr>
                <w:rFonts w:ascii="Times New Roman" w:hAnsi="Times New Roman" w:cs="Times New Roman"/>
                <w:sz w:val="24"/>
                <w:szCs w:val="24"/>
              </w:rPr>
              <w:t>należy zainstalować w terminie określonym w</w:t>
            </w:r>
            <w:r>
              <w:rPr>
                <w:rFonts w:ascii="Times New Roman" w:hAnsi="Times New Roman" w:cs="Times New Roman"/>
                <w:sz w:val="24"/>
                <w:szCs w:val="24"/>
              </w:rPr>
              <w:t xml:space="preserve"> tym załączniku co najmniej 80% </w:t>
            </w:r>
            <w:r w:rsidRPr="006D0C4E">
              <w:rPr>
                <w:rFonts w:ascii="Times New Roman" w:hAnsi="Times New Roman" w:cs="Times New Roman"/>
                <w:sz w:val="24"/>
                <w:szCs w:val="24"/>
              </w:rPr>
              <w:t>liczników zdalnego odczytu (a więc także 1</w:t>
            </w:r>
            <w:r>
              <w:rPr>
                <w:rFonts w:ascii="Times New Roman" w:hAnsi="Times New Roman" w:cs="Times New Roman"/>
                <w:sz w:val="24"/>
                <w:szCs w:val="24"/>
              </w:rPr>
              <w:t xml:space="preserve">00%), niemniej jednak obowiązek </w:t>
            </w:r>
            <w:r w:rsidRPr="006D0C4E">
              <w:rPr>
                <w:rFonts w:ascii="Times New Roman" w:hAnsi="Times New Roman" w:cs="Times New Roman"/>
                <w:sz w:val="24"/>
                <w:szCs w:val="24"/>
              </w:rPr>
              <w:t>wynikający z dyrektywy zostanie zrealizowan</w:t>
            </w:r>
            <w:r>
              <w:rPr>
                <w:rFonts w:ascii="Times New Roman" w:hAnsi="Times New Roman" w:cs="Times New Roman"/>
                <w:sz w:val="24"/>
                <w:szCs w:val="24"/>
              </w:rPr>
              <w:t xml:space="preserve">y przy instalacji 80% liczników </w:t>
            </w:r>
            <w:r w:rsidRPr="006D0C4E">
              <w:rPr>
                <w:rFonts w:ascii="Times New Roman" w:hAnsi="Times New Roman" w:cs="Times New Roman"/>
                <w:sz w:val="24"/>
                <w:szCs w:val="24"/>
              </w:rPr>
              <w:t>inteligentnych.</w:t>
            </w:r>
          </w:p>
          <w:p w:rsidR="006D0C4E" w:rsidRPr="00DB2B9B"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W zakresie więc w jakim z art. 11u ust. 13 ust</w:t>
            </w:r>
            <w:r>
              <w:rPr>
                <w:rFonts w:ascii="Times New Roman" w:hAnsi="Times New Roman" w:cs="Times New Roman"/>
                <w:sz w:val="24"/>
                <w:szCs w:val="24"/>
              </w:rPr>
              <w:t xml:space="preserve">awy – Prawo energetyczne wynika </w:t>
            </w:r>
            <w:r w:rsidRPr="006D0C4E">
              <w:rPr>
                <w:rFonts w:ascii="Times New Roman" w:hAnsi="Times New Roman" w:cs="Times New Roman"/>
                <w:sz w:val="24"/>
                <w:szCs w:val="24"/>
              </w:rPr>
              <w:t>obowiązek stosowania od dnia 5 lipca 2</w:t>
            </w:r>
            <w:r>
              <w:rPr>
                <w:rFonts w:ascii="Times New Roman" w:hAnsi="Times New Roman" w:cs="Times New Roman"/>
                <w:sz w:val="24"/>
                <w:szCs w:val="24"/>
              </w:rPr>
              <w:t xml:space="preserve">031 r. wyłącznie inteligentnego </w:t>
            </w:r>
            <w:r w:rsidRPr="006D0C4E">
              <w:rPr>
                <w:rFonts w:ascii="Times New Roman" w:hAnsi="Times New Roman" w:cs="Times New Roman"/>
                <w:sz w:val="24"/>
                <w:szCs w:val="24"/>
              </w:rPr>
              <w:t xml:space="preserve">opomiarowania przepis ten, w ocenie RCL, stanowi </w:t>
            </w:r>
            <w:r>
              <w:rPr>
                <w:rFonts w:ascii="Times New Roman" w:hAnsi="Times New Roman" w:cs="Times New Roman"/>
                <w:sz w:val="24"/>
                <w:szCs w:val="24"/>
              </w:rPr>
              <w:t xml:space="preserve">nadregulację wobec art. 19 ust. </w:t>
            </w:r>
            <w:r w:rsidRPr="006D0C4E">
              <w:rPr>
                <w:rFonts w:ascii="Times New Roman" w:hAnsi="Times New Roman" w:cs="Times New Roman"/>
                <w:sz w:val="24"/>
                <w:szCs w:val="24"/>
              </w:rPr>
              <w:t>6, a także pkt 3 załącznika II dyrektywy 2019/9</w:t>
            </w:r>
            <w:r>
              <w:rPr>
                <w:rFonts w:ascii="Times New Roman" w:hAnsi="Times New Roman" w:cs="Times New Roman"/>
                <w:sz w:val="24"/>
                <w:szCs w:val="24"/>
              </w:rPr>
              <w:t xml:space="preserve">44 i wymaga ujęcia w odwróconej </w:t>
            </w:r>
            <w:r w:rsidRPr="006D0C4E">
              <w:rPr>
                <w:rFonts w:ascii="Times New Roman" w:hAnsi="Times New Roman" w:cs="Times New Roman"/>
                <w:sz w:val="24"/>
                <w:szCs w:val="24"/>
              </w:rPr>
              <w:t xml:space="preserve">tabeli zgodności oraz oszacowania skutków finansowych tego </w:t>
            </w:r>
            <w:r>
              <w:rPr>
                <w:rFonts w:ascii="Times New Roman" w:hAnsi="Times New Roman" w:cs="Times New Roman"/>
                <w:sz w:val="24"/>
                <w:szCs w:val="24"/>
              </w:rPr>
              <w:t xml:space="preserve">rozwiązania dla </w:t>
            </w:r>
            <w:r w:rsidRPr="006D0C4E">
              <w:rPr>
                <w:rFonts w:ascii="Times New Roman" w:hAnsi="Times New Roman" w:cs="Times New Roman"/>
                <w:sz w:val="24"/>
                <w:szCs w:val="24"/>
              </w:rPr>
              <w:t>podmiotów działających w sektorze dystrybucji energii elektrycznej.</w:t>
            </w:r>
          </w:p>
        </w:tc>
        <w:tc>
          <w:tcPr>
            <w:tcW w:w="6344" w:type="dxa"/>
          </w:tcPr>
          <w:p w:rsidR="00D227C1" w:rsidRPr="00D227C1" w:rsidRDefault="00D227C1" w:rsidP="00D227C1">
            <w:pPr>
              <w:jc w:val="both"/>
              <w:rPr>
                <w:rFonts w:ascii="Times New Roman" w:hAnsi="Times New Roman" w:cs="Times New Roman"/>
                <w:b/>
                <w:sz w:val="24"/>
                <w:szCs w:val="24"/>
              </w:rPr>
            </w:pPr>
            <w:r w:rsidRPr="00D227C1">
              <w:rPr>
                <w:rFonts w:ascii="Times New Roman" w:hAnsi="Times New Roman" w:cs="Times New Roman"/>
                <w:b/>
                <w:sz w:val="24"/>
                <w:szCs w:val="24"/>
              </w:rPr>
              <w:t>Uwaga jest o charakterze europejskim.</w:t>
            </w:r>
          </w:p>
          <w:p w:rsidR="002D58BE" w:rsidRPr="00D227C1" w:rsidRDefault="002D58BE" w:rsidP="00B06E69">
            <w:pPr>
              <w:jc w:val="both"/>
              <w:rPr>
                <w:rFonts w:ascii="Times New Roman" w:hAnsi="Times New Roman" w:cs="Times New Roman"/>
                <w:b/>
                <w:sz w:val="24"/>
                <w:szCs w:val="24"/>
              </w:rPr>
            </w:pPr>
            <w:r w:rsidRPr="00D227C1">
              <w:rPr>
                <w:rFonts w:ascii="Times New Roman" w:hAnsi="Times New Roman" w:cs="Times New Roman"/>
                <w:b/>
                <w:sz w:val="24"/>
                <w:szCs w:val="24"/>
              </w:rPr>
              <w:t>Uwaga została uwzględniona i wyjaśniona.</w:t>
            </w:r>
          </w:p>
          <w:p w:rsidR="00641F71" w:rsidRDefault="0086448A" w:rsidP="00B06E69">
            <w:pPr>
              <w:jc w:val="both"/>
              <w:rPr>
                <w:rFonts w:ascii="Times New Roman" w:hAnsi="Times New Roman" w:cs="Times New Roman"/>
                <w:sz w:val="24"/>
                <w:szCs w:val="24"/>
              </w:rPr>
            </w:pPr>
            <w:r>
              <w:rPr>
                <w:rFonts w:ascii="Times New Roman" w:hAnsi="Times New Roman" w:cs="Times New Roman"/>
                <w:sz w:val="24"/>
                <w:szCs w:val="24"/>
              </w:rPr>
              <w:t>Należy zaznaczyć, że odpowiednikiem zdefiniowanego w ww. dyrektywie inteligentnego systemu opomiarowania jest zdefiniowany w projekcie ustawy system zdalnego odczytu. System pomiarowy obejmuje swoim zakresem poję</w:t>
            </w:r>
            <w:r w:rsidR="00032FA1">
              <w:rPr>
                <w:rFonts w:ascii="Times New Roman" w:hAnsi="Times New Roman" w:cs="Times New Roman"/>
                <w:sz w:val="24"/>
                <w:szCs w:val="24"/>
              </w:rPr>
              <w:t xml:space="preserve">ciowym system zdalnego odczytu. </w:t>
            </w:r>
          </w:p>
          <w:p w:rsidR="00032FA1" w:rsidRDefault="00032FA1" w:rsidP="00B06E69">
            <w:pPr>
              <w:jc w:val="both"/>
              <w:rPr>
                <w:rFonts w:ascii="Times New Roman" w:hAnsi="Times New Roman" w:cs="Times New Roman"/>
                <w:sz w:val="24"/>
                <w:szCs w:val="24"/>
              </w:rPr>
            </w:pPr>
            <w:r>
              <w:rPr>
                <w:rFonts w:ascii="Times New Roman" w:hAnsi="Times New Roman" w:cs="Times New Roman"/>
                <w:sz w:val="24"/>
                <w:szCs w:val="24"/>
              </w:rPr>
              <w:t>Ad. 1. Uwaga została uwzględniona – poprawiono definicje „najlepszych dostępnych praktyk”.</w:t>
            </w:r>
          </w:p>
          <w:p w:rsidR="004C6857" w:rsidRPr="004C6857" w:rsidRDefault="004C6857" w:rsidP="00B06E69">
            <w:pPr>
              <w:jc w:val="both"/>
              <w:rPr>
                <w:rFonts w:ascii="Times New Roman" w:hAnsi="Times New Roman" w:cs="Times New Roman"/>
                <w:i/>
                <w:sz w:val="24"/>
                <w:szCs w:val="24"/>
              </w:rPr>
            </w:pPr>
            <w:r w:rsidRPr="004C6857">
              <w:rPr>
                <w:rFonts w:ascii="Times New Roman" w:hAnsi="Times New Roman" w:cs="Times New Roman"/>
                <w:i/>
                <w:sz w:val="24"/>
                <w:szCs w:val="24"/>
              </w:rPr>
              <w:t>77) najlepsze dostępne techniki – zespół środków technicznych i organizacyjnych mających na celu zapewnienie bezpieczeństwa systemu zdalnego odczytu</w:t>
            </w:r>
            <w:r w:rsidR="0072630D">
              <w:rPr>
                <w:rFonts w:ascii="Times New Roman" w:hAnsi="Times New Roman" w:cs="Times New Roman"/>
                <w:i/>
                <w:sz w:val="24"/>
                <w:szCs w:val="24"/>
              </w:rPr>
              <w:t>, liczników zdalnego odczytu</w:t>
            </w:r>
            <w:r w:rsidRPr="004C6857">
              <w:rPr>
                <w:rFonts w:ascii="Times New Roman" w:hAnsi="Times New Roman" w:cs="Times New Roman"/>
                <w:i/>
                <w:sz w:val="24"/>
                <w:szCs w:val="24"/>
              </w:rPr>
              <w:t xml:space="preserve"> oraz centralnego systemu informacji rynku energii, w tym ochrony tych systemów przed nieuprawnioną ingerencją oraz nieuprawnionym dostępem do informacji w nich przetwarzanych, uzasadnionych ekonomicznie oraz zgodnych z wymaganiami określonymi w przepisach prawa Unii Europejskiej w dziedzinie ochrony danych i bezpieczeństwa.”;</w:t>
            </w:r>
          </w:p>
          <w:p w:rsidR="00032FA1" w:rsidRDefault="00032FA1" w:rsidP="00032FA1">
            <w:pPr>
              <w:jc w:val="both"/>
              <w:rPr>
                <w:rFonts w:ascii="Times New Roman" w:hAnsi="Times New Roman" w:cs="Times New Roman"/>
                <w:sz w:val="24"/>
                <w:szCs w:val="24"/>
              </w:rPr>
            </w:pPr>
            <w:r>
              <w:rPr>
                <w:rFonts w:ascii="Times New Roman" w:hAnsi="Times New Roman" w:cs="Times New Roman"/>
                <w:sz w:val="24"/>
                <w:szCs w:val="24"/>
              </w:rPr>
              <w:t>Ad. 2. Uwaga została uwzględniona. Nadano nowe brzmienie art. 11u ust. 13.</w:t>
            </w:r>
          </w:p>
          <w:p w:rsidR="00032FA1" w:rsidRDefault="00032FA1" w:rsidP="00032FA1">
            <w:pPr>
              <w:jc w:val="both"/>
              <w:rPr>
                <w:rFonts w:ascii="Times New Roman" w:hAnsi="Times New Roman" w:cs="Times New Roman"/>
                <w:i/>
                <w:sz w:val="24"/>
                <w:szCs w:val="24"/>
              </w:rPr>
            </w:pPr>
            <w:r w:rsidRPr="00032FA1">
              <w:rPr>
                <w:rFonts w:ascii="Times New Roman" w:hAnsi="Times New Roman" w:cs="Times New Roman"/>
                <w:i/>
                <w:sz w:val="24"/>
                <w:szCs w:val="24"/>
              </w:rPr>
              <w:t>13. Operatorzy systemów elektroenergetycznych lub właściciele urządzeń, instalacji lub sieci w przypadku gdy odbiorcom jest dostarczana energia elektryczna z urządzeń, instalacji lub sieci, na których nie wyznaczono operatora systemu elektroenergetycznego jest zobowiązany dostosować użytkowane przed dniem 4 lipca 2019 r. systemy zdalnego odczytu oraz liczniki zdalnego odczytu, do wymagań określonych w ustawie oraz w przepisach wydanych na podstawie art. 11x, w terminie do 4 lipca 2031 r.</w:t>
            </w:r>
          </w:p>
          <w:p w:rsidR="00AA70D9" w:rsidRDefault="00AA70D9" w:rsidP="00032FA1">
            <w:pPr>
              <w:jc w:val="both"/>
              <w:rPr>
                <w:rFonts w:ascii="Times New Roman" w:hAnsi="Times New Roman" w:cs="Times New Roman"/>
                <w:i/>
                <w:sz w:val="24"/>
                <w:szCs w:val="24"/>
              </w:rPr>
            </w:pPr>
          </w:p>
          <w:p w:rsidR="00AA70D9" w:rsidRDefault="002D58BE" w:rsidP="00032FA1">
            <w:pPr>
              <w:jc w:val="both"/>
              <w:rPr>
                <w:rFonts w:ascii="Times New Roman" w:hAnsi="Times New Roman" w:cs="Times New Roman"/>
                <w:sz w:val="24"/>
                <w:szCs w:val="24"/>
              </w:rPr>
            </w:pPr>
            <w:r>
              <w:rPr>
                <w:rFonts w:ascii="Times New Roman" w:hAnsi="Times New Roman" w:cs="Times New Roman"/>
                <w:sz w:val="24"/>
                <w:szCs w:val="24"/>
              </w:rPr>
              <w:t>Ponadto, zgodnie z ustaleniami wyjaśniono przypadki użycia zwrotu „system pomiarowy” w projekcie ustawy (UC17):</w:t>
            </w:r>
          </w:p>
          <w:p w:rsidR="00FD0999" w:rsidRPr="00FD0999" w:rsidRDefault="00FD0999" w:rsidP="00FD0999">
            <w:pPr>
              <w:jc w:val="both"/>
              <w:rPr>
                <w:rFonts w:ascii="Times New Roman" w:hAnsi="Times New Roman" w:cs="Times New Roman"/>
                <w:i/>
                <w:sz w:val="24"/>
                <w:szCs w:val="24"/>
              </w:rPr>
            </w:pPr>
            <w:r w:rsidRPr="00FD0999">
              <w:rPr>
                <w:rFonts w:ascii="Times New Roman" w:hAnsi="Times New Roman" w:cs="Times New Roman"/>
                <w:i/>
                <w:sz w:val="24"/>
                <w:szCs w:val="24"/>
              </w:rPr>
              <w:t>„Rozdział 2c</w:t>
            </w:r>
          </w:p>
          <w:p w:rsidR="00FD0999" w:rsidRDefault="00FD0999" w:rsidP="00FD0999">
            <w:pPr>
              <w:jc w:val="both"/>
              <w:rPr>
                <w:rFonts w:ascii="Times New Roman" w:hAnsi="Times New Roman" w:cs="Times New Roman"/>
                <w:i/>
                <w:sz w:val="24"/>
                <w:szCs w:val="24"/>
              </w:rPr>
            </w:pPr>
            <w:r w:rsidRPr="00FD0999">
              <w:rPr>
                <w:rFonts w:ascii="Times New Roman" w:hAnsi="Times New Roman" w:cs="Times New Roman"/>
                <w:i/>
                <w:sz w:val="24"/>
                <w:szCs w:val="24"/>
              </w:rPr>
              <w:t>Zasady funkcjonowania systemu pomiarowego</w:t>
            </w:r>
          </w:p>
          <w:p w:rsidR="00D0170F" w:rsidRPr="00D0170F" w:rsidRDefault="00D0170F" w:rsidP="00FD0999">
            <w:pPr>
              <w:jc w:val="both"/>
              <w:rPr>
                <w:rFonts w:ascii="Times New Roman" w:hAnsi="Times New Roman" w:cs="Times New Roman"/>
                <w:sz w:val="24"/>
                <w:szCs w:val="24"/>
              </w:rPr>
            </w:pPr>
            <w:r>
              <w:rPr>
                <w:rFonts w:ascii="Times New Roman" w:hAnsi="Times New Roman" w:cs="Times New Roman"/>
                <w:sz w:val="24"/>
                <w:szCs w:val="24"/>
              </w:rPr>
              <w:t>Nazewnictwo rozdziału jest prawidłowe</w:t>
            </w:r>
            <w:r w:rsidR="00FF3547">
              <w:rPr>
                <w:rFonts w:ascii="Times New Roman" w:hAnsi="Times New Roman" w:cs="Times New Roman"/>
                <w:sz w:val="24"/>
                <w:szCs w:val="24"/>
              </w:rPr>
              <w:t>, bowiem z założenia obejmuje on kwestie dot. systemu pomiarowego a nie tylko systemu zdalnego odczytu (np. rozporządzenie wykonawcze, itd.)</w:t>
            </w:r>
          </w:p>
          <w:p w:rsidR="002D58BE" w:rsidRDefault="002D58BE" w:rsidP="00032FA1">
            <w:pPr>
              <w:jc w:val="both"/>
              <w:rPr>
                <w:rFonts w:ascii="Times New Roman" w:hAnsi="Times New Roman" w:cs="Times New Roman"/>
                <w:sz w:val="24"/>
                <w:szCs w:val="24"/>
              </w:rPr>
            </w:pPr>
            <w:r>
              <w:rPr>
                <w:rFonts w:ascii="Times New Roman" w:hAnsi="Times New Roman" w:cs="Times New Roman"/>
                <w:sz w:val="24"/>
                <w:szCs w:val="24"/>
              </w:rPr>
              <w:t>Art. 11t ust. 1 pkt 2:</w:t>
            </w:r>
          </w:p>
          <w:p w:rsidR="002D58BE" w:rsidRPr="002D58BE" w:rsidRDefault="002D58BE" w:rsidP="00032FA1">
            <w:pPr>
              <w:jc w:val="both"/>
              <w:rPr>
                <w:rFonts w:ascii="Times New Roman" w:hAnsi="Times New Roman" w:cs="Times New Roman"/>
                <w:i/>
                <w:sz w:val="24"/>
                <w:szCs w:val="24"/>
              </w:rPr>
            </w:pPr>
            <w:r w:rsidRPr="002D58BE">
              <w:rPr>
                <w:rFonts w:ascii="Times New Roman" w:hAnsi="Times New Roman" w:cs="Times New Roman"/>
                <w:i/>
                <w:sz w:val="24"/>
                <w:szCs w:val="24"/>
              </w:rPr>
              <w:t>Art. 11t. 1. Operator systemu dystrybucyjnego elektroenergetycznego oraz operator systemu przesyłowego elektroenergetycznego, a także właściciel urządzeń, instalacji lub sieci, w przypadku gdy użytkownik systemu przyłączony jest do urządzeń, instalacji lub sieci, na których nie wyznaczono operatora systemu elektroenergetycznego, jest obowiązany do:</w:t>
            </w:r>
          </w:p>
          <w:p w:rsidR="002D58BE" w:rsidRDefault="002D58BE" w:rsidP="00032FA1">
            <w:pPr>
              <w:jc w:val="both"/>
              <w:rPr>
                <w:rFonts w:ascii="Times New Roman" w:hAnsi="Times New Roman" w:cs="Times New Roman"/>
                <w:i/>
                <w:sz w:val="24"/>
                <w:szCs w:val="24"/>
              </w:rPr>
            </w:pPr>
            <w:r w:rsidRPr="002D58BE">
              <w:rPr>
                <w:rFonts w:ascii="Times New Roman" w:hAnsi="Times New Roman" w:cs="Times New Roman"/>
                <w:i/>
                <w:sz w:val="24"/>
                <w:szCs w:val="24"/>
              </w:rPr>
              <w:t>2) wykonywania okresowych testów bezpieczeństwa systemu pomiarowego, przynajmniej raz do roku.</w:t>
            </w:r>
          </w:p>
          <w:p w:rsidR="00D0170F" w:rsidRPr="00FF3547" w:rsidRDefault="00FF3547" w:rsidP="00032FA1">
            <w:pPr>
              <w:jc w:val="both"/>
              <w:rPr>
                <w:rFonts w:ascii="Times New Roman" w:hAnsi="Times New Roman" w:cs="Times New Roman"/>
                <w:sz w:val="24"/>
                <w:szCs w:val="24"/>
              </w:rPr>
            </w:pPr>
            <w:r>
              <w:rPr>
                <w:rFonts w:ascii="Times New Roman" w:hAnsi="Times New Roman" w:cs="Times New Roman"/>
                <w:sz w:val="24"/>
                <w:szCs w:val="24"/>
              </w:rPr>
              <w:t>Okresowy testy bezpieczeństwa powinny objąć cały system pomiarowy, czyli zarówno część teleinformatyczną związaną z systemem zdalnego odczytu jak i część teleinformatyczną - bazy danych opierające się na danych pomiarowych pochodzących z liczników k</w:t>
            </w:r>
            <w:r w:rsidR="00250475">
              <w:rPr>
                <w:rFonts w:ascii="Times New Roman" w:hAnsi="Times New Roman" w:cs="Times New Roman"/>
                <w:sz w:val="24"/>
                <w:szCs w:val="24"/>
              </w:rPr>
              <w:t>onwencjonalnych, koncentratorów</w:t>
            </w:r>
            <w:r>
              <w:rPr>
                <w:rFonts w:ascii="Times New Roman" w:hAnsi="Times New Roman" w:cs="Times New Roman"/>
                <w:sz w:val="24"/>
                <w:szCs w:val="24"/>
              </w:rPr>
              <w:t>, itd., gdyż zgodnie z założeniami projektu ustawy UC17 Centralny System Informacji Rynku Energii będzie obejmował jedne i drugie dane pomiarowe, skoro system ten ma obsługiwać procesy rynku energii.</w:t>
            </w:r>
            <w:r w:rsidR="00780CCD">
              <w:rPr>
                <w:rFonts w:ascii="Times New Roman" w:hAnsi="Times New Roman" w:cs="Times New Roman"/>
                <w:sz w:val="24"/>
                <w:szCs w:val="24"/>
              </w:rPr>
              <w:t xml:space="preserve"> Zgodnie z definicją zawartą w projekcie ustawy UC17 </w:t>
            </w:r>
            <w:r w:rsidR="00780CCD" w:rsidRPr="00780CCD">
              <w:rPr>
                <w:rFonts w:ascii="Times New Roman" w:hAnsi="Times New Roman" w:cs="Times New Roman"/>
                <w:sz w:val="24"/>
                <w:szCs w:val="24"/>
              </w:rPr>
              <w:t>centralny s</w:t>
            </w:r>
            <w:r w:rsidR="00780CCD">
              <w:rPr>
                <w:rFonts w:ascii="Times New Roman" w:hAnsi="Times New Roman" w:cs="Times New Roman"/>
                <w:sz w:val="24"/>
                <w:szCs w:val="24"/>
              </w:rPr>
              <w:t>ystem informacji rynku energii to</w:t>
            </w:r>
            <w:r w:rsidR="00780CCD" w:rsidRPr="00780CCD">
              <w:rPr>
                <w:rFonts w:ascii="Times New Roman" w:hAnsi="Times New Roman" w:cs="Times New Roman"/>
                <w:sz w:val="24"/>
                <w:szCs w:val="24"/>
              </w:rPr>
              <w:t xml:space="preserve"> system teleinformatyczny służący do przetwarzania informacji rynku energii na potrzeby realizacji procesów rynku energii elektrycznej oraz wymiany informacji</w:t>
            </w:r>
            <w:r w:rsidR="00780CCD">
              <w:rPr>
                <w:rFonts w:ascii="Times New Roman" w:hAnsi="Times New Roman" w:cs="Times New Roman"/>
                <w:sz w:val="24"/>
                <w:szCs w:val="24"/>
              </w:rPr>
              <w:t xml:space="preserve"> pomiędzy użytkownikami systemu. Ponadto, system ten stanowi poniekąd zbiór naczyń połączonych, gdzie często ingerencja w jeden fragment systemu pomiarowego rodzi konsekwencje dla innych jego fragmentów.</w:t>
            </w:r>
          </w:p>
          <w:p w:rsidR="002D58BE" w:rsidRDefault="002D58BE" w:rsidP="00032FA1">
            <w:pPr>
              <w:jc w:val="both"/>
              <w:rPr>
                <w:rFonts w:ascii="Times New Roman" w:hAnsi="Times New Roman" w:cs="Times New Roman"/>
                <w:sz w:val="24"/>
                <w:szCs w:val="24"/>
              </w:rPr>
            </w:pPr>
            <w:r>
              <w:rPr>
                <w:rFonts w:ascii="Times New Roman" w:hAnsi="Times New Roman" w:cs="Times New Roman"/>
                <w:sz w:val="24"/>
                <w:szCs w:val="24"/>
              </w:rPr>
              <w:t>Art. 11x:</w:t>
            </w:r>
          </w:p>
          <w:p w:rsidR="002D58BE" w:rsidRPr="002D58BE" w:rsidRDefault="002D58BE" w:rsidP="002D58BE">
            <w:pPr>
              <w:jc w:val="both"/>
              <w:rPr>
                <w:rFonts w:ascii="Times New Roman" w:hAnsi="Times New Roman" w:cs="Times New Roman"/>
                <w:i/>
                <w:sz w:val="24"/>
                <w:szCs w:val="24"/>
              </w:rPr>
            </w:pPr>
            <w:r w:rsidRPr="002D58BE">
              <w:rPr>
                <w:rFonts w:ascii="Times New Roman" w:hAnsi="Times New Roman" w:cs="Times New Roman"/>
                <w:i/>
                <w:sz w:val="24"/>
                <w:szCs w:val="24"/>
              </w:rPr>
              <w:t>Art. 11x. 1. Minister właściwy do spraw energii określi w drodze rozporządzenia:</w:t>
            </w:r>
          </w:p>
          <w:p w:rsidR="002D58BE" w:rsidRDefault="002D58BE" w:rsidP="002D58BE">
            <w:pPr>
              <w:jc w:val="both"/>
              <w:rPr>
                <w:rFonts w:ascii="Times New Roman" w:hAnsi="Times New Roman" w:cs="Times New Roman"/>
                <w:i/>
                <w:sz w:val="24"/>
                <w:szCs w:val="24"/>
              </w:rPr>
            </w:pPr>
            <w:r w:rsidRPr="002D58BE">
              <w:rPr>
                <w:rFonts w:ascii="Times New Roman" w:hAnsi="Times New Roman" w:cs="Times New Roman"/>
                <w:i/>
                <w:sz w:val="24"/>
                <w:szCs w:val="24"/>
              </w:rPr>
              <w:t>1) wymagania funkcjonalne jakie powinien spełniać system pomiarowy;</w:t>
            </w:r>
          </w:p>
          <w:p w:rsidR="002D58BE" w:rsidRDefault="002D58BE" w:rsidP="002D58BE">
            <w:pPr>
              <w:jc w:val="both"/>
              <w:rPr>
                <w:rFonts w:ascii="Times New Roman" w:hAnsi="Times New Roman" w:cs="Times New Roman"/>
                <w:i/>
                <w:sz w:val="24"/>
                <w:szCs w:val="24"/>
              </w:rPr>
            </w:pPr>
            <w:r w:rsidRPr="002D58BE">
              <w:rPr>
                <w:rFonts w:ascii="Times New Roman" w:hAnsi="Times New Roman" w:cs="Times New Roman"/>
                <w:i/>
                <w:sz w:val="24"/>
                <w:szCs w:val="24"/>
              </w:rPr>
              <w:t>3) wymagania w zakresie bezpieczeństwa systemu pomiarowego, w tym ochrony tego systemu przed nieuprawnioną ingerencją w ten system oraz nieuprawnionym dostępem do informacji rynku energii;</w:t>
            </w:r>
          </w:p>
          <w:p w:rsidR="002D58BE" w:rsidRDefault="002D58BE" w:rsidP="002D58BE">
            <w:pPr>
              <w:jc w:val="both"/>
              <w:rPr>
                <w:rFonts w:ascii="Times New Roman" w:hAnsi="Times New Roman" w:cs="Times New Roman"/>
                <w:i/>
                <w:sz w:val="24"/>
                <w:szCs w:val="24"/>
              </w:rPr>
            </w:pPr>
            <w:r w:rsidRPr="002D58BE">
              <w:rPr>
                <w:rFonts w:ascii="Times New Roman" w:hAnsi="Times New Roman" w:cs="Times New Roman"/>
                <w:i/>
                <w:sz w:val="24"/>
                <w:szCs w:val="24"/>
              </w:rPr>
              <w:t>6) wskaźniki niezawodności komunikacji w systemie pomiarowym;</w:t>
            </w:r>
          </w:p>
          <w:p w:rsidR="002D58BE" w:rsidRDefault="002D58BE" w:rsidP="002D58BE">
            <w:pPr>
              <w:jc w:val="both"/>
              <w:rPr>
                <w:rFonts w:ascii="Times New Roman" w:hAnsi="Times New Roman" w:cs="Times New Roman"/>
                <w:i/>
                <w:sz w:val="24"/>
                <w:szCs w:val="24"/>
              </w:rPr>
            </w:pPr>
            <w:r w:rsidRPr="002D58BE">
              <w:rPr>
                <w:rFonts w:ascii="Times New Roman" w:hAnsi="Times New Roman" w:cs="Times New Roman"/>
                <w:i/>
                <w:sz w:val="24"/>
                <w:szCs w:val="24"/>
              </w:rPr>
              <w:t>8) wymagania dotyczące jakości danych pomiarowych dostarczanych do systemu pomiarowego;</w:t>
            </w:r>
          </w:p>
          <w:p w:rsidR="002D58BE" w:rsidRPr="002D58BE" w:rsidRDefault="002D58BE" w:rsidP="002D58BE">
            <w:pPr>
              <w:jc w:val="both"/>
              <w:rPr>
                <w:rFonts w:ascii="Times New Roman" w:hAnsi="Times New Roman" w:cs="Times New Roman"/>
                <w:i/>
                <w:sz w:val="24"/>
                <w:szCs w:val="24"/>
              </w:rPr>
            </w:pPr>
            <w:r w:rsidRPr="002D58BE">
              <w:rPr>
                <w:rFonts w:ascii="Times New Roman" w:hAnsi="Times New Roman" w:cs="Times New Roman"/>
                <w:i/>
                <w:sz w:val="24"/>
                <w:szCs w:val="24"/>
              </w:rPr>
              <w:t>2. Minister właściwy do spraw energii wydając rozporządzenie, o którym mowa w ust. 1, bierze pod uwagę, w szczególności:</w:t>
            </w:r>
          </w:p>
          <w:p w:rsidR="002D58BE" w:rsidRDefault="002D58BE" w:rsidP="002D58BE">
            <w:pPr>
              <w:jc w:val="both"/>
              <w:rPr>
                <w:rFonts w:ascii="Times New Roman" w:hAnsi="Times New Roman" w:cs="Times New Roman"/>
                <w:i/>
                <w:sz w:val="24"/>
                <w:szCs w:val="24"/>
              </w:rPr>
            </w:pPr>
            <w:r w:rsidRPr="002D58BE">
              <w:rPr>
                <w:rFonts w:ascii="Times New Roman" w:hAnsi="Times New Roman" w:cs="Times New Roman"/>
                <w:i/>
                <w:sz w:val="24"/>
                <w:szCs w:val="24"/>
              </w:rPr>
              <w:t>1) konieczność zapewnienia bezpieczeństwa funkcjonowania systemu pomiarowego;</w:t>
            </w:r>
          </w:p>
          <w:p w:rsidR="002D58BE" w:rsidRDefault="002D58BE" w:rsidP="002D58BE">
            <w:pPr>
              <w:jc w:val="both"/>
              <w:rPr>
                <w:rFonts w:ascii="Times New Roman" w:hAnsi="Times New Roman" w:cs="Times New Roman"/>
                <w:i/>
                <w:sz w:val="24"/>
                <w:szCs w:val="24"/>
              </w:rPr>
            </w:pPr>
            <w:r w:rsidRPr="002D58BE">
              <w:rPr>
                <w:rFonts w:ascii="Times New Roman" w:hAnsi="Times New Roman" w:cs="Times New Roman"/>
                <w:i/>
                <w:sz w:val="24"/>
                <w:szCs w:val="24"/>
              </w:rPr>
              <w:t>4) zapewnienie równoprawnego traktowania użytkowników systemu pomiarowego;</w:t>
            </w:r>
          </w:p>
          <w:p w:rsidR="00FF3547" w:rsidRPr="00FF3547" w:rsidRDefault="00FF3547" w:rsidP="002D58BE">
            <w:pPr>
              <w:jc w:val="both"/>
              <w:rPr>
                <w:rFonts w:ascii="Times New Roman" w:hAnsi="Times New Roman" w:cs="Times New Roman"/>
                <w:sz w:val="24"/>
                <w:szCs w:val="24"/>
              </w:rPr>
            </w:pPr>
            <w:r>
              <w:rPr>
                <w:rFonts w:ascii="Times New Roman" w:hAnsi="Times New Roman" w:cs="Times New Roman"/>
                <w:sz w:val="24"/>
                <w:szCs w:val="24"/>
              </w:rPr>
              <w:t>Rozporządzenie w sprawie systemu pomiarowego będzie obejmowało całość zagadnień związanych z pomiarami a nie tylko</w:t>
            </w:r>
            <w:r w:rsidR="00250475">
              <w:rPr>
                <w:rFonts w:ascii="Times New Roman" w:hAnsi="Times New Roman" w:cs="Times New Roman"/>
                <w:sz w:val="24"/>
                <w:szCs w:val="24"/>
              </w:rPr>
              <w:t xml:space="preserve"> część</w:t>
            </w:r>
            <w:r>
              <w:rPr>
                <w:rFonts w:ascii="Times New Roman" w:hAnsi="Times New Roman" w:cs="Times New Roman"/>
                <w:sz w:val="24"/>
                <w:szCs w:val="24"/>
              </w:rPr>
              <w:t xml:space="preserve"> dotyczącą liczników zdalnego odczytu. Przewidziane w nim rozwiązania </w:t>
            </w:r>
            <w:r w:rsidR="00250475">
              <w:rPr>
                <w:rFonts w:ascii="Times New Roman" w:hAnsi="Times New Roman" w:cs="Times New Roman"/>
                <w:sz w:val="24"/>
                <w:szCs w:val="24"/>
              </w:rPr>
              <w:t>będą obejmowały</w:t>
            </w:r>
            <w:r>
              <w:rPr>
                <w:rFonts w:ascii="Times New Roman" w:hAnsi="Times New Roman" w:cs="Times New Roman"/>
                <w:sz w:val="24"/>
                <w:szCs w:val="24"/>
              </w:rPr>
              <w:t xml:space="preserve"> również liczniki konwencjonalne. Ponadto, trafi do tego rozporządzenia </w:t>
            </w:r>
            <w:r w:rsidR="00250475">
              <w:rPr>
                <w:rFonts w:ascii="Times New Roman" w:hAnsi="Times New Roman" w:cs="Times New Roman"/>
                <w:sz w:val="24"/>
                <w:szCs w:val="24"/>
              </w:rPr>
              <w:t>materia związana z pomiarami a zawarta obecnie w tzw. rozporządzeniu systemowym.</w:t>
            </w:r>
          </w:p>
          <w:p w:rsidR="002D58BE" w:rsidRDefault="00FF3547" w:rsidP="002D58BE">
            <w:pPr>
              <w:jc w:val="both"/>
              <w:rPr>
                <w:rFonts w:ascii="Times New Roman" w:hAnsi="Times New Roman" w:cs="Times New Roman"/>
                <w:i/>
                <w:sz w:val="24"/>
                <w:szCs w:val="24"/>
              </w:rPr>
            </w:pPr>
            <w:r>
              <w:rPr>
                <w:rFonts w:ascii="Times New Roman" w:hAnsi="Times New Roman" w:cs="Times New Roman"/>
                <w:i/>
                <w:sz w:val="24"/>
                <w:szCs w:val="24"/>
              </w:rPr>
              <w:t xml:space="preserve">Ust. 4. </w:t>
            </w:r>
            <w:r w:rsidR="002D58BE" w:rsidRPr="002D58BE">
              <w:rPr>
                <w:rFonts w:ascii="Times New Roman" w:hAnsi="Times New Roman" w:cs="Times New Roman"/>
                <w:i/>
                <w:sz w:val="24"/>
                <w:szCs w:val="24"/>
              </w:rPr>
              <w:t>– uwzględniając konieczność zapewnienia bezpieczeństwa funkcjonowania systemu pomiarowego, niezawodnej komunikacji pomiędzy licznikiem zdalnego odczytu a urządzeniami odbiorcy końcowego w gospodarstwie domowym, zakres informacji niezbędnych użytkownikowi systemu w gospodarstwie domowym w celu efektywnego zarządzania zużyciem energii elektrycznej, interoperacyjność systemu, równoprawne traktowanie użytkowników systemu pomiarowego, stan rozwoju technologii teleinformatycznych, efektywność kosztową dostępnych technologii oraz poufność danych i informacji w tym systemie.</w:t>
            </w:r>
          </w:p>
          <w:p w:rsidR="00250475" w:rsidRPr="00250475" w:rsidRDefault="00250475" w:rsidP="002D58BE">
            <w:pPr>
              <w:jc w:val="both"/>
              <w:rPr>
                <w:rFonts w:ascii="Times New Roman" w:hAnsi="Times New Roman" w:cs="Times New Roman"/>
                <w:sz w:val="24"/>
                <w:szCs w:val="24"/>
              </w:rPr>
            </w:pPr>
            <w:r>
              <w:rPr>
                <w:rFonts w:ascii="Times New Roman" w:hAnsi="Times New Roman" w:cs="Times New Roman"/>
                <w:sz w:val="24"/>
                <w:szCs w:val="24"/>
              </w:rPr>
              <w:t>Przesłanki, którymi należy się kierować wydając rozporządzenie powinny odnosić się do bezpieczeństwa całego systemu pomiarowego a nie jedynie części związanej z licznikami zdalnego odczytu bowiem jakakolwiek ingerencja może objąć swoim zasięgiem całość systemu. Ustawodawca kieruje się przesłanką zapewnienia bezpieczeństwa całemu systemowi pomiarowemu</w:t>
            </w:r>
            <w:r w:rsidR="00780CCD">
              <w:rPr>
                <w:rFonts w:ascii="Times New Roman" w:hAnsi="Times New Roman" w:cs="Times New Roman"/>
                <w:sz w:val="24"/>
                <w:szCs w:val="24"/>
              </w:rPr>
              <w:t xml:space="preserve"> a nie jedynie wydzielonym</w:t>
            </w:r>
            <w:r>
              <w:rPr>
                <w:rFonts w:ascii="Times New Roman" w:hAnsi="Times New Roman" w:cs="Times New Roman"/>
                <w:sz w:val="24"/>
                <w:szCs w:val="24"/>
              </w:rPr>
              <w:t xml:space="preserve"> </w:t>
            </w:r>
            <w:r w:rsidR="00780CCD">
              <w:rPr>
                <w:rFonts w:ascii="Times New Roman" w:hAnsi="Times New Roman" w:cs="Times New Roman"/>
                <w:sz w:val="24"/>
                <w:szCs w:val="24"/>
              </w:rPr>
              <w:t>jego fragmentom</w:t>
            </w:r>
            <w:r>
              <w:rPr>
                <w:rFonts w:ascii="Times New Roman" w:hAnsi="Times New Roman" w:cs="Times New Roman"/>
                <w:sz w:val="24"/>
                <w:szCs w:val="24"/>
              </w:rPr>
              <w:t>.</w:t>
            </w:r>
          </w:p>
          <w:p w:rsidR="002D58BE" w:rsidRPr="002D58BE" w:rsidRDefault="002D58BE" w:rsidP="002D58BE">
            <w:pPr>
              <w:jc w:val="both"/>
              <w:rPr>
                <w:rFonts w:ascii="Times New Roman" w:hAnsi="Times New Roman" w:cs="Times New Roman"/>
                <w:sz w:val="24"/>
                <w:szCs w:val="24"/>
              </w:rPr>
            </w:pPr>
            <w:r w:rsidRPr="002D58BE">
              <w:rPr>
                <w:rFonts w:ascii="Times New Roman" w:hAnsi="Times New Roman" w:cs="Times New Roman"/>
                <w:sz w:val="24"/>
                <w:szCs w:val="24"/>
              </w:rPr>
              <w:t>W art. 45 ust. 1i:</w:t>
            </w:r>
          </w:p>
          <w:p w:rsidR="002D58BE" w:rsidRPr="002D58BE" w:rsidRDefault="002D58BE" w:rsidP="002D58BE">
            <w:pPr>
              <w:jc w:val="both"/>
              <w:rPr>
                <w:rFonts w:ascii="Times New Roman" w:hAnsi="Times New Roman" w:cs="Times New Roman"/>
                <w:i/>
                <w:sz w:val="24"/>
                <w:szCs w:val="24"/>
              </w:rPr>
            </w:pPr>
            <w:r w:rsidRPr="002D58BE">
              <w:rPr>
                <w:rFonts w:ascii="Times New Roman" w:hAnsi="Times New Roman" w:cs="Times New Roman"/>
                <w:i/>
                <w:sz w:val="24"/>
                <w:szCs w:val="24"/>
              </w:rPr>
              <w:t>b) po ust. 1h dodaje się ust. 1i i 1j w brzmieniu:</w:t>
            </w:r>
          </w:p>
          <w:p w:rsidR="002D58BE" w:rsidRDefault="002D58BE" w:rsidP="002D58BE">
            <w:pPr>
              <w:jc w:val="both"/>
              <w:rPr>
                <w:rFonts w:ascii="Times New Roman" w:hAnsi="Times New Roman" w:cs="Times New Roman"/>
                <w:i/>
                <w:sz w:val="24"/>
                <w:szCs w:val="24"/>
              </w:rPr>
            </w:pPr>
            <w:r w:rsidRPr="002D58BE">
              <w:rPr>
                <w:rFonts w:ascii="Times New Roman" w:hAnsi="Times New Roman" w:cs="Times New Roman"/>
                <w:i/>
                <w:sz w:val="24"/>
                <w:szCs w:val="24"/>
              </w:rPr>
              <w:t>„1i. W kosztach działalności przedsiębiorstw energetycznych zajmujących się przesyłaniem lub dystrybucją energii elektrycznej, o których mowa w ust. 1 pkt 1, uwzględnia się koszty uzasadnione związane z tworzeniem i funkcjonowaniem systemu pomiarowego, systemu zdalnego odczytu lub centralnego systemu informacji rynku energii oraz wykonywania innych zadań wynikających z ustawy, w szczególności wykonywania zadań operatora informacji rynku energii.</w:t>
            </w:r>
          </w:p>
          <w:p w:rsidR="00754CB9" w:rsidRPr="00250475" w:rsidRDefault="00250475" w:rsidP="00250475">
            <w:pPr>
              <w:jc w:val="both"/>
              <w:rPr>
                <w:rFonts w:ascii="Times New Roman" w:hAnsi="Times New Roman" w:cs="Times New Roman"/>
                <w:sz w:val="24"/>
                <w:szCs w:val="24"/>
              </w:rPr>
            </w:pPr>
            <w:r>
              <w:rPr>
                <w:rFonts w:ascii="Times New Roman" w:hAnsi="Times New Roman" w:cs="Times New Roman"/>
                <w:sz w:val="24"/>
                <w:szCs w:val="24"/>
              </w:rPr>
              <w:t xml:space="preserve">Dla usunięcia wątpliwości interpretacyjnych koszty uzasadnione powinny objąć cały system pomiarowy. W przeciwnym wypadku możliwa byłaby wykładnia </w:t>
            </w:r>
            <w:r w:rsidRPr="00250475">
              <w:rPr>
                <w:rFonts w:ascii="Times New Roman" w:hAnsi="Times New Roman" w:cs="Times New Roman"/>
                <w:i/>
                <w:sz w:val="24"/>
                <w:szCs w:val="24"/>
              </w:rPr>
              <w:t>a contrario</w:t>
            </w:r>
            <w:r>
              <w:rPr>
                <w:rFonts w:ascii="Times New Roman" w:hAnsi="Times New Roman" w:cs="Times New Roman"/>
                <w:sz w:val="24"/>
                <w:szCs w:val="24"/>
              </w:rPr>
              <w:t xml:space="preserve">, zgodnie z którą jedynie koszty związane z funkcjonowaniem systemu zdalnego odczytu byłyby </w:t>
            </w:r>
            <w:r w:rsidRPr="00250475">
              <w:rPr>
                <w:rFonts w:ascii="Times New Roman" w:hAnsi="Times New Roman" w:cs="Times New Roman"/>
                <w:sz w:val="24"/>
                <w:szCs w:val="24"/>
              </w:rPr>
              <w:t xml:space="preserve">uznawane </w:t>
            </w:r>
            <w:r>
              <w:rPr>
                <w:rFonts w:ascii="Times New Roman" w:hAnsi="Times New Roman" w:cs="Times New Roman"/>
                <w:sz w:val="24"/>
                <w:szCs w:val="24"/>
              </w:rPr>
              <w:t>za uzasadnione.</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36</w:t>
            </w:r>
          </w:p>
        </w:tc>
        <w:tc>
          <w:tcPr>
            <w:tcW w:w="1043" w:type="dxa"/>
          </w:tcPr>
          <w:p w:rsidR="00641F71" w:rsidRPr="00DB2B9B" w:rsidRDefault="006D0C4E" w:rsidP="00B06E69">
            <w:pPr>
              <w:jc w:val="both"/>
              <w:rPr>
                <w:rFonts w:ascii="Times New Roman" w:hAnsi="Times New Roman" w:cs="Times New Roman"/>
                <w:sz w:val="24"/>
                <w:szCs w:val="24"/>
              </w:rPr>
            </w:pPr>
            <w:r>
              <w:rPr>
                <w:rFonts w:ascii="Times New Roman" w:hAnsi="Times New Roman" w:cs="Times New Roman"/>
                <w:sz w:val="24"/>
                <w:szCs w:val="24"/>
              </w:rPr>
              <w:t>RCL</w:t>
            </w:r>
          </w:p>
        </w:tc>
        <w:tc>
          <w:tcPr>
            <w:tcW w:w="5977" w:type="dxa"/>
          </w:tcPr>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W zakresie art. 11u ust. 1 ustawy – Prawo energetyczne ponownie zauważa się, że</w:t>
            </w:r>
          </w:p>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zgodnie z załącznikiem II do dyrektywy 2019/944 (pkt 3 in fine) obowiązek instalacji co</w:t>
            </w:r>
          </w:p>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najmniej 80% liczników zdalnego odczytu odnosi się do odbiorców końcowych w ogóle,</w:t>
            </w:r>
          </w:p>
          <w:p w:rsidR="00641F71" w:rsidRPr="00DB2B9B"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podczas gdy art. 11u ust. 1 projektu odnosi zakres te</w:t>
            </w:r>
            <w:r>
              <w:rPr>
                <w:rFonts w:ascii="Times New Roman" w:hAnsi="Times New Roman" w:cs="Times New Roman"/>
                <w:sz w:val="24"/>
                <w:szCs w:val="24"/>
              </w:rPr>
              <w:t xml:space="preserve">go obowiązku do „punktów poboru </w:t>
            </w:r>
            <w:r w:rsidRPr="006D0C4E">
              <w:rPr>
                <w:rFonts w:ascii="Times New Roman" w:hAnsi="Times New Roman" w:cs="Times New Roman"/>
                <w:sz w:val="24"/>
                <w:szCs w:val="24"/>
              </w:rPr>
              <w:t>energii u odbiorców końcowych, posiadający</w:t>
            </w:r>
            <w:r>
              <w:rPr>
                <w:rFonts w:ascii="Times New Roman" w:hAnsi="Times New Roman" w:cs="Times New Roman"/>
                <w:sz w:val="24"/>
                <w:szCs w:val="24"/>
              </w:rPr>
              <w:t xml:space="preserve">ch układ pomiarowy bezpośredni, </w:t>
            </w:r>
            <w:r w:rsidRPr="006D0C4E">
              <w:rPr>
                <w:rFonts w:ascii="Times New Roman" w:hAnsi="Times New Roman" w:cs="Times New Roman"/>
                <w:sz w:val="24"/>
                <w:szCs w:val="24"/>
              </w:rPr>
              <w:t xml:space="preserve">przyłączonych do sieci o napięciu znamionowym nie </w:t>
            </w:r>
            <w:r>
              <w:rPr>
                <w:rFonts w:ascii="Times New Roman" w:hAnsi="Times New Roman" w:cs="Times New Roman"/>
                <w:sz w:val="24"/>
                <w:szCs w:val="24"/>
              </w:rPr>
              <w:t xml:space="preserve">wyższym niż 1 kV”. Powoduje to, </w:t>
            </w:r>
            <w:r w:rsidRPr="006D0C4E">
              <w:rPr>
                <w:rFonts w:ascii="Times New Roman" w:hAnsi="Times New Roman" w:cs="Times New Roman"/>
                <w:sz w:val="24"/>
                <w:szCs w:val="24"/>
              </w:rPr>
              <w:t>że z zakresu obowiązku „wymykają się” odbiorcy</w:t>
            </w:r>
            <w:r>
              <w:rPr>
                <w:rFonts w:ascii="Times New Roman" w:hAnsi="Times New Roman" w:cs="Times New Roman"/>
                <w:sz w:val="24"/>
                <w:szCs w:val="24"/>
              </w:rPr>
              <w:t xml:space="preserve"> końcowi przyłączeni do sieci o </w:t>
            </w:r>
            <w:r w:rsidRPr="006D0C4E">
              <w:rPr>
                <w:rFonts w:ascii="Times New Roman" w:hAnsi="Times New Roman" w:cs="Times New Roman"/>
                <w:sz w:val="24"/>
                <w:szCs w:val="24"/>
              </w:rPr>
              <w:t>napięciu powyżej 1 kV (którzy w znacznej mierze już d</w:t>
            </w:r>
            <w:r>
              <w:rPr>
                <w:rFonts w:ascii="Times New Roman" w:hAnsi="Times New Roman" w:cs="Times New Roman"/>
                <w:sz w:val="24"/>
                <w:szCs w:val="24"/>
              </w:rPr>
              <w:t xml:space="preserve">zisiaj wyposażeni są w liczniki </w:t>
            </w:r>
            <w:r w:rsidRPr="006D0C4E">
              <w:rPr>
                <w:rFonts w:ascii="Times New Roman" w:hAnsi="Times New Roman" w:cs="Times New Roman"/>
                <w:sz w:val="24"/>
                <w:szCs w:val="24"/>
              </w:rPr>
              <w:t>zdalnego odczytu i mogliby zostać uwzględnieni w wykonaniu tego obowiązku).</w:t>
            </w:r>
          </w:p>
        </w:tc>
        <w:tc>
          <w:tcPr>
            <w:tcW w:w="6344" w:type="dxa"/>
          </w:tcPr>
          <w:p w:rsidR="00D227C1" w:rsidRPr="00D227C1" w:rsidRDefault="00D227C1" w:rsidP="00095719">
            <w:pPr>
              <w:jc w:val="both"/>
              <w:rPr>
                <w:rFonts w:ascii="Times New Roman" w:hAnsi="Times New Roman" w:cs="Times New Roman"/>
                <w:b/>
                <w:sz w:val="24"/>
                <w:szCs w:val="24"/>
              </w:rPr>
            </w:pPr>
            <w:r w:rsidRPr="00D227C1">
              <w:rPr>
                <w:rFonts w:ascii="Times New Roman" w:hAnsi="Times New Roman" w:cs="Times New Roman"/>
                <w:b/>
                <w:sz w:val="24"/>
                <w:szCs w:val="24"/>
              </w:rPr>
              <w:t>Uwaga jest o charakterze europejskim.</w:t>
            </w:r>
          </w:p>
          <w:p w:rsidR="000C5234" w:rsidRPr="00D227C1" w:rsidRDefault="000C5234" w:rsidP="00095719">
            <w:pPr>
              <w:jc w:val="both"/>
              <w:rPr>
                <w:rFonts w:ascii="Times New Roman" w:hAnsi="Times New Roman" w:cs="Times New Roman"/>
                <w:b/>
                <w:sz w:val="24"/>
                <w:szCs w:val="24"/>
              </w:rPr>
            </w:pPr>
            <w:r w:rsidRPr="00D227C1">
              <w:rPr>
                <w:rFonts w:ascii="Times New Roman" w:hAnsi="Times New Roman" w:cs="Times New Roman"/>
                <w:b/>
                <w:sz w:val="24"/>
                <w:szCs w:val="24"/>
              </w:rPr>
              <w:t>Uwaga została uwzględniona i wyjaśniona.</w:t>
            </w:r>
          </w:p>
          <w:p w:rsidR="00095719" w:rsidRPr="00095719" w:rsidRDefault="00780CCD" w:rsidP="00095719">
            <w:pPr>
              <w:jc w:val="both"/>
              <w:rPr>
                <w:rFonts w:ascii="Times New Roman" w:hAnsi="Times New Roman" w:cs="Times New Roman"/>
                <w:sz w:val="24"/>
                <w:szCs w:val="24"/>
              </w:rPr>
            </w:pPr>
            <w:r>
              <w:rPr>
                <w:rFonts w:ascii="Times New Roman" w:hAnsi="Times New Roman" w:cs="Times New Roman"/>
                <w:sz w:val="24"/>
                <w:szCs w:val="24"/>
              </w:rPr>
              <w:t>N</w:t>
            </w:r>
            <w:r w:rsidR="00D26848">
              <w:rPr>
                <w:rFonts w:ascii="Times New Roman" w:hAnsi="Times New Roman" w:cs="Times New Roman"/>
                <w:sz w:val="24"/>
                <w:szCs w:val="24"/>
              </w:rPr>
              <w:t xml:space="preserve">ależy zaznaczyć, że </w:t>
            </w:r>
            <w:r w:rsidR="00095719">
              <w:rPr>
                <w:rFonts w:ascii="Times New Roman" w:hAnsi="Times New Roman" w:cs="Times New Roman"/>
                <w:sz w:val="24"/>
                <w:szCs w:val="24"/>
              </w:rPr>
              <w:t>z</w:t>
            </w:r>
            <w:r w:rsidR="00095719" w:rsidRPr="00095719">
              <w:rPr>
                <w:rFonts w:ascii="Times New Roman" w:hAnsi="Times New Roman" w:cs="Times New Roman"/>
                <w:sz w:val="24"/>
                <w:szCs w:val="24"/>
              </w:rPr>
              <w:t>godnie z załącznikiem II pkt 1 do dyrektywy 2019/944 obowiązek instalacji liczników zdalnego odczytu dot. konsumentów, czyli, używając nomenklatury ustawy – Prawo energetyczne) odbiorów w gospodarstwach domowych:</w:t>
            </w:r>
          </w:p>
          <w:p w:rsidR="00095719" w:rsidRPr="00095719" w:rsidRDefault="00095719" w:rsidP="00095719">
            <w:pPr>
              <w:jc w:val="both"/>
              <w:rPr>
                <w:rFonts w:ascii="Times New Roman" w:hAnsi="Times New Roman" w:cs="Times New Roman"/>
                <w:sz w:val="24"/>
                <w:szCs w:val="24"/>
              </w:rPr>
            </w:pPr>
            <w:r w:rsidRPr="00095719">
              <w:rPr>
                <w:rFonts w:ascii="Times New Roman" w:hAnsi="Times New Roman" w:cs="Times New Roman"/>
                <w:sz w:val="24"/>
                <w:szCs w:val="24"/>
              </w:rPr>
              <w:t>1.  Państwa członkowskie zapewniają  wprowadzenie na  swoim  terytorium  inteligentnych  systemów  opomiarowania, które  mogą  być  uzależnione od  ekonomicznej oceny  wszystkich  długoterminowych  kosztów  i  korzyści dla  rynku oraz  indywidualnego konsumenta lub  od  oceny,  która  forma  inteligentnego opomiarowania jest  uzasadniona z ekonomicznego punktu widzenia i efektywna kosztowo oraz w jakim czasie ich dystrybucja jest wykonalna.</w:t>
            </w:r>
          </w:p>
          <w:p w:rsidR="00095719" w:rsidRPr="00095719" w:rsidRDefault="00095719" w:rsidP="00095719">
            <w:pPr>
              <w:jc w:val="both"/>
              <w:rPr>
                <w:rFonts w:ascii="Times New Roman" w:hAnsi="Times New Roman" w:cs="Times New Roman"/>
                <w:sz w:val="24"/>
                <w:szCs w:val="24"/>
              </w:rPr>
            </w:pPr>
            <w:r w:rsidRPr="00095719">
              <w:rPr>
                <w:rFonts w:ascii="Times New Roman" w:hAnsi="Times New Roman" w:cs="Times New Roman"/>
                <w:sz w:val="24"/>
                <w:szCs w:val="24"/>
              </w:rPr>
              <w:t>W związku z powyższym przedmiotowa kwestia wcale nie jest jasna. Ponadto, wykładnia celowościowa i literalna przepisów merytorycznych dyrektywy 2019/944 (art. 19-24) wska</w:t>
            </w:r>
            <w:r w:rsidR="00BC0742">
              <w:rPr>
                <w:rFonts w:ascii="Times New Roman" w:hAnsi="Times New Roman" w:cs="Times New Roman"/>
                <w:sz w:val="24"/>
                <w:szCs w:val="24"/>
              </w:rPr>
              <w:t>zuje,</w:t>
            </w:r>
            <w:r w:rsidR="001B3423">
              <w:rPr>
                <w:rFonts w:ascii="Times New Roman" w:hAnsi="Times New Roman" w:cs="Times New Roman"/>
                <w:sz w:val="24"/>
                <w:szCs w:val="24"/>
              </w:rPr>
              <w:t xml:space="preserve"> że obowiązek ten dotyczy przede wszystkim</w:t>
            </w:r>
            <w:r w:rsidRPr="00095719">
              <w:rPr>
                <w:rFonts w:ascii="Times New Roman" w:hAnsi="Times New Roman" w:cs="Times New Roman"/>
                <w:sz w:val="24"/>
                <w:szCs w:val="24"/>
              </w:rPr>
              <w:t xml:space="preserve"> konsumentów. </w:t>
            </w:r>
            <w:r w:rsidR="001B3423">
              <w:rPr>
                <w:rFonts w:ascii="Times New Roman" w:hAnsi="Times New Roman" w:cs="Times New Roman"/>
                <w:sz w:val="24"/>
                <w:szCs w:val="24"/>
              </w:rPr>
              <w:t xml:space="preserve">U tych odbiorców końcowych </w:t>
            </w:r>
            <w:r w:rsidRPr="00095719">
              <w:rPr>
                <w:rFonts w:ascii="Times New Roman" w:hAnsi="Times New Roman" w:cs="Times New Roman"/>
                <w:sz w:val="24"/>
                <w:szCs w:val="24"/>
              </w:rPr>
              <w:t xml:space="preserve">instalacja liczników </w:t>
            </w:r>
            <w:r w:rsidR="001B3423">
              <w:rPr>
                <w:rFonts w:ascii="Times New Roman" w:hAnsi="Times New Roman" w:cs="Times New Roman"/>
                <w:sz w:val="24"/>
                <w:szCs w:val="24"/>
              </w:rPr>
              <w:t xml:space="preserve">zdalnego odczytu </w:t>
            </w:r>
            <w:r w:rsidRPr="00095719">
              <w:rPr>
                <w:rFonts w:ascii="Times New Roman" w:hAnsi="Times New Roman" w:cs="Times New Roman"/>
                <w:sz w:val="24"/>
                <w:szCs w:val="24"/>
              </w:rPr>
              <w:t>nie była dotychczas wykonywana masowo</w:t>
            </w:r>
            <w:r w:rsidR="00BC0742">
              <w:rPr>
                <w:rFonts w:ascii="Times New Roman" w:hAnsi="Times New Roman" w:cs="Times New Roman"/>
                <w:sz w:val="24"/>
                <w:szCs w:val="24"/>
              </w:rPr>
              <w:t xml:space="preserve"> przez OSD</w:t>
            </w:r>
            <w:r w:rsidR="001B3423">
              <w:rPr>
                <w:rFonts w:ascii="Times New Roman" w:hAnsi="Times New Roman" w:cs="Times New Roman"/>
                <w:sz w:val="24"/>
                <w:szCs w:val="24"/>
              </w:rPr>
              <w:t xml:space="preserve"> i w związku z tym </w:t>
            </w:r>
            <w:r w:rsidRPr="00095719">
              <w:rPr>
                <w:rFonts w:ascii="Times New Roman" w:hAnsi="Times New Roman" w:cs="Times New Roman"/>
                <w:sz w:val="24"/>
                <w:szCs w:val="24"/>
              </w:rPr>
              <w:t xml:space="preserve">jest </w:t>
            </w:r>
            <w:r w:rsidR="001B3423">
              <w:rPr>
                <w:rFonts w:ascii="Times New Roman" w:hAnsi="Times New Roman" w:cs="Times New Roman"/>
                <w:sz w:val="24"/>
                <w:szCs w:val="24"/>
              </w:rPr>
              <w:t xml:space="preserve">ich </w:t>
            </w:r>
            <w:r w:rsidRPr="00095719">
              <w:rPr>
                <w:rFonts w:ascii="Times New Roman" w:hAnsi="Times New Roman" w:cs="Times New Roman"/>
                <w:sz w:val="24"/>
                <w:szCs w:val="24"/>
              </w:rPr>
              <w:t xml:space="preserve">najwięcej do wymiany na LZO (średnio ponad 97%, nie wliczając w ten procent wykonanych instalacji pilotażowych inteligentnego opomiarowania przez niektórych OSD). Dodatkowo wymagania funkcjonalne i techniczne dla liczników instalowanych u odbiorców końcowych różnią się wobec liczników instalowanych u odbiorców powyżej 1kV (inne miejsce instalacji). </w:t>
            </w:r>
          </w:p>
          <w:p w:rsidR="00780CCD" w:rsidRDefault="00095719" w:rsidP="00095719">
            <w:pPr>
              <w:jc w:val="both"/>
              <w:rPr>
                <w:rFonts w:ascii="Times New Roman" w:hAnsi="Times New Roman" w:cs="Times New Roman"/>
                <w:sz w:val="24"/>
                <w:szCs w:val="24"/>
              </w:rPr>
            </w:pPr>
            <w:r w:rsidRPr="00095719">
              <w:rPr>
                <w:rFonts w:ascii="Times New Roman" w:hAnsi="Times New Roman" w:cs="Times New Roman"/>
                <w:sz w:val="24"/>
                <w:szCs w:val="24"/>
              </w:rPr>
              <w:t xml:space="preserve">Jeżeli chodzi o pozostałe grupy przyłączeniowe to na mocy danych udostępnionych przez OSD, według danych statystycznych Głównego Urzędu Statystycznego </w:t>
            </w:r>
            <w:r>
              <w:rPr>
                <w:rFonts w:ascii="Times New Roman" w:hAnsi="Times New Roman" w:cs="Times New Roman"/>
                <w:sz w:val="24"/>
                <w:szCs w:val="24"/>
              </w:rPr>
              <w:t xml:space="preserve">na rok 2018 </w:t>
            </w:r>
            <w:r w:rsidRPr="00095719">
              <w:rPr>
                <w:rFonts w:ascii="Times New Roman" w:hAnsi="Times New Roman" w:cs="Times New Roman"/>
                <w:sz w:val="24"/>
                <w:szCs w:val="24"/>
              </w:rPr>
              <w:t xml:space="preserve">67 % odbiorców przyłączonych na Średnim i Wysokim napięciu jest wyposażonych w liczniki inteligentne (zdalnego odczytu). </w:t>
            </w:r>
            <w:r w:rsidR="0072630D" w:rsidRPr="0072630D">
              <w:rPr>
                <w:rFonts w:ascii="Times New Roman" w:hAnsi="Times New Roman" w:cs="Times New Roman"/>
                <w:sz w:val="24"/>
                <w:szCs w:val="24"/>
              </w:rPr>
              <w:t>Według danych z tego roku, uzyskanych od OSD, blisko 100% odbiorców przyłączonych na Średnim i Wysokim napięciu jest wyposażonych w liczniki inteligentne (zdalnego odczytu)</w:t>
            </w:r>
            <w:r w:rsidR="0072630D">
              <w:rPr>
                <w:rFonts w:ascii="Times New Roman" w:hAnsi="Times New Roman" w:cs="Times New Roman"/>
                <w:sz w:val="24"/>
                <w:szCs w:val="24"/>
              </w:rPr>
              <w:t>.</w:t>
            </w:r>
            <w:r>
              <w:rPr>
                <w:rFonts w:ascii="Times New Roman" w:hAnsi="Times New Roman" w:cs="Times New Roman"/>
                <w:sz w:val="24"/>
                <w:szCs w:val="24"/>
              </w:rPr>
              <w:t xml:space="preserve"> </w:t>
            </w:r>
          </w:p>
          <w:p w:rsidR="00BC0742" w:rsidRDefault="00B950D0" w:rsidP="00095719">
            <w:pPr>
              <w:jc w:val="both"/>
              <w:rPr>
                <w:rFonts w:ascii="Times New Roman" w:hAnsi="Times New Roman" w:cs="Times New Roman"/>
                <w:sz w:val="24"/>
                <w:szCs w:val="24"/>
              </w:rPr>
            </w:pPr>
            <w:r>
              <w:rPr>
                <w:rFonts w:ascii="Times New Roman" w:hAnsi="Times New Roman" w:cs="Times New Roman"/>
                <w:sz w:val="24"/>
                <w:szCs w:val="24"/>
              </w:rPr>
              <w:t>Wg danych przekazanych przez Polskie Towarzystwo Przesyłu i Rozdziału Energii Elektrycznej w grupie C1x jedynie 11,10 % posiada zainstalowane liczniki zdalnego odczytu zaś w grupie G jest to 9,2 %. W pozostałych grupach jest to: grupa A: 100 %, grupa B 97,1 % i grupa C2x 99,44 %.</w:t>
            </w:r>
          </w:p>
          <w:p w:rsidR="00641F71" w:rsidRDefault="00095719" w:rsidP="00095719">
            <w:pPr>
              <w:jc w:val="both"/>
              <w:rPr>
                <w:rFonts w:ascii="Times New Roman" w:hAnsi="Times New Roman" w:cs="Times New Roman"/>
                <w:sz w:val="24"/>
                <w:szCs w:val="24"/>
              </w:rPr>
            </w:pPr>
            <w:r w:rsidRPr="00095719">
              <w:rPr>
                <w:rFonts w:ascii="Times New Roman" w:hAnsi="Times New Roman" w:cs="Times New Roman"/>
                <w:sz w:val="24"/>
                <w:szCs w:val="24"/>
              </w:rPr>
              <w:t xml:space="preserve">Dodatkowo, obowiązek instalacji liczników zdalnego odczytu </w:t>
            </w:r>
            <w:r w:rsidR="00EA6A26">
              <w:rPr>
                <w:rFonts w:ascii="Times New Roman" w:hAnsi="Times New Roman" w:cs="Times New Roman"/>
                <w:sz w:val="24"/>
                <w:szCs w:val="24"/>
              </w:rPr>
              <w:t xml:space="preserve">dla wszystkich pozostałych kategorii odbiorców końcowych </w:t>
            </w:r>
            <w:r w:rsidRPr="00095719">
              <w:rPr>
                <w:rFonts w:ascii="Times New Roman" w:hAnsi="Times New Roman" w:cs="Times New Roman"/>
                <w:sz w:val="24"/>
                <w:szCs w:val="24"/>
              </w:rPr>
              <w:t>wynika pośrednio z ustawy z dnia 8 grudnia 2017 r. o rynku mocy, nie jest bowiem możliwa realizacja obowiązków wynikających z tej ustawy bez dokładnych wyliczeń, które mogą jedynie zapewnić liczniki zdalnego odczytu.</w:t>
            </w:r>
          </w:p>
          <w:p w:rsidR="00BC0742" w:rsidRPr="003B491A" w:rsidRDefault="000A6302" w:rsidP="00BC0742">
            <w:pPr>
              <w:jc w:val="both"/>
              <w:rPr>
                <w:rFonts w:ascii="Times New Roman" w:hAnsi="Times New Roman" w:cs="Times New Roman"/>
                <w:sz w:val="24"/>
                <w:szCs w:val="24"/>
              </w:rPr>
            </w:pPr>
            <w:r w:rsidRPr="003B491A">
              <w:rPr>
                <w:rFonts w:ascii="Times New Roman" w:hAnsi="Times New Roman" w:cs="Times New Roman"/>
                <w:sz w:val="24"/>
                <w:szCs w:val="24"/>
              </w:rPr>
              <w:t xml:space="preserve">Tak więc konkludując, należy zaznaczyć, że projekt ustawy wprowadza </w:t>
            </w:r>
            <w:r w:rsidR="009E3A6A" w:rsidRPr="003B491A">
              <w:rPr>
                <w:rFonts w:ascii="Times New Roman" w:hAnsi="Times New Roman" w:cs="Times New Roman"/>
                <w:sz w:val="24"/>
                <w:szCs w:val="24"/>
              </w:rPr>
              <w:t xml:space="preserve">sam </w:t>
            </w:r>
            <w:r w:rsidRPr="003B491A">
              <w:rPr>
                <w:rFonts w:ascii="Times New Roman" w:hAnsi="Times New Roman" w:cs="Times New Roman"/>
                <w:sz w:val="24"/>
                <w:szCs w:val="24"/>
              </w:rPr>
              <w:t xml:space="preserve">obowiązek instalacji liczników zdalnego odczytu </w:t>
            </w:r>
            <w:r w:rsidR="00BC0742" w:rsidRPr="003B491A">
              <w:rPr>
                <w:rFonts w:ascii="Times New Roman" w:hAnsi="Times New Roman" w:cs="Times New Roman"/>
                <w:sz w:val="24"/>
                <w:szCs w:val="24"/>
              </w:rPr>
              <w:t>u odbiorców końcowych posiadających układ pomiarowy bezpośredni, przyłączonych do sieci o napięciu znamionowym nie wyższym niż 1 kV:</w:t>
            </w:r>
          </w:p>
          <w:p w:rsidR="00BC0742" w:rsidRPr="003B491A" w:rsidRDefault="00BC0742" w:rsidP="00BC0742">
            <w:pPr>
              <w:jc w:val="both"/>
              <w:rPr>
                <w:rFonts w:ascii="Times New Roman" w:hAnsi="Times New Roman" w:cs="Times New Roman"/>
                <w:sz w:val="24"/>
                <w:szCs w:val="24"/>
              </w:rPr>
            </w:pPr>
            <w:r w:rsidRPr="003B491A">
              <w:rPr>
                <w:rFonts w:ascii="Times New Roman" w:hAnsi="Times New Roman" w:cs="Times New Roman"/>
                <w:sz w:val="24"/>
                <w:szCs w:val="24"/>
              </w:rPr>
              <w:t>1) kwestia ta nie jest do końca jasna w dyrektywie;</w:t>
            </w:r>
          </w:p>
          <w:p w:rsidR="004537AF" w:rsidRPr="003B491A" w:rsidRDefault="00BC0742" w:rsidP="001B3423">
            <w:pPr>
              <w:jc w:val="both"/>
              <w:rPr>
                <w:rFonts w:ascii="Times New Roman" w:hAnsi="Times New Roman" w:cs="Times New Roman"/>
                <w:sz w:val="24"/>
                <w:szCs w:val="24"/>
              </w:rPr>
            </w:pPr>
            <w:r w:rsidRPr="003B491A">
              <w:rPr>
                <w:rFonts w:ascii="Times New Roman" w:hAnsi="Times New Roman" w:cs="Times New Roman"/>
                <w:sz w:val="24"/>
                <w:szCs w:val="24"/>
              </w:rPr>
              <w:t>2) u</w:t>
            </w:r>
            <w:r w:rsidR="000A6302" w:rsidRPr="003B491A">
              <w:rPr>
                <w:rFonts w:ascii="Times New Roman" w:hAnsi="Times New Roman" w:cs="Times New Roman"/>
                <w:sz w:val="24"/>
                <w:szCs w:val="24"/>
              </w:rPr>
              <w:t xml:space="preserve"> odbiorców </w:t>
            </w:r>
            <w:r w:rsidRPr="003B491A">
              <w:rPr>
                <w:rFonts w:ascii="Times New Roman" w:hAnsi="Times New Roman" w:cs="Times New Roman"/>
                <w:sz w:val="24"/>
                <w:szCs w:val="24"/>
              </w:rPr>
              <w:t xml:space="preserve">tych </w:t>
            </w:r>
            <w:r w:rsidR="000A6302" w:rsidRPr="003B491A">
              <w:rPr>
                <w:rFonts w:ascii="Times New Roman" w:hAnsi="Times New Roman" w:cs="Times New Roman"/>
                <w:sz w:val="24"/>
                <w:szCs w:val="24"/>
              </w:rPr>
              <w:t>zainstalo</w:t>
            </w:r>
            <w:r w:rsidRPr="003B491A">
              <w:rPr>
                <w:rFonts w:ascii="Times New Roman" w:hAnsi="Times New Roman" w:cs="Times New Roman"/>
                <w:sz w:val="24"/>
                <w:szCs w:val="24"/>
              </w:rPr>
              <w:t xml:space="preserve">wano dopiero </w:t>
            </w:r>
            <w:r w:rsidR="00780CCD" w:rsidRPr="003B491A">
              <w:rPr>
                <w:rFonts w:ascii="Times New Roman" w:hAnsi="Times New Roman" w:cs="Times New Roman"/>
                <w:sz w:val="24"/>
                <w:szCs w:val="24"/>
              </w:rPr>
              <w:t>9</w:t>
            </w:r>
            <w:r w:rsidRPr="003B491A">
              <w:rPr>
                <w:rFonts w:ascii="Times New Roman" w:hAnsi="Times New Roman" w:cs="Times New Roman"/>
                <w:sz w:val="24"/>
                <w:szCs w:val="24"/>
              </w:rPr>
              <w:t>,2</w:t>
            </w:r>
            <w:r w:rsidR="000A6302" w:rsidRPr="003B491A">
              <w:rPr>
                <w:rFonts w:ascii="Times New Roman" w:hAnsi="Times New Roman" w:cs="Times New Roman"/>
                <w:sz w:val="24"/>
                <w:szCs w:val="24"/>
              </w:rPr>
              <w:t xml:space="preserve"> % </w:t>
            </w:r>
            <w:r w:rsidR="001B3423" w:rsidRPr="003B491A">
              <w:rPr>
                <w:rFonts w:ascii="Times New Roman" w:hAnsi="Times New Roman" w:cs="Times New Roman"/>
                <w:sz w:val="24"/>
                <w:szCs w:val="24"/>
              </w:rPr>
              <w:t>(grupa G) i 11,1% (grupa C1x)</w:t>
            </w:r>
            <w:r w:rsidR="000A6302" w:rsidRPr="003B491A">
              <w:rPr>
                <w:rFonts w:ascii="Times New Roman" w:hAnsi="Times New Roman" w:cs="Times New Roman"/>
                <w:sz w:val="24"/>
                <w:szCs w:val="24"/>
              </w:rPr>
              <w:t xml:space="preserve"> liczników</w:t>
            </w:r>
            <w:r w:rsidR="001B3423" w:rsidRPr="003B491A">
              <w:rPr>
                <w:rFonts w:ascii="Times New Roman" w:hAnsi="Times New Roman" w:cs="Times New Roman"/>
                <w:sz w:val="24"/>
                <w:szCs w:val="24"/>
              </w:rPr>
              <w:t xml:space="preserve"> zdalnego odczytu</w:t>
            </w:r>
            <w:r w:rsidR="004537AF" w:rsidRPr="003B491A">
              <w:rPr>
                <w:rFonts w:ascii="Times New Roman" w:hAnsi="Times New Roman" w:cs="Times New Roman"/>
                <w:sz w:val="24"/>
                <w:szCs w:val="24"/>
              </w:rPr>
              <w:t>,</w:t>
            </w:r>
            <w:r w:rsidR="000A6302" w:rsidRPr="003B491A">
              <w:rPr>
                <w:rFonts w:ascii="Times New Roman" w:hAnsi="Times New Roman" w:cs="Times New Roman"/>
                <w:sz w:val="24"/>
                <w:szCs w:val="24"/>
              </w:rPr>
              <w:t xml:space="preserve"> inni </w:t>
            </w:r>
            <w:r w:rsidR="001B3423" w:rsidRPr="003B491A">
              <w:rPr>
                <w:rFonts w:ascii="Times New Roman" w:hAnsi="Times New Roman" w:cs="Times New Roman"/>
                <w:sz w:val="24"/>
                <w:szCs w:val="24"/>
              </w:rPr>
              <w:t xml:space="preserve">zaś </w:t>
            </w:r>
            <w:r w:rsidR="000A6302" w:rsidRPr="003B491A">
              <w:rPr>
                <w:rFonts w:ascii="Times New Roman" w:hAnsi="Times New Roman" w:cs="Times New Roman"/>
                <w:sz w:val="24"/>
                <w:szCs w:val="24"/>
              </w:rPr>
              <w:t>odbiorcy końcowi w zdecydowanej większości mają już zainstalo</w:t>
            </w:r>
            <w:r w:rsidR="001B3423" w:rsidRPr="003B491A">
              <w:rPr>
                <w:rFonts w:ascii="Times New Roman" w:hAnsi="Times New Roman" w:cs="Times New Roman"/>
                <w:sz w:val="24"/>
                <w:szCs w:val="24"/>
              </w:rPr>
              <w:t>wane liczniki zdalnego odczytu a</w:t>
            </w:r>
            <w:r w:rsidR="000A6302" w:rsidRPr="003B491A">
              <w:rPr>
                <w:rFonts w:ascii="Times New Roman" w:hAnsi="Times New Roman" w:cs="Times New Roman"/>
                <w:sz w:val="24"/>
                <w:szCs w:val="24"/>
              </w:rPr>
              <w:t xml:space="preserve"> obowiązek ten dopełniają regulacje ww. ustawy o rynku mocy</w:t>
            </w:r>
            <w:r w:rsidR="001B3423" w:rsidRPr="003B491A">
              <w:rPr>
                <w:rFonts w:ascii="Times New Roman" w:hAnsi="Times New Roman" w:cs="Times New Roman"/>
                <w:sz w:val="24"/>
                <w:szCs w:val="24"/>
              </w:rPr>
              <w:t>. Na marginesie należy zaznaczyć, że grupa G i grupa C1x to odbiorcy końcowi  przyłączeni do sieci o napięciu znamionowym nie wyższym niż 1 kV;</w:t>
            </w:r>
          </w:p>
          <w:p w:rsidR="001B3423" w:rsidRPr="003B491A" w:rsidRDefault="001B3423" w:rsidP="001B3423">
            <w:pPr>
              <w:jc w:val="both"/>
              <w:rPr>
                <w:rFonts w:ascii="Times New Roman" w:hAnsi="Times New Roman" w:cs="Times New Roman"/>
                <w:sz w:val="24"/>
                <w:szCs w:val="24"/>
              </w:rPr>
            </w:pPr>
            <w:r w:rsidRPr="003B491A">
              <w:rPr>
                <w:rFonts w:ascii="Times New Roman" w:hAnsi="Times New Roman" w:cs="Times New Roman"/>
                <w:sz w:val="24"/>
                <w:szCs w:val="24"/>
              </w:rPr>
              <w:t>3) układ pomiarowy bezpośredni to układ posiadający tzw. stycznik czyli przyrząd umożliwiający dwustronną komunikację, zarządzanie stroną popytową (DSR) oraz przedpłatę i tym samym zapewnia zgodność funkcjonalności z Zaleceniami Komisji Europejskiej z dnia 9 marca 2012 r. w sprawie przygotowań do rozpowszechnienia inteligentnych systemów pomiarowych (Dz. U. UE. L. 73 z 9. 03. 2012, str. 9).</w:t>
            </w:r>
          </w:p>
          <w:p w:rsidR="00B950D0" w:rsidRPr="003B491A" w:rsidRDefault="00E060FF" w:rsidP="000C5234">
            <w:pPr>
              <w:jc w:val="both"/>
              <w:rPr>
                <w:rFonts w:ascii="Times New Roman" w:hAnsi="Times New Roman" w:cs="Times New Roman"/>
                <w:sz w:val="24"/>
                <w:szCs w:val="24"/>
              </w:rPr>
            </w:pPr>
            <w:r>
              <w:rPr>
                <w:rFonts w:ascii="Times New Roman" w:hAnsi="Times New Roman" w:cs="Times New Roman"/>
                <w:sz w:val="24"/>
                <w:szCs w:val="24"/>
              </w:rPr>
              <w:t>W</w:t>
            </w:r>
            <w:r w:rsidR="000C5234" w:rsidRPr="003B491A">
              <w:rPr>
                <w:rFonts w:ascii="Times New Roman" w:hAnsi="Times New Roman" w:cs="Times New Roman"/>
                <w:sz w:val="24"/>
                <w:szCs w:val="24"/>
              </w:rPr>
              <w:t xml:space="preserve"> celu zapewnienia</w:t>
            </w:r>
            <w:r>
              <w:rPr>
                <w:rFonts w:ascii="Times New Roman" w:hAnsi="Times New Roman" w:cs="Times New Roman"/>
                <w:sz w:val="24"/>
                <w:szCs w:val="24"/>
              </w:rPr>
              <w:t xml:space="preserve"> pełnej zgodności z dyrektywą doprecyzowano,</w:t>
            </w:r>
            <w:r w:rsidR="000C5234" w:rsidRPr="003B491A">
              <w:rPr>
                <w:rFonts w:ascii="Times New Roman" w:hAnsi="Times New Roman" w:cs="Times New Roman"/>
                <w:sz w:val="24"/>
                <w:szCs w:val="24"/>
              </w:rPr>
              <w:t xml:space="preserve"> że w punktach poboru energii stanowiących u co najmniej 80 % łącznej liczby punktów poboru energii w odbiorców końcowych, posiadających układ pomiarowy bezpośredni, przyłączonych do sieci o napięciu znamionowym nie wyższym niż 1 kV, obowiązkiem 80 % zostaną objęci odbiorcy końcowi w gospodarstwach domowych zaproponowano nowe brzmienie art.</w:t>
            </w:r>
            <w:r w:rsidR="003B491A" w:rsidRPr="003B491A">
              <w:rPr>
                <w:rFonts w:ascii="Times New Roman" w:hAnsi="Times New Roman" w:cs="Times New Roman"/>
                <w:sz w:val="24"/>
                <w:szCs w:val="24"/>
              </w:rPr>
              <w:t xml:space="preserve"> 11u:</w:t>
            </w:r>
          </w:p>
          <w:p w:rsidR="003B491A" w:rsidRPr="003B491A" w:rsidRDefault="003B491A" w:rsidP="003B491A">
            <w:pPr>
              <w:jc w:val="both"/>
              <w:rPr>
                <w:rFonts w:ascii="Times New Roman" w:hAnsi="Times New Roman" w:cs="Times New Roman"/>
                <w:i/>
                <w:sz w:val="24"/>
                <w:szCs w:val="24"/>
              </w:rPr>
            </w:pPr>
            <w:r w:rsidRPr="003B491A">
              <w:rPr>
                <w:rFonts w:ascii="Times New Roman" w:hAnsi="Times New Roman" w:cs="Times New Roman"/>
                <w:i/>
                <w:sz w:val="24"/>
                <w:szCs w:val="24"/>
              </w:rPr>
              <w:t>Art. 11u. 1. Operator systemu dystrybucyjnego elektroenergetycznego, do dnia 31 grudnia 2028 r., zainstaluje liczniki zdalnego odczytu skomunikowane z systemem zdalnego odczytu w punktach poboru energii stanowiących co najmniej 80 % łącznej liczby punktów poboru energii u odbiorców końcowych, w tym stanowiących co najmniej 80 % łącznej liczby punktów poboru energii u odbiorców końcowych w gospodarstwach domowych, posiadających układ pomiarowy bezpośredni, przyłączonych do sieci o napięciu znamionowym nie wyższym niż 1 kV, zgodnie z harmonogramem określonym w ust. 2.</w:t>
            </w:r>
          </w:p>
          <w:p w:rsidR="003B491A" w:rsidRPr="003B491A" w:rsidRDefault="003B491A" w:rsidP="003B491A">
            <w:pPr>
              <w:jc w:val="both"/>
              <w:rPr>
                <w:rFonts w:ascii="Times New Roman" w:hAnsi="Times New Roman" w:cs="Times New Roman"/>
                <w:i/>
                <w:sz w:val="24"/>
                <w:szCs w:val="24"/>
              </w:rPr>
            </w:pPr>
            <w:r w:rsidRPr="003B491A">
              <w:rPr>
                <w:rFonts w:ascii="Times New Roman" w:hAnsi="Times New Roman" w:cs="Times New Roman"/>
                <w:i/>
                <w:sz w:val="24"/>
                <w:szCs w:val="24"/>
              </w:rPr>
              <w:t>2. Instalacja liczników zdalnego odczytu odbędzie się do dnia:</w:t>
            </w:r>
          </w:p>
          <w:p w:rsidR="003B491A" w:rsidRPr="003B491A" w:rsidRDefault="003B491A" w:rsidP="003B491A">
            <w:pPr>
              <w:jc w:val="both"/>
              <w:rPr>
                <w:rFonts w:ascii="Times New Roman" w:hAnsi="Times New Roman" w:cs="Times New Roman"/>
                <w:i/>
                <w:sz w:val="24"/>
                <w:szCs w:val="24"/>
              </w:rPr>
            </w:pPr>
            <w:r w:rsidRPr="003B491A">
              <w:rPr>
                <w:rFonts w:ascii="Times New Roman" w:hAnsi="Times New Roman" w:cs="Times New Roman"/>
                <w:i/>
                <w:sz w:val="24"/>
                <w:szCs w:val="24"/>
              </w:rPr>
              <w:t>1) 31 grudnia 2023 r. − w punktach poboru energii stanowiących co najmniej 15%;</w:t>
            </w:r>
          </w:p>
          <w:p w:rsidR="003B491A" w:rsidRPr="003B491A" w:rsidRDefault="003B491A" w:rsidP="003B491A">
            <w:pPr>
              <w:jc w:val="both"/>
              <w:rPr>
                <w:rFonts w:ascii="Times New Roman" w:hAnsi="Times New Roman" w:cs="Times New Roman"/>
                <w:i/>
                <w:sz w:val="24"/>
                <w:szCs w:val="24"/>
              </w:rPr>
            </w:pPr>
            <w:r w:rsidRPr="003B491A">
              <w:rPr>
                <w:rFonts w:ascii="Times New Roman" w:hAnsi="Times New Roman" w:cs="Times New Roman"/>
                <w:i/>
                <w:sz w:val="24"/>
                <w:szCs w:val="24"/>
              </w:rPr>
              <w:t>2) 31 grudnia 2025 r. − w punktach poboru energii stanowiących co najmniej 35%;</w:t>
            </w:r>
          </w:p>
          <w:p w:rsidR="003B491A" w:rsidRPr="003B491A" w:rsidRDefault="003B491A" w:rsidP="003B491A">
            <w:pPr>
              <w:jc w:val="both"/>
              <w:rPr>
                <w:rFonts w:ascii="Times New Roman" w:hAnsi="Times New Roman" w:cs="Times New Roman"/>
                <w:i/>
                <w:sz w:val="24"/>
                <w:szCs w:val="24"/>
              </w:rPr>
            </w:pPr>
            <w:r w:rsidRPr="003B491A">
              <w:rPr>
                <w:rFonts w:ascii="Times New Roman" w:hAnsi="Times New Roman" w:cs="Times New Roman"/>
                <w:i/>
                <w:sz w:val="24"/>
                <w:szCs w:val="24"/>
              </w:rPr>
              <w:t>3) 31 grudnia 2027 r. − w punktach poboru energii stanowiących co najmniej 65%</w:t>
            </w:r>
          </w:p>
          <w:p w:rsidR="003B491A" w:rsidRPr="004537AF" w:rsidRDefault="003B491A" w:rsidP="003B491A">
            <w:pPr>
              <w:jc w:val="both"/>
              <w:rPr>
                <w:rFonts w:ascii="Times New Roman" w:hAnsi="Times New Roman" w:cs="Times New Roman"/>
                <w:b/>
                <w:sz w:val="24"/>
                <w:szCs w:val="24"/>
              </w:rPr>
            </w:pPr>
            <w:r w:rsidRPr="003B491A">
              <w:rPr>
                <w:rFonts w:ascii="Times New Roman" w:hAnsi="Times New Roman" w:cs="Times New Roman"/>
                <w:i/>
                <w:sz w:val="24"/>
                <w:szCs w:val="24"/>
              </w:rPr>
              <w:t>– łącznej liczby punktów poboru energii u odbiorców końcowych, o których mowa w ust. 1.</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37</w:t>
            </w:r>
          </w:p>
        </w:tc>
        <w:tc>
          <w:tcPr>
            <w:tcW w:w="1043" w:type="dxa"/>
          </w:tcPr>
          <w:p w:rsidR="00641F71" w:rsidRPr="00DB2B9B" w:rsidRDefault="006D0C4E" w:rsidP="00B06E69">
            <w:pPr>
              <w:jc w:val="both"/>
              <w:rPr>
                <w:rFonts w:ascii="Times New Roman" w:hAnsi="Times New Roman" w:cs="Times New Roman"/>
                <w:sz w:val="24"/>
                <w:szCs w:val="24"/>
              </w:rPr>
            </w:pPr>
            <w:r>
              <w:rPr>
                <w:rFonts w:ascii="Times New Roman" w:hAnsi="Times New Roman" w:cs="Times New Roman"/>
                <w:sz w:val="24"/>
                <w:szCs w:val="24"/>
              </w:rPr>
              <w:t>RCL</w:t>
            </w:r>
          </w:p>
        </w:tc>
        <w:tc>
          <w:tcPr>
            <w:tcW w:w="5977" w:type="dxa"/>
          </w:tcPr>
          <w:p w:rsidR="00641F71" w:rsidRPr="00DB2B9B"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W zakresie dodawanego art. 24b ustawy – Prawo energ</w:t>
            </w:r>
            <w:r>
              <w:rPr>
                <w:rFonts w:ascii="Times New Roman" w:hAnsi="Times New Roman" w:cs="Times New Roman"/>
                <w:sz w:val="24"/>
                <w:szCs w:val="24"/>
              </w:rPr>
              <w:t xml:space="preserve">etyczne (będącego implementacją </w:t>
            </w:r>
            <w:r w:rsidRPr="006D0C4E">
              <w:rPr>
                <w:rFonts w:ascii="Times New Roman" w:hAnsi="Times New Roman" w:cs="Times New Roman"/>
                <w:sz w:val="24"/>
                <w:szCs w:val="24"/>
              </w:rPr>
              <w:t>zdania trzeciego w art. 9 ust. 2 akapit 4 rozporz</w:t>
            </w:r>
            <w:r w:rsidR="00DD3190">
              <w:rPr>
                <w:rFonts w:ascii="Times New Roman" w:hAnsi="Times New Roman" w:cs="Times New Roman"/>
                <w:sz w:val="24"/>
                <w:szCs w:val="24"/>
              </w:rPr>
              <w:t xml:space="preserve">ądzenia Komisji (UE) 2015/1222) </w:t>
            </w:r>
            <w:r w:rsidRPr="006D0C4E">
              <w:rPr>
                <w:rFonts w:ascii="Times New Roman" w:hAnsi="Times New Roman" w:cs="Times New Roman"/>
                <w:sz w:val="24"/>
                <w:szCs w:val="24"/>
              </w:rPr>
              <w:t xml:space="preserve">zauważa się, że przepis ten wymaga doprecyzowania </w:t>
            </w:r>
            <w:r>
              <w:rPr>
                <w:rFonts w:ascii="Times New Roman" w:hAnsi="Times New Roman" w:cs="Times New Roman"/>
                <w:sz w:val="24"/>
                <w:szCs w:val="24"/>
              </w:rPr>
              <w:t xml:space="preserve">zgodnie z uwagą RCL podniesioną </w:t>
            </w:r>
            <w:r w:rsidRPr="006D0C4E">
              <w:rPr>
                <w:rFonts w:ascii="Times New Roman" w:hAnsi="Times New Roman" w:cs="Times New Roman"/>
                <w:sz w:val="24"/>
                <w:szCs w:val="24"/>
              </w:rPr>
              <w:t xml:space="preserve">w piśmie z dnia 22 listopada 2018 r. Przepis ten w </w:t>
            </w:r>
            <w:r>
              <w:rPr>
                <w:rFonts w:ascii="Times New Roman" w:hAnsi="Times New Roman" w:cs="Times New Roman"/>
                <w:sz w:val="24"/>
                <w:szCs w:val="24"/>
              </w:rPr>
              <w:t xml:space="preserve">zakresie w jakim określa sposób </w:t>
            </w:r>
            <w:r w:rsidRPr="006D0C4E">
              <w:rPr>
                <w:rFonts w:ascii="Times New Roman" w:hAnsi="Times New Roman" w:cs="Times New Roman"/>
                <w:sz w:val="24"/>
                <w:szCs w:val="24"/>
              </w:rPr>
              <w:t>ustalania wielkości głosu nominowanego operator</w:t>
            </w:r>
            <w:r>
              <w:rPr>
                <w:rFonts w:ascii="Times New Roman" w:hAnsi="Times New Roman" w:cs="Times New Roman"/>
                <w:sz w:val="24"/>
                <w:szCs w:val="24"/>
              </w:rPr>
              <w:t xml:space="preserve">a rynku energii (NEMO) powinien </w:t>
            </w:r>
            <w:r w:rsidRPr="006D0C4E">
              <w:rPr>
                <w:rFonts w:ascii="Times New Roman" w:hAnsi="Times New Roman" w:cs="Times New Roman"/>
                <w:sz w:val="24"/>
                <w:szCs w:val="24"/>
              </w:rPr>
              <w:t xml:space="preserve">odnosić się do przypadku wyznaczenia więcej niż </w:t>
            </w:r>
            <w:r>
              <w:rPr>
                <w:rFonts w:ascii="Times New Roman" w:hAnsi="Times New Roman" w:cs="Times New Roman"/>
                <w:sz w:val="24"/>
                <w:szCs w:val="24"/>
              </w:rPr>
              <w:t xml:space="preserve">jednego NEMO w Rzeczypospolitej </w:t>
            </w:r>
            <w:r w:rsidRPr="006D0C4E">
              <w:rPr>
                <w:rFonts w:ascii="Times New Roman" w:hAnsi="Times New Roman" w:cs="Times New Roman"/>
                <w:sz w:val="24"/>
                <w:szCs w:val="24"/>
              </w:rPr>
              <w:t>Polskiej, a także określać sposób obliczania przys</w:t>
            </w:r>
            <w:r>
              <w:rPr>
                <w:rFonts w:ascii="Times New Roman" w:hAnsi="Times New Roman" w:cs="Times New Roman"/>
                <w:sz w:val="24"/>
                <w:szCs w:val="24"/>
              </w:rPr>
              <w:t xml:space="preserve">ługującego mu głosu zależnie od </w:t>
            </w:r>
            <w:r w:rsidRPr="006D0C4E">
              <w:rPr>
                <w:rFonts w:ascii="Times New Roman" w:hAnsi="Times New Roman" w:cs="Times New Roman"/>
                <w:sz w:val="24"/>
                <w:szCs w:val="24"/>
              </w:rPr>
              <w:t>wielkości obrotu energią elektryczną dokonyw</w:t>
            </w:r>
            <w:r>
              <w:rPr>
                <w:rFonts w:ascii="Times New Roman" w:hAnsi="Times New Roman" w:cs="Times New Roman"/>
                <w:sz w:val="24"/>
                <w:szCs w:val="24"/>
              </w:rPr>
              <w:t xml:space="preserve">anego na terytorium RP względem </w:t>
            </w:r>
            <w:r w:rsidRPr="006D0C4E">
              <w:rPr>
                <w:rFonts w:ascii="Times New Roman" w:hAnsi="Times New Roman" w:cs="Times New Roman"/>
                <w:sz w:val="24"/>
                <w:szCs w:val="24"/>
              </w:rPr>
              <w:t>wielkości obrotu dokonywanego przez pozostałych N</w:t>
            </w:r>
            <w:r>
              <w:rPr>
                <w:rFonts w:ascii="Times New Roman" w:hAnsi="Times New Roman" w:cs="Times New Roman"/>
                <w:sz w:val="24"/>
                <w:szCs w:val="24"/>
              </w:rPr>
              <w:t xml:space="preserve">EMO, tak aby suma tak ustalonej </w:t>
            </w:r>
            <w:r w:rsidRPr="006D0C4E">
              <w:rPr>
                <w:rFonts w:ascii="Times New Roman" w:hAnsi="Times New Roman" w:cs="Times New Roman"/>
                <w:sz w:val="24"/>
                <w:szCs w:val="24"/>
              </w:rPr>
              <w:t>„wielkości” głosów przypadających wszystkim NEMO wy</w:t>
            </w:r>
            <w:r>
              <w:rPr>
                <w:rFonts w:ascii="Times New Roman" w:hAnsi="Times New Roman" w:cs="Times New Roman"/>
                <w:sz w:val="24"/>
                <w:szCs w:val="24"/>
              </w:rPr>
              <w:t xml:space="preserve">znaczonym na terytorium RP </w:t>
            </w:r>
            <w:r w:rsidRPr="006D0C4E">
              <w:rPr>
                <w:rFonts w:ascii="Times New Roman" w:hAnsi="Times New Roman" w:cs="Times New Roman"/>
                <w:sz w:val="24"/>
                <w:szCs w:val="24"/>
              </w:rPr>
              <w:t>wynosiła 1. Obecnie projektowany przepis odnosi</w:t>
            </w:r>
            <w:r>
              <w:rPr>
                <w:rFonts w:ascii="Times New Roman" w:hAnsi="Times New Roman" w:cs="Times New Roman"/>
                <w:sz w:val="24"/>
                <w:szCs w:val="24"/>
              </w:rPr>
              <w:t xml:space="preserve"> wielkość obrotu NEMO do obrotu </w:t>
            </w:r>
            <w:r w:rsidRPr="006D0C4E">
              <w:rPr>
                <w:rFonts w:ascii="Times New Roman" w:hAnsi="Times New Roman" w:cs="Times New Roman"/>
                <w:sz w:val="24"/>
                <w:szCs w:val="24"/>
              </w:rPr>
              <w:t>energią elektryczną w ogóle (a więc dokonywanego także przez podmioty, które nie</w:t>
            </w:r>
            <w:r>
              <w:rPr>
                <w:rFonts w:ascii="Times New Roman" w:hAnsi="Times New Roman" w:cs="Times New Roman"/>
                <w:sz w:val="24"/>
                <w:szCs w:val="24"/>
              </w:rPr>
              <w:t xml:space="preserve"> </w:t>
            </w:r>
            <w:r w:rsidRPr="006D0C4E">
              <w:rPr>
                <w:rFonts w:ascii="Times New Roman" w:hAnsi="Times New Roman" w:cs="Times New Roman"/>
                <w:sz w:val="24"/>
                <w:szCs w:val="24"/>
              </w:rPr>
              <w:t>uzyskały statusu NEMO), co powoduje, że art. 24b jest nie</w:t>
            </w:r>
            <w:r>
              <w:rPr>
                <w:rFonts w:ascii="Times New Roman" w:hAnsi="Times New Roman" w:cs="Times New Roman"/>
                <w:sz w:val="24"/>
                <w:szCs w:val="24"/>
              </w:rPr>
              <w:t xml:space="preserve">zgodny z art. 9 ust. 2 akapit 4 </w:t>
            </w:r>
            <w:r w:rsidRPr="006D0C4E">
              <w:rPr>
                <w:rFonts w:ascii="Times New Roman" w:hAnsi="Times New Roman" w:cs="Times New Roman"/>
                <w:sz w:val="24"/>
                <w:szCs w:val="24"/>
              </w:rPr>
              <w:t>zdanie pierwsze rozporządzenia Komisji (UE) 2015/</w:t>
            </w:r>
            <w:r>
              <w:rPr>
                <w:rFonts w:ascii="Times New Roman" w:hAnsi="Times New Roman" w:cs="Times New Roman"/>
                <w:sz w:val="24"/>
                <w:szCs w:val="24"/>
              </w:rPr>
              <w:t xml:space="preserve">1222 (który stanowi, że każdemu </w:t>
            </w:r>
            <w:r w:rsidRPr="006D0C4E">
              <w:rPr>
                <w:rFonts w:ascii="Times New Roman" w:hAnsi="Times New Roman" w:cs="Times New Roman"/>
                <w:sz w:val="24"/>
                <w:szCs w:val="24"/>
              </w:rPr>
              <w:t>państwu członkowskiemu przysługuje 1 głos).</w:t>
            </w:r>
          </w:p>
        </w:tc>
        <w:tc>
          <w:tcPr>
            <w:tcW w:w="6344" w:type="dxa"/>
          </w:tcPr>
          <w:p w:rsidR="009A1F9D" w:rsidRPr="009A1F9D" w:rsidRDefault="009A1F9D" w:rsidP="00B06E69">
            <w:pPr>
              <w:jc w:val="both"/>
              <w:rPr>
                <w:rFonts w:ascii="Times New Roman" w:hAnsi="Times New Roman" w:cs="Times New Roman"/>
                <w:b/>
                <w:sz w:val="24"/>
                <w:szCs w:val="24"/>
              </w:rPr>
            </w:pPr>
            <w:r w:rsidRPr="009A1F9D">
              <w:rPr>
                <w:rFonts w:ascii="Times New Roman" w:hAnsi="Times New Roman" w:cs="Times New Roman"/>
                <w:b/>
                <w:sz w:val="24"/>
                <w:szCs w:val="24"/>
              </w:rPr>
              <w:t>Uwaga jest o charakterze europejskim.</w:t>
            </w:r>
          </w:p>
          <w:p w:rsidR="00DD371F" w:rsidRDefault="00DD371F" w:rsidP="00B06E69">
            <w:pPr>
              <w:jc w:val="both"/>
              <w:rPr>
                <w:rFonts w:ascii="Times New Roman" w:hAnsi="Times New Roman" w:cs="Times New Roman"/>
                <w:sz w:val="24"/>
                <w:szCs w:val="24"/>
              </w:rPr>
            </w:pPr>
            <w:r w:rsidRPr="009A1F9D">
              <w:rPr>
                <w:rFonts w:ascii="Times New Roman" w:hAnsi="Times New Roman" w:cs="Times New Roman"/>
                <w:b/>
                <w:sz w:val="24"/>
                <w:szCs w:val="24"/>
              </w:rPr>
              <w:t>Uwaga uwzględniona.</w:t>
            </w:r>
            <w:r>
              <w:rPr>
                <w:rFonts w:ascii="Times New Roman" w:hAnsi="Times New Roman" w:cs="Times New Roman"/>
                <w:sz w:val="24"/>
                <w:szCs w:val="24"/>
              </w:rPr>
              <w:t xml:space="preserve"> Nadano nowe brzmienie projektowanemu art. 24b:</w:t>
            </w:r>
          </w:p>
          <w:p w:rsidR="00DD371F" w:rsidRPr="00095719" w:rsidRDefault="00DD371F" w:rsidP="00B06E69">
            <w:pPr>
              <w:jc w:val="both"/>
              <w:rPr>
                <w:rFonts w:ascii="Times New Roman" w:hAnsi="Times New Roman" w:cs="Times New Roman"/>
                <w:i/>
                <w:sz w:val="24"/>
                <w:szCs w:val="24"/>
              </w:rPr>
            </w:pPr>
            <w:r w:rsidRPr="00095719">
              <w:rPr>
                <w:rFonts w:ascii="Times New Roman" w:hAnsi="Times New Roman" w:cs="Times New Roman"/>
                <w:i/>
                <w:sz w:val="24"/>
                <w:szCs w:val="24"/>
              </w:rPr>
              <w:t>„Art. 24b. W sprawach, o których mowa w art. 9 ust. 6 rozporządzenia 2015/1222, wyznaczonemu operatorowi rynku energii elektrycznej przysługuje liczba głosów równa ułamkowi wyrażającemu udział obrotu energią elektryczną dokonanego przez tego operatora na terytorium Rzeczypospolitej Polskiej w ogólnej wielkości obrotu energią elektryczną na terytorium Rzeczypospolitej Polskiej przez wyznaczonych operatorów rynku energii elektrycznej w poprzednim roku budżetowym.”</w:t>
            </w:r>
            <w:r w:rsidR="00095719">
              <w:rPr>
                <w:rFonts w:ascii="Times New Roman" w:hAnsi="Times New Roman" w:cs="Times New Roman"/>
                <w:i/>
                <w:sz w:val="24"/>
                <w:szCs w:val="24"/>
              </w:rPr>
              <w:t>.</w:t>
            </w:r>
          </w:p>
          <w:p w:rsidR="00DD3190" w:rsidRDefault="00DD3190" w:rsidP="00B06E69">
            <w:pPr>
              <w:jc w:val="both"/>
              <w:rPr>
                <w:rFonts w:ascii="Times New Roman" w:hAnsi="Times New Roman" w:cs="Times New Roman"/>
                <w:sz w:val="24"/>
                <w:szCs w:val="24"/>
              </w:rPr>
            </w:pPr>
            <w:r>
              <w:rPr>
                <w:rFonts w:ascii="Times New Roman" w:hAnsi="Times New Roman" w:cs="Times New Roman"/>
                <w:sz w:val="24"/>
                <w:szCs w:val="24"/>
              </w:rPr>
              <w:t>P</w:t>
            </w:r>
            <w:r w:rsidR="00DD371F">
              <w:rPr>
                <w:rFonts w:ascii="Times New Roman" w:hAnsi="Times New Roman" w:cs="Times New Roman"/>
                <w:sz w:val="24"/>
                <w:szCs w:val="24"/>
              </w:rPr>
              <w:t>oprzednie brzmienie p</w:t>
            </w:r>
            <w:r>
              <w:rPr>
                <w:rFonts w:ascii="Times New Roman" w:hAnsi="Times New Roman" w:cs="Times New Roman"/>
                <w:sz w:val="24"/>
                <w:szCs w:val="24"/>
              </w:rPr>
              <w:t>rzepis</w:t>
            </w:r>
            <w:r w:rsidR="00DD371F">
              <w:rPr>
                <w:rFonts w:ascii="Times New Roman" w:hAnsi="Times New Roman" w:cs="Times New Roman"/>
                <w:sz w:val="24"/>
                <w:szCs w:val="24"/>
              </w:rPr>
              <w:t>u</w:t>
            </w:r>
            <w:r>
              <w:rPr>
                <w:rFonts w:ascii="Times New Roman" w:hAnsi="Times New Roman" w:cs="Times New Roman"/>
                <w:sz w:val="24"/>
                <w:szCs w:val="24"/>
              </w:rPr>
              <w:t xml:space="preserve"> przeredagowano w wyniku uwag zgłoszonych podczas uzgodnień międzyresortowych i ko</w:t>
            </w:r>
            <w:r w:rsidR="009D496D">
              <w:rPr>
                <w:rFonts w:ascii="Times New Roman" w:hAnsi="Times New Roman" w:cs="Times New Roman"/>
                <w:sz w:val="24"/>
                <w:szCs w:val="24"/>
              </w:rPr>
              <w:t>nsultacji społecznych. N</w:t>
            </w:r>
            <w:r w:rsidR="009E3A6A">
              <w:rPr>
                <w:rFonts w:ascii="Times New Roman" w:hAnsi="Times New Roman" w:cs="Times New Roman"/>
                <w:sz w:val="24"/>
                <w:szCs w:val="24"/>
              </w:rPr>
              <w:t>a marginesie należy zaznaczyć, że n</w:t>
            </w:r>
            <w:r w:rsidR="009D496D">
              <w:rPr>
                <w:rFonts w:ascii="Times New Roman" w:hAnsi="Times New Roman" w:cs="Times New Roman"/>
                <w:sz w:val="24"/>
                <w:szCs w:val="24"/>
              </w:rPr>
              <w:t xml:space="preserve">owe brzmienie stanowiło uwzględnienie uwagi Rady Legislacyjnej oraz Prezesa URE. RCL nie zaproponował konkretnej redakcji ww. przepisu. </w:t>
            </w:r>
          </w:p>
          <w:p w:rsidR="009D496D" w:rsidRPr="009D496D" w:rsidRDefault="009D496D" w:rsidP="00B06E69">
            <w:pPr>
              <w:jc w:val="both"/>
              <w:rPr>
                <w:rFonts w:ascii="Times New Roman" w:hAnsi="Times New Roman" w:cs="Times New Roman"/>
                <w:sz w:val="24"/>
                <w:szCs w:val="24"/>
              </w:rPr>
            </w:pPr>
            <w:r w:rsidRPr="009D496D">
              <w:rPr>
                <w:rFonts w:ascii="Times New Roman" w:hAnsi="Times New Roman" w:cs="Times New Roman"/>
                <w:sz w:val="24"/>
                <w:szCs w:val="24"/>
              </w:rPr>
              <w:t>Zgodnie z uwaga Rady Legislacyjnej:</w:t>
            </w:r>
          </w:p>
          <w:p w:rsidR="009D496D" w:rsidRPr="009D496D" w:rsidRDefault="009D496D" w:rsidP="009D496D">
            <w:pPr>
              <w:jc w:val="both"/>
              <w:rPr>
                <w:rFonts w:ascii="Times New Roman" w:hAnsi="Times New Roman" w:cs="Times New Roman"/>
                <w:sz w:val="18"/>
                <w:szCs w:val="18"/>
              </w:rPr>
            </w:pPr>
            <w:r w:rsidRPr="009D496D">
              <w:rPr>
                <w:rFonts w:ascii="Times New Roman" w:hAnsi="Times New Roman" w:cs="Times New Roman"/>
                <w:sz w:val="18"/>
                <w:szCs w:val="18"/>
              </w:rPr>
              <w:t>Projektowany art. 24b PrE w nieprawidłowy sposób wykonuje art. 9 ust. 2 akapit 4 rozporządzenia (UE) 2015/1222. Art. 24b PrE w brzmieniu przewidzianym w Projekcie stanowi, że „W sprawach, o których mowa w art. 9 ust. 6 rozporządzenia 2015/1222, nominowanemu operatorowi rynku energii elektrycznej przysługuje liczba głosów równa iloczynowi liczby państw członkowskich Unii Europejskiej, w których jest wyznaczony oraz wielkości obrotu energią elektryczną na terytorium Rzeczypospolitej Polskiej w poprzednim roku kalendarzowym”. Powołany przepis jest przejawem błędnego zrozumienia tego, co w sprawach, o których mowa w art. 9 ust. 6 rozporządzenia (UE) 2015/1222 zostało jednolicie unormowane w samym tym rozporządzeniu oraz tego, co każde państwo członkowskie powinno unormować w swoim prawie krajowym (lub w ramach swojej ustalonej praktyki działania). Otóż z art. 9 ust. 2 akapit 4 rozporządzenia (UE) 2015/1222 wynika, że w przypadku decyzji podejmowanych przez NEMO na podstawie art. 9 ust. 6 rozporządzenia (UE) 2015/1222 każdemu państwu członkowskiemu UE przysługuje jeden głos, a ponadto każdemu NEMO przysługuje liczba głosów równa liczbie państw członkowskich, w których ten NEMO jest wyznaczony (bo jeden i ten sam NEMO może uzyskać ów status w więcej niż jednym państwie członkowskim), zaś kwestia, którą państwa członkowskie powinny określić w swoim prawie (lub w ramach swojej praktyki) sprowadza się do rozdzielenia prawa do głosowania w ramach tego jednego głosu, który przysługuje każdemu państwu członkowskiemu . Mianowicie, zgodnie z art. 9 ust. 2 akapit 4 rozporządzenia (UE) 2015/1222: „W przypadku wyznaczenia na terytorium danego państwa członkowskiego więcej niż jednego NEMO państwo członkowskie rozdziela uprawnienia do głosowania wśród NEMO, uwzględniając wielkość obrotu energią elektryczną w tym państwie członkowskim w poprzednim roku budżetowym.”. Zgodnie z powołanym przepisem rozporządzenia (UE) 2015/1222, w sprawach określonych w art. 9 ust. 6 rozporządzenia (UE) 2015/1222 każdy NEMO posiada liczbę głosów równą liczbie państw członkowskich, w których jest wyznaczony, z tym wszakże zastrzeżeniem, że jeżeli w danym państwie członkowskim został wyznaczony więcej niż jeden NEMO, to wówczas jeden głos przysługujący każdemu państwu członkowskiemu powinien zostać rozdzielony pomiędzy poszczególne NEMO stosownie do udziału wielkości obrotu energią elektryczną, jaki każdy z tych NEMO osiągnął w ogólnym obrocie energią elektryczną w tym państwie członkowskim w poprzednim roku budżetowym (zob. przez analogię art. 9 ust. 2 akapit 3 rozporządzenia (UE) 2015/1222).</w:t>
            </w:r>
          </w:p>
          <w:p w:rsidR="009D496D" w:rsidRDefault="009D496D" w:rsidP="009D496D">
            <w:pPr>
              <w:jc w:val="both"/>
              <w:rPr>
                <w:rFonts w:ascii="Times New Roman" w:hAnsi="Times New Roman" w:cs="Times New Roman"/>
                <w:sz w:val="18"/>
                <w:szCs w:val="18"/>
              </w:rPr>
            </w:pPr>
            <w:r w:rsidRPr="009D496D">
              <w:rPr>
                <w:rFonts w:ascii="Times New Roman" w:hAnsi="Times New Roman" w:cs="Times New Roman"/>
                <w:sz w:val="18"/>
                <w:szCs w:val="18"/>
              </w:rPr>
              <w:t>Dlatego też de lege ferenda projektowany przepis art. 24b PrE powinien otrzymać następujące brzmienie: „W sprawach, o których mowa w art. 9 ust. 6 rozporządzenia 2015/1222, nominowanemu operatorowi rynku energii elektrycznej przysługuje liczba głosów równa ułamkowi wyrażającemu udział obrotu energią elektryczną dokonanego przez tego operatora na terytorium Rzeczypospolitej Polskiej w ogólnej wielkości obrotu energią elektryczną na terytorium Rzeczypospolitej Polskiej w poprzednim roku kalendarzowym.”.</w:t>
            </w:r>
          </w:p>
          <w:p w:rsidR="009D496D" w:rsidRPr="009D496D" w:rsidRDefault="009D496D" w:rsidP="009D496D">
            <w:pPr>
              <w:jc w:val="both"/>
              <w:rPr>
                <w:rFonts w:ascii="Times New Roman" w:hAnsi="Times New Roman" w:cs="Times New Roman"/>
                <w:sz w:val="24"/>
                <w:szCs w:val="24"/>
              </w:rPr>
            </w:pPr>
            <w:r w:rsidRPr="009D496D">
              <w:rPr>
                <w:rFonts w:ascii="Times New Roman" w:hAnsi="Times New Roman" w:cs="Times New Roman"/>
                <w:sz w:val="24"/>
                <w:szCs w:val="24"/>
              </w:rPr>
              <w:t>Zgodnie z uwaga Prezesa URE:</w:t>
            </w:r>
          </w:p>
          <w:p w:rsidR="009D496D" w:rsidRPr="009D496D" w:rsidRDefault="009D496D" w:rsidP="009D496D">
            <w:pPr>
              <w:jc w:val="both"/>
              <w:rPr>
                <w:rFonts w:ascii="Times New Roman" w:hAnsi="Times New Roman" w:cs="Times New Roman"/>
                <w:sz w:val="18"/>
                <w:szCs w:val="18"/>
              </w:rPr>
            </w:pPr>
            <w:r w:rsidRPr="009D496D">
              <w:rPr>
                <w:rFonts w:ascii="Times New Roman" w:hAnsi="Times New Roman" w:cs="Times New Roman"/>
                <w:sz w:val="18"/>
                <w:szCs w:val="18"/>
              </w:rPr>
              <w:t xml:space="preserve">Projektowany przepis w nieuzasadniony sposób dyskryminuje NEMO wyznaczonego jedynie w Polsce. Klucz podziału głosów powinien odnosić się do wielkości obrotu dokonanego poprzez danego NEMO w Polsce w poprzednim roku kalendarzowym w ramach jednolitego łączenia rynków dnia następnego i dnia bieżącego (w przypadku gdy wolumeny obrotu wynoszą 0 głosy zostałyby podzielone równo pomiędzy wszystkich NEMO w Polsce). </w:t>
            </w:r>
          </w:p>
          <w:p w:rsidR="009D496D" w:rsidRPr="00DB2B9B" w:rsidRDefault="009D496D" w:rsidP="009D496D">
            <w:pPr>
              <w:jc w:val="both"/>
              <w:rPr>
                <w:rFonts w:ascii="Times New Roman" w:hAnsi="Times New Roman" w:cs="Times New Roman"/>
                <w:sz w:val="24"/>
                <w:szCs w:val="24"/>
              </w:rPr>
            </w:pPr>
            <w:r w:rsidRPr="009D496D">
              <w:rPr>
                <w:rFonts w:ascii="Times New Roman" w:hAnsi="Times New Roman" w:cs="Times New Roman"/>
                <w:sz w:val="18"/>
                <w:szCs w:val="18"/>
              </w:rPr>
              <w:t>Należy także zwrócić uwagę, że rozporządzenie 2015/1222 w kontekście rozdziału uprawnień do głosowania wśród NEMO posługuje się pojęciem „rok budżetowy”, nie „rok kalendarzowy</w:t>
            </w:r>
            <w:r>
              <w:rPr>
                <w:rFonts w:ascii="Times New Roman" w:hAnsi="Times New Roman" w:cs="Times New Roman"/>
                <w:sz w:val="18"/>
                <w:szCs w:val="18"/>
              </w:rPr>
              <w:t>”.</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38</w:t>
            </w:r>
          </w:p>
        </w:tc>
        <w:tc>
          <w:tcPr>
            <w:tcW w:w="1043" w:type="dxa"/>
          </w:tcPr>
          <w:p w:rsidR="00641F71" w:rsidRPr="00DB2B9B" w:rsidRDefault="006D0C4E" w:rsidP="00B06E69">
            <w:pPr>
              <w:jc w:val="both"/>
              <w:rPr>
                <w:rFonts w:ascii="Times New Roman" w:hAnsi="Times New Roman" w:cs="Times New Roman"/>
                <w:sz w:val="24"/>
                <w:szCs w:val="24"/>
              </w:rPr>
            </w:pPr>
            <w:r>
              <w:rPr>
                <w:rFonts w:ascii="Times New Roman" w:hAnsi="Times New Roman" w:cs="Times New Roman"/>
                <w:sz w:val="24"/>
                <w:szCs w:val="24"/>
              </w:rPr>
              <w:t>RCL</w:t>
            </w:r>
          </w:p>
        </w:tc>
        <w:tc>
          <w:tcPr>
            <w:tcW w:w="5977" w:type="dxa"/>
          </w:tcPr>
          <w:p w:rsidR="00641F71" w:rsidRPr="00DB2B9B"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W poprzedniej wersji projektu będącej przedmiotem rozp</w:t>
            </w:r>
            <w:r>
              <w:rPr>
                <w:rFonts w:ascii="Times New Roman" w:hAnsi="Times New Roman" w:cs="Times New Roman"/>
                <w:sz w:val="24"/>
                <w:szCs w:val="24"/>
              </w:rPr>
              <w:t xml:space="preserve">atrzenia przez Komitet do Spraw </w:t>
            </w:r>
            <w:r w:rsidRPr="006D0C4E">
              <w:rPr>
                <w:rFonts w:ascii="Times New Roman" w:hAnsi="Times New Roman" w:cs="Times New Roman"/>
                <w:sz w:val="24"/>
                <w:szCs w:val="24"/>
              </w:rPr>
              <w:t>Europejskich projektodawca wskazywał, że projekt wd</w:t>
            </w:r>
            <w:r>
              <w:rPr>
                <w:rFonts w:ascii="Times New Roman" w:hAnsi="Times New Roman" w:cs="Times New Roman"/>
                <w:sz w:val="24"/>
                <w:szCs w:val="24"/>
              </w:rPr>
              <w:t xml:space="preserve">raża także dyrektywę Parlamentu </w:t>
            </w:r>
            <w:r w:rsidRPr="006D0C4E">
              <w:rPr>
                <w:rFonts w:ascii="Times New Roman" w:hAnsi="Times New Roman" w:cs="Times New Roman"/>
                <w:sz w:val="24"/>
                <w:szCs w:val="24"/>
              </w:rPr>
              <w:t>Europejskiego i Rady 2012/27/UE z dnia 25 października</w:t>
            </w:r>
            <w:r>
              <w:rPr>
                <w:rFonts w:ascii="Times New Roman" w:hAnsi="Times New Roman" w:cs="Times New Roman"/>
                <w:sz w:val="24"/>
                <w:szCs w:val="24"/>
              </w:rPr>
              <w:t xml:space="preserve"> 2012 r. w sprawie efektywności </w:t>
            </w:r>
            <w:r w:rsidRPr="006D0C4E">
              <w:rPr>
                <w:rFonts w:ascii="Times New Roman" w:hAnsi="Times New Roman" w:cs="Times New Roman"/>
                <w:sz w:val="24"/>
                <w:szCs w:val="24"/>
              </w:rPr>
              <w:t>energetycznej, zmiany dyrektyw 2009/125/WE i 201</w:t>
            </w:r>
            <w:r>
              <w:rPr>
                <w:rFonts w:ascii="Times New Roman" w:hAnsi="Times New Roman" w:cs="Times New Roman"/>
                <w:sz w:val="24"/>
                <w:szCs w:val="24"/>
              </w:rPr>
              <w:t xml:space="preserve">0/30/UE oraz uchylenia dyrektyw </w:t>
            </w:r>
            <w:r w:rsidRPr="006D0C4E">
              <w:rPr>
                <w:rFonts w:ascii="Times New Roman" w:hAnsi="Times New Roman" w:cs="Times New Roman"/>
                <w:sz w:val="24"/>
                <w:szCs w:val="24"/>
              </w:rPr>
              <w:t>2004/8/WE i 2006/32/WE. Do obecnej wersji projektu ni</w:t>
            </w:r>
            <w:r>
              <w:rPr>
                <w:rFonts w:ascii="Times New Roman" w:hAnsi="Times New Roman" w:cs="Times New Roman"/>
                <w:sz w:val="24"/>
                <w:szCs w:val="24"/>
              </w:rPr>
              <w:t xml:space="preserve">e dołączono tabeli zgodności </w:t>
            </w:r>
            <w:r w:rsidRPr="006D0C4E">
              <w:rPr>
                <w:rFonts w:ascii="Times New Roman" w:hAnsi="Times New Roman" w:cs="Times New Roman"/>
                <w:sz w:val="24"/>
                <w:szCs w:val="24"/>
              </w:rPr>
              <w:t>dotyczącej tej dyrektywy, choć – jak się wydaje – nowel</w:t>
            </w:r>
            <w:r>
              <w:rPr>
                <w:rFonts w:ascii="Times New Roman" w:hAnsi="Times New Roman" w:cs="Times New Roman"/>
                <w:sz w:val="24"/>
                <w:szCs w:val="24"/>
              </w:rPr>
              <w:t xml:space="preserve">izowany art. 5 ust. 6c ustawy – </w:t>
            </w:r>
            <w:r w:rsidRPr="006D0C4E">
              <w:rPr>
                <w:rFonts w:ascii="Times New Roman" w:hAnsi="Times New Roman" w:cs="Times New Roman"/>
                <w:sz w:val="24"/>
                <w:szCs w:val="24"/>
              </w:rPr>
              <w:t>Prawo energetyczne wdraża art. 10 ust. 3 lit. c i załącznik VII pkt 1.3. ww. dyrektywy.</w:t>
            </w:r>
          </w:p>
        </w:tc>
        <w:tc>
          <w:tcPr>
            <w:tcW w:w="6344" w:type="dxa"/>
          </w:tcPr>
          <w:p w:rsidR="009A1F9D" w:rsidRPr="009A1F9D" w:rsidRDefault="009A1F9D" w:rsidP="00B06E69">
            <w:pPr>
              <w:jc w:val="both"/>
              <w:rPr>
                <w:rFonts w:ascii="Times New Roman" w:hAnsi="Times New Roman" w:cs="Times New Roman"/>
                <w:b/>
                <w:sz w:val="24"/>
                <w:szCs w:val="24"/>
              </w:rPr>
            </w:pPr>
            <w:r w:rsidRPr="009A1F9D">
              <w:rPr>
                <w:rFonts w:ascii="Times New Roman" w:hAnsi="Times New Roman" w:cs="Times New Roman"/>
                <w:b/>
                <w:sz w:val="24"/>
                <w:szCs w:val="24"/>
              </w:rPr>
              <w:t>Uwaga jest o charakterze europejskim.</w:t>
            </w:r>
          </w:p>
          <w:p w:rsidR="00641F71" w:rsidRDefault="00DD3190" w:rsidP="00B06E69">
            <w:pPr>
              <w:jc w:val="both"/>
              <w:rPr>
                <w:rFonts w:ascii="Times New Roman" w:hAnsi="Times New Roman" w:cs="Times New Roman"/>
                <w:sz w:val="24"/>
                <w:szCs w:val="24"/>
              </w:rPr>
            </w:pPr>
            <w:r w:rsidRPr="009A1F9D">
              <w:rPr>
                <w:rFonts w:ascii="Times New Roman" w:hAnsi="Times New Roman" w:cs="Times New Roman"/>
                <w:b/>
                <w:sz w:val="24"/>
                <w:szCs w:val="24"/>
              </w:rPr>
              <w:t xml:space="preserve">Uwaga została </w:t>
            </w:r>
            <w:r w:rsidR="009A1F9D">
              <w:rPr>
                <w:rFonts w:ascii="Times New Roman" w:hAnsi="Times New Roman" w:cs="Times New Roman"/>
                <w:b/>
                <w:sz w:val="24"/>
                <w:szCs w:val="24"/>
              </w:rPr>
              <w:t xml:space="preserve">wyjaśniona i </w:t>
            </w:r>
            <w:r w:rsidR="000D7F3E" w:rsidRPr="009A1F9D">
              <w:rPr>
                <w:rFonts w:ascii="Times New Roman" w:hAnsi="Times New Roman" w:cs="Times New Roman"/>
                <w:b/>
                <w:sz w:val="24"/>
                <w:szCs w:val="24"/>
              </w:rPr>
              <w:t>uwzględniona</w:t>
            </w:r>
            <w:r w:rsidR="000D7F3E">
              <w:rPr>
                <w:rFonts w:ascii="Times New Roman" w:hAnsi="Times New Roman" w:cs="Times New Roman"/>
                <w:sz w:val="24"/>
                <w:szCs w:val="24"/>
              </w:rPr>
              <w:t xml:space="preserve"> poprzez usunięcie nowelizacji art. 5 ust. 6c. Ponadto, uwaga została </w:t>
            </w:r>
            <w:r>
              <w:rPr>
                <w:rFonts w:ascii="Times New Roman" w:hAnsi="Times New Roman" w:cs="Times New Roman"/>
                <w:sz w:val="24"/>
                <w:szCs w:val="24"/>
              </w:rPr>
              <w:t>już w</w:t>
            </w:r>
            <w:r w:rsidR="00485AD0">
              <w:rPr>
                <w:rFonts w:ascii="Times New Roman" w:hAnsi="Times New Roman" w:cs="Times New Roman"/>
                <w:sz w:val="24"/>
                <w:szCs w:val="24"/>
              </w:rPr>
              <w:t>yjaśniona w ramach ustaleń z Przedstawicielem Ministra ds. UE</w:t>
            </w:r>
            <w:r>
              <w:rPr>
                <w:rFonts w:ascii="Times New Roman" w:hAnsi="Times New Roman" w:cs="Times New Roman"/>
                <w:sz w:val="24"/>
                <w:szCs w:val="24"/>
              </w:rPr>
              <w:t xml:space="preserve">, który podnosił wątpliwość co do wdrażania przez projekt ustawy dyrektywy </w:t>
            </w:r>
            <w:r w:rsidRPr="00DD3190">
              <w:rPr>
                <w:rFonts w:ascii="Times New Roman" w:hAnsi="Times New Roman" w:cs="Times New Roman"/>
                <w:sz w:val="24"/>
                <w:szCs w:val="24"/>
              </w:rPr>
              <w:t>Parlamentu Europejskiego i Rady 2012/27/UE z dnia 25 października 2012 r. w sprawie efektywności energetycznej, zmiany dyrektyw 2009/125/WE i 2010/30/UE oraz uchylenia dyrektyw 2004/8/WE i 2006/32/WE</w:t>
            </w:r>
            <w:r>
              <w:rPr>
                <w:rFonts w:ascii="Times New Roman" w:hAnsi="Times New Roman" w:cs="Times New Roman"/>
                <w:sz w:val="24"/>
                <w:szCs w:val="24"/>
              </w:rPr>
              <w:t>.</w:t>
            </w:r>
            <w:r w:rsidR="00485AD0">
              <w:rPr>
                <w:rFonts w:ascii="Times New Roman" w:hAnsi="Times New Roman" w:cs="Times New Roman"/>
                <w:sz w:val="24"/>
                <w:szCs w:val="24"/>
              </w:rPr>
              <w:t xml:space="preserve"> W związku z ustaleniami z Przedstawicielem Ministra ds. UE</w:t>
            </w:r>
            <w:r w:rsidR="00222E24">
              <w:rPr>
                <w:rFonts w:ascii="Times New Roman" w:hAnsi="Times New Roman" w:cs="Times New Roman"/>
                <w:sz w:val="24"/>
                <w:szCs w:val="24"/>
              </w:rPr>
              <w:t xml:space="preserve"> zdecydowano się na usunięcie odniesienia do ww. dyrektywy.</w:t>
            </w:r>
          </w:p>
          <w:p w:rsidR="000D7F3E" w:rsidRPr="00DB2B9B" w:rsidRDefault="000D7F3E" w:rsidP="00B06E69">
            <w:pPr>
              <w:jc w:val="both"/>
              <w:rPr>
                <w:rFonts w:ascii="Times New Roman" w:hAnsi="Times New Roman" w:cs="Times New Roman"/>
                <w:sz w:val="24"/>
                <w:szCs w:val="24"/>
              </w:rPr>
            </w:pP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39</w:t>
            </w:r>
          </w:p>
        </w:tc>
        <w:tc>
          <w:tcPr>
            <w:tcW w:w="1043" w:type="dxa"/>
          </w:tcPr>
          <w:p w:rsidR="00641F71" w:rsidRPr="00DB2B9B" w:rsidRDefault="006D0C4E" w:rsidP="00B06E69">
            <w:pPr>
              <w:jc w:val="both"/>
              <w:rPr>
                <w:rFonts w:ascii="Times New Roman" w:hAnsi="Times New Roman" w:cs="Times New Roman"/>
                <w:sz w:val="24"/>
                <w:szCs w:val="24"/>
              </w:rPr>
            </w:pPr>
            <w:r>
              <w:rPr>
                <w:rFonts w:ascii="Times New Roman" w:hAnsi="Times New Roman" w:cs="Times New Roman"/>
                <w:sz w:val="24"/>
                <w:szCs w:val="24"/>
              </w:rPr>
              <w:t>RCL</w:t>
            </w:r>
          </w:p>
        </w:tc>
        <w:tc>
          <w:tcPr>
            <w:tcW w:w="5977" w:type="dxa"/>
          </w:tcPr>
          <w:p w:rsidR="00641F71" w:rsidRPr="00DB2B9B"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Należy zauważyć, że zbędna jest zmiana zawarta w art. 8</w:t>
            </w:r>
            <w:r>
              <w:rPr>
                <w:rFonts w:ascii="Times New Roman" w:hAnsi="Times New Roman" w:cs="Times New Roman"/>
                <w:sz w:val="24"/>
                <w:szCs w:val="24"/>
              </w:rPr>
              <w:t xml:space="preserve"> projektu ustawy, bowiem zmiana </w:t>
            </w:r>
            <w:r w:rsidRPr="006D0C4E">
              <w:rPr>
                <w:rFonts w:ascii="Times New Roman" w:hAnsi="Times New Roman" w:cs="Times New Roman"/>
                <w:sz w:val="24"/>
                <w:szCs w:val="24"/>
              </w:rPr>
              <w:t xml:space="preserve">ta jest już zawarta w art. 42 pkt 1 ustawy z dnia 14 </w:t>
            </w:r>
            <w:r>
              <w:rPr>
                <w:rFonts w:ascii="Times New Roman" w:hAnsi="Times New Roman" w:cs="Times New Roman"/>
                <w:sz w:val="24"/>
                <w:szCs w:val="24"/>
              </w:rPr>
              <w:t xml:space="preserve">maja 2020 r. zmianie niektórych </w:t>
            </w:r>
            <w:r w:rsidRPr="006D0C4E">
              <w:rPr>
                <w:rFonts w:ascii="Times New Roman" w:hAnsi="Times New Roman" w:cs="Times New Roman"/>
                <w:sz w:val="24"/>
                <w:szCs w:val="24"/>
              </w:rPr>
              <w:t>ustaw w zakresie działań osłonowych w związku z rozprzes</w:t>
            </w:r>
            <w:r>
              <w:rPr>
                <w:rFonts w:ascii="Times New Roman" w:hAnsi="Times New Roman" w:cs="Times New Roman"/>
                <w:sz w:val="24"/>
                <w:szCs w:val="24"/>
              </w:rPr>
              <w:t>trzenianiem się wirusa SARSCoV-</w:t>
            </w:r>
            <w:r w:rsidRPr="006D0C4E">
              <w:rPr>
                <w:rFonts w:ascii="Times New Roman" w:hAnsi="Times New Roman" w:cs="Times New Roman"/>
                <w:sz w:val="24"/>
                <w:szCs w:val="24"/>
              </w:rPr>
              <w:t>2 (Dz. U. poz. 875).</w:t>
            </w:r>
          </w:p>
        </w:tc>
        <w:tc>
          <w:tcPr>
            <w:tcW w:w="6344" w:type="dxa"/>
          </w:tcPr>
          <w:p w:rsidR="009A1F9D" w:rsidRPr="009A1F9D" w:rsidRDefault="009A1F9D" w:rsidP="00B06E69">
            <w:pPr>
              <w:jc w:val="both"/>
              <w:rPr>
                <w:rFonts w:ascii="Times New Roman" w:hAnsi="Times New Roman" w:cs="Times New Roman"/>
                <w:b/>
                <w:sz w:val="24"/>
                <w:szCs w:val="24"/>
              </w:rPr>
            </w:pPr>
            <w:r w:rsidRPr="009A1F9D">
              <w:rPr>
                <w:rFonts w:ascii="Times New Roman" w:hAnsi="Times New Roman" w:cs="Times New Roman"/>
                <w:b/>
                <w:sz w:val="24"/>
                <w:szCs w:val="24"/>
              </w:rPr>
              <w:t>Uwaga jest o charakterze legislacyjnym i nieeuropejskim.</w:t>
            </w:r>
          </w:p>
          <w:p w:rsidR="00641F71" w:rsidRPr="00DB2B9B" w:rsidRDefault="000D7F3E" w:rsidP="00B06E69">
            <w:pPr>
              <w:jc w:val="both"/>
              <w:rPr>
                <w:rFonts w:ascii="Times New Roman" w:hAnsi="Times New Roman" w:cs="Times New Roman"/>
                <w:sz w:val="24"/>
                <w:szCs w:val="24"/>
              </w:rPr>
            </w:pPr>
            <w:r w:rsidRPr="009A1F9D">
              <w:rPr>
                <w:rFonts w:ascii="Times New Roman" w:hAnsi="Times New Roman" w:cs="Times New Roman"/>
                <w:b/>
                <w:sz w:val="24"/>
                <w:szCs w:val="24"/>
              </w:rPr>
              <w:t>Uwaga została uwzględniona</w:t>
            </w:r>
            <w:r>
              <w:rPr>
                <w:rFonts w:ascii="Times New Roman" w:hAnsi="Times New Roman" w:cs="Times New Roman"/>
                <w:sz w:val="24"/>
                <w:szCs w:val="24"/>
              </w:rPr>
              <w:t xml:space="preserve"> poprzez zrezygnowanie ze zmiany zawartej w art. 8.</w:t>
            </w:r>
          </w:p>
        </w:tc>
      </w:tr>
      <w:tr w:rsidR="00641F71" w:rsidRPr="00DB2B9B" w:rsidTr="003321EA">
        <w:tc>
          <w:tcPr>
            <w:tcW w:w="630" w:type="dxa"/>
          </w:tcPr>
          <w:p w:rsidR="00641F71" w:rsidRPr="00DB2B9B" w:rsidRDefault="004B1D44" w:rsidP="00B06E69">
            <w:pPr>
              <w:jc w:val="both"/>
              <w:rPr>
                <w:rFonts w:ascii="Times New Roman" w:hAnsi="Times New Roman" w:cs="Times New Roman"/>
                <w:sz w:val="24"/>
                <w:szCs w:val="24"/>
              </w:rPr>
            </w:pPr>
            <w:r>
              <w:rPr>
                <w:rFonts w:ascii="Times New Roman" w:hAnsi="Times New Roman" w:cs="Times New Roman"/>
                <w:sz w:val="24"/>
                <w:szCs w:val="24"/>
              </w:rPr>
              <w:t>40</w:t>
            </w:r>
          </w:p>
        </w:tc>
        <w:tc>
          <w:tcPr>
            <w:tcW w:w="1043" w:type="dxa"/>
          </w:tcPr>
          <w:p w:rsidR="00641F71" w:rsidRPr="00DB2B9B" w:rsidRDefault="006D0C4E" w:rsidP="00B06E69">
            <w:pPr>
              <w:jc w:val="both"/>
              <w:rPr>
                <w:rFonts w:ascii="Times New Roman" w:hAnsi="Times New Roman" w:cs="Times New Roman"/>
                <w:sz w:val="24"/>
                <w:szCs w:val="24"/>
              </w:rPr>
            </w:pPr>
            <w:r>
              <w:rPr>
                <w:rFonts w:ascii="Times New Roman" w:hAnsi="Times New Roman" w:cs="Times New Roman"/>
                <w:sz w:val="24"/>
                <w:szCs w:val="24"/>
              </w:rPr>
              <w:t>MS</w:t>
            </w:r>
          </w:p>
        </w:tc>
        <w:tc>
          <w:tcPr>
            <w:tcW w:w="5977" w:type="dxa"/>
          </w:tcPr>
          <w:p w:rsidR="006D0C4E" w:rsidRPr="006D0C4E"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W ocenie MS, nie jest możliwa pełna analiza projektu ustawy z uwagi na brak szczegółowego odniesienia się do wszystkich projektowanych rozwiązań w uzasadnieniu projektu. Zastrzeżenie budzi przede wszystkim projektowany art. 57g ust. 1 ustawy z dnia 10 kwietnia 1997 r. – Prawo energetyczne, w którym to przepisie został rozszerzony zakres penalizacji za prowadzenie przez podmioty działalności gospodarczej bez posiadania wymaganej koncesji m. in. w zakresie skraplania i regazyfikacji skroplonego gazu zi</w:t>
            </w:r>
            <w:r>
              <w:rPr>
                <w:rFonts w:ascii="Times New Roman" w:hAnsi="Times New Roman" w:cs="Times New Roman"/>
                <w:sz w:val="24"/>
                <w:szCs w:val="24"/>
              </w:rPr>
              <w:t>emnego, a także obrotu energią.</w:t>
            </w:r>
          </w:p>
          <w:p w:rsidR="00641F71" w:rsidRPr="00DB2B9B" w:rsidRDefault="006D0C4E" w:rsidP="006D0C4E">
            <w:pPr>
              <w:jc w:val="both"/>
              <w:rPr>
                <w:rFonts w:ascii="Times New Roman" w:hAnsi="Times New Roman" w:cs="Times New Roman"/>
                <w:sz w:val="24"/>
                <w:szCs w:val="24"/>
              </w:rPr>
            </w:pPr>
            <w:r w:rsidRPr="006D0C4E">
              <w:rPr>
                <w:rFonts w:ascii="Times New Roman" w:hAnsi="Times New Roman" w:cs="Times New Roman"/>
                <w:sz w:val="24"/>
                <w:szCs w:val="24"/>
              </w:rPr>
              <w:t>Ponadto w obecnie obowiązującym art. 57g ustawy penalizowany jest „ obrót paliwami ciekłymi” bez posiadania koncesji, zaś w obecnej wersji projektu użyto szerszego pojęcia, tj. „obrotu paliwami” czyli paliwami stałymi, gazowymi i ciekłymi. Powyższe kwestie wymagają przedstawienia szczegółowego uzasadnienia celem umożliwienia oceny projektowanych rozwiązań.</w:t>
            </w:r>
          </w:p>
        </w:tc>
        <w:tc>
          <w:tcPr>
            <w:tcW w:w="6344" w:type="dxa"/>
          </w:tcPr>
          <w:p w:rsidR="009A1F9D" w:rsidRPr="009A1F9D" w:rsidRDefault="009A1F9D" w:rsidP="00B06E69">
            <w:pPr>
              <w:jc w:val="both"/>
              <w:rPr>
                <w:rFonts w:ascii="Times New Roman" w:hAnsi="Times New Roman" w:cs="Times New Roman"/>
                <w:b/>
                <w:sz w:val="24"/>
                <w:szCs w:val="24"/>
              </w:rPr>
            </w:pPr>
            <w:r w:rsidRPr="009A1F9D">
              <w:rPr>
                <w:rFonts w:ascii="Times New Roman" w:hAnsi="Times New Roman" w:cs="Times New Roman"/>
                <w:b/>
                <w:sz w:val="24"/>
                <w:szCs w:val="24"/>
              </w:rPr>
              <w:t>Uwaga jest o charakterze legislacyjnym i nieeuropejskim.</w:t>
            </w:r>
          </w:p>
          <w:p w:rsidR="00641F71" w:rsidRDefault="00567757" w:rsidP="00B06E69">
            <w:pPr>
              <w:jc w:val="both"/>
              <w:rPr>
                <w:rFonts w:ascii="Times New Roman" w:hAnsi="Times New Roman" w:cs="Times New Roman"/>
                <w:sz w:val="24"/>
                <w:szCs w:val="24"/>
              </w:rPr>
            </w:pPr>
            <w:r w:rsidRPr="009A1F9D">
              <w:rPr>
                <w:rFonts w:ascii="Times New Roman" w:hAnsi="Times New Roman" w:cs="Times New Roman"/>
                <w:b/>
                <w:sz w:val="24"/>
                <w:szCs w:val="24"/>
              </w:rPr>
              <w:t>Uwaga została uwz</w:t>
            </w:r>
            <w:r w:rsidR="000D7F3E" w:rsidRPr="009A1F9D">
              <w:rPr>
                <w:rFonts w:ascii="Times New Roman" w:hAnsi="Times New Roman" w:cs="Times New Roman"/>
                <w:b/>
                <w:sz w:val="24"/>
                <w:szCs w:val="24"/>
              </w:rPr>
              <w:t>ględniona.</w:t>
            </w:r>
            <w:r w:rsidR="000D7F3E">
              <w:rPr>
                <w:rFonts w:ascii="Times New Roman" w:hAnsi="Times New Roman" w:cs="Times New Roman"/>
                <w:sz w:val="24"/>
                <w:szCs w:val="24"/>
              </w:rPr>
              <w:t xml:space="preserve"> </w:t>
            </w:r>
            <w:r w:rsidR="001D6AF2">
              <w:rPr>
                <w:rFonts w:ascii="Times New Roman" w:hAnsi="Times New Roman" w:cs="Times New Roman"/>
                <w:sz w:val="24"/>
                <w:szCs w:val="24"/>
              </w:rPr>
              <w:t>Przepis został odpowiednio doprecyzowany poprzez wskazanie, że chodzi o paliwa ciekłe i gazowe a u</w:t>
            </w:r>
            <w:r w:rsidR="000D7F3E">
              <w:rPr>
                <w:rFonts w:ascii="Times New Roman" w:hAnsi="Times New Roman" w:cs="Times New Roman"/>
                <w:sz w:val="24"/>
                <w:szCs w:val="24"/>
              </w:rPr>
              <w:t xml:space="preserve">zasadnienie zostało </w:t>
            </w:r>
            <w:r w:rsidR="001D6AF2">
              <w:rPr>
                <w:rFonts w:ascii="Times New Roman" w:hAnsi="Times New Roman" w:cs="Times New Roman"/>
                <w:sz w:val="24"/>
                <w:szCs w:val="24"/>
              </w:rPr>
              <w:t>uzupełnione o fragment:</w:t>
            </w:r>
          </w:p>
          <w:p w:rsidR="009A1F9D" w:rsidRDefault="009A1F9D" w:rsidP="00B06E69">
            <w:pPr>
              <w:jc w:val="both"/>
              <w:rPr>
                <w:rFonts w:ascii="Times New Roman" w:hAnsi="Times New Roman" w:cs="Times New Roman"/>
                <w:sz w:val="24"/>
                <w:szCs w:val="24"/>
              </w:rPr>
            </w:pPr>
          </w:p>
          <w:p w:rsidR="001D6AF2" w:rsidRDefault="001D6AF2" w:rsidP="00B06E69">
            <w:pPr>
              <w:jc w:val="both"/>
              <w:rPr>
                <w:rFonts w:ascii="Times New Roman" w:hAnsi="Times New Roman" w:cs="Times New Roman"/>
                <w:i/>
                <w:sz w:val="24"/>
                <w:szCs w:val="24"/>
              </w:rPr>
            </w:pPr>
            <w:r w:rsidRPr="00011C28">
              <w:rPr>
                <w:rFonts w:ascii="Times New Roman" w:hAnsi="Times New Roman" w:cs="Times New Roman"/>
                <w:i/>
                <w:sz w:val="24"/>
                <w:szCs w:val="24"/>
              </w:rPr>
              <w:t xml:space="preserve">Nowelizacja art. 57g ma na celu rozszerzenie stosowania sankcji karnej na inne nośniki energii takie jak paliwa gazowe, energia elektryczna oraz ciepło ze względu na konieczność </w:t>
            </w:r>
            <w:r w:rsidR="00011C28" w:rsidRPr="00011C28">
              <w:rPr>
                <w:rFonts w:ascii="Times New Roman" w:hAnsi="Times New Roman" w:cs="Times New Roman"/>
                <w:i/>
                <w:sz w:val="24"/>
                <w:szCs w:val="24"/>
              </w:rPr>
              <w:t>równego traktowania naruszeń obowiązków ciążących na wszystkich przedsiębiorstwach energetycznych. Ministerstwu była sygnalizowana kwestia, nie znajdującego w niczym uzasadnienia, różnicowania sytuacji podmiotów dopuszczających się tego samego rodzaju zabronionych zachowań.</w:t>
            </w:r>
          </w:p>
          <w:p w:rsidR="009A1F9D" w:rsidRPr="00011C28" w:rsidRDefault="009A1F9D" w:rsidP="00B06E69">
            <w:pPr>
              <w:jc w:val="both"/>
              <w:rPr>
                <w:rFonts w:ascii="Times New Roman" w:hAnsi="Times New Roman" w:cs="Times New Roman"/>
                <w:i/>
                <w:sz w:val="24"/>
                <w:szCs w:val="24"/>
              </w:rPr>
            </w:pPr>
          </w:p>
          <w:p w:rsidR="001D6AF2" w:rsidRPr="00011C28" w:rsidRDefault="00011C28" w:rsidP="00B06E69">
            <w:pPr>
              <w:jc w:val="both"/>
              <w:rPr>
                <w:rFonts w:ascii="Times New Roman" w:hAnsi="Times New Roman" w:cs="Times New Roman"/>
                <w:i/>
                <w:sz w:val="24"/>
                <w:szCs w:val="24"/>
              </w:rPr>
            </w:pPr>
            <w:r w:rsidRPr="00011C28">
              <w:rPr>
                <w:rFonts w:ascii="Times New Roman" w:hAnsi="Times New Roman" w:cs="Times New Roman"/>
                <w:i/>
                <w:sz w:val="24"/>
                <w:szCs w:val="24"/>
              </w:rPr>
              <w:t xml:space="preserve">Art. 57g. 1. </w:t>
            </w:r>
            <w:r w:rsidR="001D6AF2" w:rsidRPr="00011C28">
              <w:rPr>
                <w:rFonts w:ascii="Times New Roman" w:hAnsi="Times New Roman" w:cs="Times New Roman"/>
                <w:i/>
                <w:sz w:val="24"/>
                <w:szCs w:val="24"/>
              </w:rPr>
              <w:t>Kto prowadzi działalność gospodarczą w zakresie wytwarzania, magazynowania lub przeładunku, skraplania, regazyfikacji, przesyłania lub dystry</w:t>
            </w:r>
            <w:r w:rsidR="008A2F13">
              <w:rPr>
                <w:rFonts w:ascii="Times New Roman" w:hAnsi="Times New Roman" w:cs="Times New Roman"/>
                <w:i/>
                <w:sz w:val="24"/>
                <w:szCs w:val="24"/>
              </w:rPr>
              <w:t>bucji, obrotu paliwami ciekłymi,</w:t>
            </w:r>
            <w:r w:rsidR="001D6AF2" w:rsidRPr="00011C28">
              <w:rPr>
                <w:rFonts w:ascii="Times New Roman" w:hAnsi="Times New Roman" w:cs="Times New Roman"/>
                <w:i/>
                <w:sz w:val="24"/>
                <w:szCs w:val="24"/>
              </w:rPr>
              <w:t xml:space="preserve"> gazowymi lub energią, w tym obrotu paliwami ciekłymi z zagranicą, bez wymaganej koncesji, podlega grzywnie do 5 000 000 zł albo karze pozbawienia wolności od 6 miesięcy do lat 5</w:t>
            </w:r>
            <w:r w:rsidRPr="00011C28">
              <w:rPr>
                <w:rFonts w:ascii="Times New Roman" w:hAnsi="Times New Roman" w:cs="Times New Roman"/>
                <w:i/>
                <w:sz w:val="24"/>
                <w:szCs w:val="24"/>
              </w:rPr>
              <w:t>.</w:t>
            </w:r>
          </w:p>
          <w:p w:rsidR="001D6AF2" w:rsidRPr="00DB2B9B" w:rsidRDefault="001D6AF2" w:rsidP="00B06E69">
            <w:pPr>
              <w:jc w:val="both"/>
              <w:rPr>
                <w:rFonts w:ascii="Times New Roman" w:hAnsi="Times New Roman" w:cs="Times New Roman"/>
                <w:sz w:val="24"/>
                <w:szCs w:val="24"/>
              </w:rPr>
            </w:pPr>
          </w:p>
        </w:tc>
      </w:tr>
      <w:tr w:rsidR="00641F71" w:rsidRPr="00DB2B9B" w:rsidTr="003321EA">
        <w:tc>
          <w:tcPr>
            <w:tcW w:w="630" w:type="dxa"/>
          </w:tcPr>
          <w:p w:rsidR="00641F71" w:rsidRPr="004B1D44" w:rsidRDefault="004B1D44" w:rsidP="00B06E69">
            <w:pPr>
              <w:jc w:val="both"/>
              <w:rPr>
                <w:rFonts w:ascii="Times New Roman" w:hAnsi="Times New Roman" w:cs="Times New Roman"/>
                <w:sz w:val="24"/>
                <w:szCs w:val="24"/>
              </w:rPr>
            </w:pPr>
            <w:r w:rsidRPr="004B1D44">
              <w:rPr>
                <w:rFonts w:ascii="Times New Roman" w:hAnsi="Times New Roman" w:cs="Times New Roman"/>
                <w:sz w:val="24"/>
                <w:szCs w:val="24"/>
              </w:rPr>
              <w:t>41</w:t>
            </w:r>
          </w:p>
        </w:tc>
        <w:tc>
          <w:tcPr>
            <w:tcW w:w="1043" w:type="dxa"/>
          </w:tcPr>
          <w:p w:rsidR="00641F71" w:rsidRPr="00DB2B9B" w:rsidRDefault="00B11A42" w:rsidP="00B06E69">
            <w:pPr>
              <w:jc w:val="both"/>
              <w:rPr>
                <w:rFonts w:ascii="Times New Roman" w:hAnsi="Times New Roman" w:cs="Times New Roman"/>
                <w:sz w:val="24"/>
                <w:szCs w:val="24"/>
              </w:rPr>
            </w:pPr>
            <w:r>
              <w:rPr>
                <w:rFonts w:ascii="Times New Roman" w:hAnsi="Times New Roman" w:cs="Times New Roman"/>
                <w:sz w:val="24"/>
                <w:szCs w:val="24"/>
              </w:rPr>
              <w:t>UOKiK</w:t>
            </w:r>
          </w:p>
        </w:tc>
        <w:tc>
          <w:tcPr>
            <w:tcW w:w="5977" w:type="dxa"/>
          </w:tcPr>
          <w:p w:rsidR="00673D89" w:rsidRPr="00673D89" w:rsidRDefault="00CF7942" w:rsidP="00673D89">
            <w:pPr>
              <w:jc w:val="both"/>
              <w:rPr>
                <w:rFonts w:ascii="Times New Roman" w:hAnsi="Times New Roman" w:cs="Times New Roman"/>
                <w:sz w:val="24"/>
                <w:szCs w:val="24"/>
              </w:rPr>
            </w:pPr>
            <w:r>
              <w:rPr>
                <w:rFonts w:ascii="Times New Roman" w:hAnsi="Times New Roman" w:cs="Times New Roman"/>
                <w:sz w:val="24"/>
                <w:szCs w:val="24"/>
              </w:rPr>
              <w:t>w art. 11 Prawa energetycznego</w:t>
            </w:r>
            <w:r w:rsidR="00673D89" w:rsidRPr="00673D89">
              <w:rPr>
                <w:rFonts w:ascii="Times New Roman" w:hAnsi="Times New Roman" w:cs="Times New Roman"/>
                <w:sz w:val="24"/>
                <w:szCs w:val="24"/>
              </w:rPr>
              <w:t>, na podstawie którego odb</w:t>
            </w:r>
            <w:r w:rsidR="00673D89">
              <w:rPr>
                <w:rFonts w:ascii="Times New Roman" w:hAnsi="Times New Roman" w:cs="Times New Roman"/>
                <w:sz w:val="24"/>
                <w:szCs w:val="24"/>
              </w:rPr>
              <w:t xml:space="preserve">iorcom, którzy zastosują się do </w:t>
            </w:r>
            <w:r w:rsidR="00673D89" w:rsidRPr="00673D89">
              <w:rPr>
                <w:rFonts w:ascii="Times New Roman" w:hAnsi="Times New Roman" w:cs="Times New Roman"/>
                <w:sz w:val="24"/>
                <w:szCs w:val="24"/>
              </w:rPr>
              <w:t xml:space="preserve">ograniczeń w dostarczaniu i poborze energii </w:t>
            </w:r>
            <w:r w:rsidR="00673D89">
              <w:rPr>
                <w:rFonts w:ascii="Times New Roman" w:hAnsi="Times New Roman" w:cs="Times New Roman"/>
                <w:sz w:val="24"/>
                <w:szCs w:val="24"/>
              </w:rPr>
              <w:t xml:space="preserve">elektrycznej, może przysługiwać </w:t>
            </w:r>
            <w:r w:rsidR="00673D89" w:rsidRPr="00673D89">
              <w:rPr>
                <w:rFonts w:ascii="Times New Roman" w:hAnsi="Times New Roman" w:cs="Times New Roman"/>
                <w:sz w:val="24"/>
                <w:szCs w:val="24"/>
              </w:rPr>
              <w:t>wynagrodzenie na zasadach określonych w przepisach wyd</w:t>
            </w:r>
            <w:r w:rsidR="00673D89">
              <w:rPr>
                <w:rFonts w:ascii="Times New Roman" w:hAnsi="Times New Roman" w:cs="Times New Roman"/>
                <w:sz w:val="24"/>
                <w:szCs w:val="24"/>
              </w:rPr>
              <w:t xml:space="preserve">anych na podstawie art. 11 ust. </w:t>
            </w:r>
            <w:r w:rsidR="00673D89" w:rsidRPr="00673D89">
              <w:rPr>
                <w:rFonts w:ascii="Times New Roman" w:hAnsi="Times New Roman" w:cs="Times New Roman"/>
                <w:sz w:val="24"/>
                <w:szCs w:val="24"/>
              </w:rPr>
              <w:t>6 Prawa energetycznego.</w:t>
            </w:r>
          </w:p>
          <w:p w:rsidR="00673D89" w:rsidRPr="00673D89"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Zdaniem Ministerstwa Klimatu ww. przepisy nie stano</w:t>
            </w:r>
            <w:r>
              <w:rPr>
                <w:rFonts w:ascii="Times New Roman" w:hAnsi="Times New Roman" w:cs="Times New Roman"/>
                <w:sz w:val="24"/>
                <w:szCs w:val="24"/>
              </w:rPr>
              <w:t xml:space="preserve">wią pomocy publicznej, ponieważ </w:t>
            </w:r>
            <w:r w:rsidRPr="00673D89">
              <w:rPr>
                <w:rFonts w:ascii="Times New Roman" w:hAnsi="Times New Roman" w:cs="Times New Roman"/>
                <w:sz w:val="24"/>
                <w:szCs w:val="24"/>
              </w:rPr>
              <w:t>dotyczą „słusznego odszkodowania za poniesione straty”. Należy jednak zauważyć, że</w:t>
            </w:r>
            <w:r>
              <w:rPr>
                <w:rFonts w:ascii="Times New Roman" w:hAnsi="Times New Roman" w:cs="Times New Roman"/>
                <w:sz w:val="24"/>
                <w:szCs w:val="24"/>
              </w:rPr>
              <w:t xml:space="preserve"> </w:t>
            </w:r>
            <w:r w:rsidRPr="00673D89">
              <w:rPr>
                <w:rFonts w:ascii="Times New Roman" w:hAnsi="Times New Roman" w:cs="Times New Roman"/>
                <w:sz w:val="24"/>
                <w:szCs w:val="24"/>
              </w:rPr>
              <w:t>powyższe nie wynika z projektu ustawy. Projekt okr</w:t>
            </w:r>
            <w:r>
              <w:rPr>
                <w:rFonts w:ascii="Times New Roman" w:hAnsi="Times New Roman" w:cs="Times New Roman"/>
                <w:sz w:val="24"/>
                <w:szCs w:val="24"/>
              </w:rPr>
              <w:t xml:space="preserve">eśla jedynie, że odbiorcom może </w:t>
            </w:r>
            <w:r w:rsidRPr="00673D89">
              <w:rPr>
                <w:rFonts w:ascii="Times New Roman" w:hAnsi="Times New Roman" w:cs="Times New Roman"/>
                <w:sz w:val="24"/>
                <w:szCs w:val="24"/>
              </w:rPr>
              <w:t>przysługiwać „wynagrodzenie” (nie odszkod</w:t>
            </w:r>
            <w:r>
              <w:rPr>
                <w:rFonts w:ascii="Times New Roman" w:hAnsi="Times New Roman" w:cs="Times New Roman"/>
                <w:sz w:val="24"/>
                <w:szCs w:val="24"/>
              </w:rPr>
              <w:t xml:space="preserve">owanie) oraz że warunki wypłaty </w:t>
            </w:r>
            <w:r w:rsidRPr="00673D89">
              <w:rPr>
                <w:rFonts w:ascii="Times New Roman" w:hAnsi="Times New Roman" w:cs="Times New Roman"/>
                <w:sz w:val="24"/>
                <w:szCs w:val="24"/>
              </w:rPr>
              <w:t>wynagrodzenia za redukcję wynikającą z wprowadze</w:t>
            </w:r>
            <w:r>
              <w:rPr>
                <w:rFonts w:ascii="Times New Roman" w:hAnsi="Times New Roman" w:cs="Times New Roman"/>
                <w:sz w:val="24"/>
                <w:szCs w:val="24"/>
              </w:rPr>
              <w:t xml:space="preserve">nia ograniczeń w dostarczaniu i </w:t>
            </w:r>
            <w:r w:rsidRPr="00673D89">
              <w:rPr>
                <w:rFonts w:ascii="Times New Roman" w:hAnsi="Times New Roman" w:cs="Times New Roman"/>
                <w:sz w:val="24"/>
                <w:szCs w:val="24"/>
              </w:rPr>
              <w:t>poborze energii elektrycznej oraz sposób ustalania tego w</w:t>
            </w:r>
            <w:r>
              <w:rPr>
                <w:rFonts w:ascii="Times New Roman" w:hAnsi="Times New Roman" w:cs="Times New Roman"/>
                <w:sz w:val="24"/>
                <w:szCs w:val="24"/>
              </w:rPr>
              <w:t xml:space="preserve">ynagrodzenia, w tym jego stawki </w:t>
            </w:r>
            <w:r w:rsidRPr="00673D89">
              <w:rPr>
                <w:rFonts w:ascii="Times New Roman" w:hAnsi="Times New Roman" w:cs="Times New Roman"/>
                <w:sz w:val="24"/>
                <w:szCs w:val="24"/>
              </w:rPr>
              <w:t>mogą zostać określone rozporządzeniem Rady Mi</w:t>
            </w:r>
            <w:r>
              <w:rPr>
                <w:rFonts w:ascii="Times New Roman" w:hAnsi="Times New Roman" w:cs="Times New Roman"/>
                <w:sz w:val="24"/>
                <w:szCs w:val="24"/>
              </w:rPr>
              <w:t xml:space="preserve">nistrów. Nie jest zatem obecnie </w:t>
            </w:r>
            <w:r w:rsidRPr="00673D89">
              <w:rPr>
                <w:rFonts w:ascii="Times New Roman" w:hAnsi="Times New Roman" w:cs="Times New Roman"/>
                <w:sz w:val="24"/>
                <w:szCs w:val="24"/>
              </w:rPr>
              <w:t>sprecyzowane w projekcie to w jaki sposób (biorąc ja</w:t>
            </w:r>
            <w:r>
              <w:rPr>
                <w:rFonts w:ascii="Times New Roman" w:hAnsi="Times New Roman" w:cs="Times New Roman"/>
                <w:sz w:val="24"/>
                <w:szCs w:val="24"/>
              </w:rPr>
              <w:t xml:space="preserve">kie przesłanki pod uwagę), Rada </w:t>
            </w:r>
            <w:r w:rsidRPr="00673D89">
              <w:rPr>
                <w:rFonts w:ascii="Times New Roman" w:hAnsi="Times New Roman" w:cs="Times New Roman"/>
                <w:sz w:val="24"/>
                <w:szCs w:val="24"/>
              </w:rPr>
              <w:t>Ministrów może określić, korzystając z delegacji do</w:t>
            </w:r>
            <w:r>
              <w:rPr>
                <w:rFonts w:ascii="Times New Roman" w:hAnsi="Times New Roman" w:cs="Times New Roman"/>
                <w:sz w:val="24"/>
                <w:szCs w:val="24"/>
              </w:rPr>
              <w:t xml:space="preserve"> wydania rozporządzenia, sposób </w:t>
            </w:r>
            <w:r w:rsidRPr="00673D89">
              <w:rPr>
                <w:rFonts w:ascii="Times New Roman" w:hAnsi="Times New Roman" w:cs="Times New Roman"/>
                <w:sz w:val="24"/>
                <w:szCs w:val="24"/>
              </w:rPr>
              <w:t>ustalania ww. wynagrodzenia, w tym jego stawki.</w:t>
            </w:r>
          </w:p>
          <w:p w:rsidR="00641F71" w:rsidRPr="00DB2B9B"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 xml:space="preserve">Biorąc powyższe pod uwagę podtrzymuję uwagę, zgodnie z którą, w celu </w:t>
            </w:r>
            <w:r>
              <w:rPr>
                <w:rFonts w:ascii="Times New Roman" w:hAnsi="Times New Roman" w:cs="Times New Roman"/>
                <w:sz w:val="24"/>
                <w:szCs w:val="24"/>
              </w:rPr>
              <w:t xml:space="preserve">wykluczenia </w:t>
            </w:r>
            <w:r w:rsidRPr="00673D89">
              <w:rPr>
                <w:rFonts w:ascii="Times New Roman" w:hAnsi="Times New Roman" w:cs="Times New Roman"/>
                <w:sz w:val="24"/>
                <w:szCs w:val="24"/>
              </w:rPr>
              <w:t>nierynkowej korzyści ekonomicznej w ww. mechanizmie, zasadne jest rozszerzenie</w:t>
            </w:r>
            <w:r w:rsidR="00552E28">
              <w:rPr>
                <w:rFonts w:ascii="Times New Roman" w:hAnsi="Times New Roman" w:cs="Times New Roman"/>
                <w:sz w:val="24"/>
                <w:szCs w:val="24"/>
              </w:rPr>
              <w:t xml:space="preserve"> </w:t>
            </w:r>
            <w:r w:rsidRPr="00673D89">
              <w:rPr>
                <w:rFonts w:ascii="Times New Roman" w:hAnsi="Times New Roman" w:cs="Times New Roman"/>
                <w:sz w:val="24"/>
                <w:szCs w:val="24"/>
              </w:rPr>
              <w:t>projektowanego art. 11 ust. 6C Prawa energetycznego w</w:t>
            </w:r>
            <w:r>
              <w:rPr>
                <w:rFonts w:ascii="Times New Roman" w:hAnsi="Times New Roman" w:cs="Times New Roman"/>
                <w:sz w:val="24"/>
                <w:szCs w:val="24"/>
              </w:rPr>
              <w:t xml:space="preserve"> taki sposób, aby zawarta w tym </w:t>
            </w:r>
            <w:r w:rsidRPr="00673D89">
              <w:rPr>
                <w:rFonts w:ascii="Times New Roman" w:hAnsi="Times New Roman" w:cs="Times New Roman"/>
                <w:sz w:val="24"/>
                <w:szCs w:val="24"/>
              </w:rPr>
              <w:t>przepisie delegacja do wydania rozporządzenia ok</w:t>
            </w:r>
            <w:r>
              <w:rPr>
                <w:rFonts w:ascii="Times New Roman" w:hAnsi="Times New Roman" w:cs="Times New Roman"/>
                <w:sz w:val="24"/>
                <w:szCs w:val="24"/>
              </w:rPr>
              <w:t xml:space="preserve">reślającego warunki wypłaty ww. </w:t>
            </w:r>
            <w:r w:rsidRPr="00673D89">
              <w:rPr>
                <w:rFonts w:ascii="Times New Roman" w:hAnsi="Times New Roman" w:cs="Times New Roman"/>
                <w:sz w:val="24"/>
                <w:szCs w:val="24"/>
              </w:rPr>
              <w:t>wynagrodzenia oraz sposób jego ustalania, odnosiła się ta</w:t>
            </w:r>
            <w:r>
              <w:rPr>
                <w:rFonts w:ascii="Times New Roman" w:hAnsi="Times New Roman" w:cs="Times New Roman"/>
                <w:sz w:val="24"/>
                <w:szCs w:val="24"/>
              </w:rPr>
              <w:t xml:space="preserve">kże do konieczności zapewnienia </w:t>
            </w:r>
            <w:r w:rsidRPr="00673D89">
              <w:rPr>
                <w:rFonts w:ascii="Times New Roman" w:hAnsi="Times New Roman" w:cs="Times New Roman"/>
                <w:sz w:val="24"/>
                <w:szCs w:val="24"/>
              </w:rPr>
              <w:t xml:space="preserve">rynkowości tego wynagrodzenia bądź, jak sugeruje </w:t>
            </w:r>
            <w:r>
              <w:rPr>
                <w:rFonts w:ascii="Times New Roman" w:hAnsi="Times New Roman" w:cs="Times New Roman"/>
                <w:sz w:val="24"/>
                <w:szCs w:val="24"/>
              </w:rPr>
              <w:t xml:space="preserve">Ministerstwo Klimatu, do zasady </w:t>
            </w:r>
            <w:r w:rsidRPr="00673D89">
              <w:rPr>
                <w:rFonts w:ascii="Times New Roman" w:hAnsi="Times New Roman" w:cs="Times New Roman"/>
                <w:sz w:val="24"/>
                <w:szCs w:val="24"/>
              </w:rPr>
              <w:t>pokrywania jedynie strat poniesionych przez odbiorców, którzy zastosują się do ogranic</w:t>
            </w:r>
            <w:r>
              <w:rPr>
                <w:rFonts w:ascii="Times New Roman" w:hAnsi="Times New Roman" w:cs="Times New Roman"/>
                <w:sz w:val="24"/>
                <w:szCs w:val="24"/>
              </w:rPr>
              <w:t xml:space="preserve">zeń </w:t>
            </w:r>
            <w:r w:rsidRPr="00673D89">
              <w:rPr>
                <w:rFonts w:ascii="Times New Roman" w:hAnsi="Times New Roman" w:cs="Times New Roman"/>
                <w:sz w:val="24"/>
                <w:szCs w:val="24"/>
              </w:rPr>
              <w:t>w dostarczaniu i poborze energii elektrycznej.</w:t>
            </w:r>
          </w:p>
        </w:tc>
        <w:tc>
          <w:tcPr>
            <w:tcW w:w="6344" w:type="dxa"/>
          </w:tcPr>
          <w:p w:rsidR="009A1F9D" w:rsidRPr="009A1F9D" w:rsidRDefault="009A1F9D" w:rsidP="00924760">
            <w:pPr>
              <w:jc w:val="both"/>
              <w:rPr>
                <w:rFonts w:ascii="Times New Roman" w:hAnsi="Times New Roman" w:cs="Times New Roman"/>
                <w:b/>
                <w:sz w:val="24"/>
                <w:szCs w:val="24"/>
              </w:rPr>
            </w:pPr>
            <w:r w:rsidRPr="009A1F9D">
              <w:rPr>
                <w:rFonts w:ascii="Times New Roman" w:hAnsi="Times New Roman" w:cs="Times New Roman"/>
                <w:b/>
                <w:sz w:val="24"/>
                <w:szCs w:val="24"/>
              </w:rPr>
              <w:t>Uwaga jest o charakterze europejskim.</w:t>
            </w:r>
          </w:p>
          <w:p w:rsidR="00976B1A" w:rsidRDefault="00976B1A" w:rsidP="00924760">
            <w:pPr>
              <w:jc w:val="both"/>
              <w:rPr>
                <w:rFonts w:ascii="Times New Roman" w:hAnsi="Times New Roman" w:cs="Times New Roman"/>
                <w:sz w:val="24"/>
                <w:szCs w:val="24"/>
              </w:rPr>
            </w:pPr>
            <w:r w:rsidRPr="009A1F9D">
              <w:rPr>
                <w:rFonts w:ascii="Times New Roman" w:hAnsi="Times New Roman" w:cs="Times New Roman"/>
                <w:b/>
                <w:sz w:val="24"/>
                <w:szCs w:val="24"/>
              </w:rPr>
              <w:t>Uwaga została uwzględniona.</w:t>
            </w:r>
            <w:r w:rsidR="009A1F9D">
              <w:rPr>
                <w:rFonts w:ascii="Times New Roman" w:hAnsi="Times New Roman" w:cs="Times New Roman"/>
                <w:sz w:val="24"/>
                <w:szCs w:val="24"/>
              </w:rPr>
              <w:t xml:space="preserve"> Rozszerzono delegację</w:t>
            </w:r>
            <w:r>
              <w:rPr>
                <w:rFonts w:ascii="Times New Roman" w:hAnsi="Times New Roman" w:cs="Times New Roman"/>
                <w:sz w:val="24"/>
                <w:szCs w:val="24"/>
              </w:rPr>
              <w:t xml:space="preserve"> do wydania rozporządzenia wykonawczego o </w:t>
            </w:r>
            <w:r w:rsidRPr="00976B1A">
              <w:rPr>
                <w:rFonts w:ascii="Times New Roman" w:hAnsi="Times New Roman" w:cs="Times New Roman"/>
                <w:sz w:val="24"/>
                <w:szCs w:val="24"/>
              </w:rPr>
              <w:t xml:space="preserve">sposób ustalania wynagrodzenia biorąc pod uwagę pokrycie uzasadnionych kosztów  ponoszonych przez odbiorców, którzy dostosowują się do ograniczeń, zachętę dla odbiorców do uczestniczenia w mechanizmach rynkowych oraz </w:t>
            </w:r>
            <w:r>
              <w:rPr>
                <w:rFonts w:ascii="Times New Roman" w:hAnsi="Times New Roman" w:cs="Times New Roman"/>
                <w:sz w:val="24"/>
                <w:szCs w:val="24"/>
              </w:rPr>
              <w:t xml:space="preserve">średnie </w:t>
            </w:r>
            <w:r w:rsidRPr="00976B1A">
              <w:rPr>
                <w:rFonts w:ascii="Times New Roman" w:hAnsi="Times New Roman" w:cs="Times New Roman"/>
                <w:sz w:val="24"/>
                <w:szCs w:val="24"/>
              </w:rPr>
              <w:t>ceny sprzedaży energii elektrycznej na rynku konkurencyjnym publikowane przez Prezesa URE</w:t>
            </w:r>
            <w:r>
              <w:rPr>
                <w:rFonts w:ascii="Times New Roman" w:hAnsi="Times New Roman" w:cs="Times New Roman"/>
                <w:sz w:val="24"/>
                <w:szCs w:val="24"/>
              </w:rPr>
              <w:t>.</w:t>
            </w:r>
          </w:p>
          <w:p w:rsidR="00976B1A" w:rsidRDefault="00976B1A" w:rsidP="00924760">
            <w:pPr>
              <w:jc w:val="both"/>
              <w:rPr>
                <w:rFonts w:ascii="Times New Roman" w:hAnsi="Times New Roman" w:cs="Times New Roman"/>
                <w:sz w:val="24"/>
                <w:szCs w:val="24"/>
              </w:rPr>
            </w:pPr>
          </w:p>
          <w:p w:rsidR="00924760" w:rsidRPr="00924760" w:rsidRDefault="00924760" w:rsidP="00924760">
            <w:pPr>
              <w:jc w:val="both"/>
              <w:rPr>
                <w:rFonts w:ascii="Times New Roman" w:hAnsi="Times New Roman" w:cs="Times New Roman"/>
                <w:sz w:val="24"/>
                <w:szCs w:val="24"/>
              </w:rPr>
            </w:pPr>
            <w:r w:rsidRPr="00924760">
              <w:rPr>
                <w:rFonts w:ascii="Times New Roman" w:hAnsi="Times New Roman" w:cs="Times New Roman"/>
                <w:sz w:val="24"/>
                <w:szCs w:val="24"/>
              </w:rPr>
              <w:t>D</w:t>
            </w:r>
            <w:r w:rsidR="00976B1A">
              <w:rPr>
                <w:rFonts w:ascii="Times New Roman" w:hAnsi="Times New Roman" w:cs="Times New Roman"/>
                <w:sz w:val="24"/>
                <w:szCs w:val="24"/>
              </w:rPr>
              <w:t>odatkowo należy zaznaczyć, że d</w:t>
            </w:r>
            <w:r w:rsidRPr="00924760">
              <w:rPr>
                <w:rFonts w:ascii="Times New Roman" w:hAnsi="Times New Roman" w:cs="Times New Roman"/>
                <w:sz w:val="24"/>
                <w:szCs w:val="24"/>
              </w:rPr>
              <w:t xml:space="preserve">elegacja ustawowa do wydania rozporządzenia w sprawie szczegółowych zasad i trybu wprowadzania ograniczeń w sprzedaży paliw stałych oraz w dostarczaniu i poborze energii elektrycznej lub ciepła została ukształtowana na bazie doświadczeń wynikających z innych, odmiennych niż obecne, uwarunkowań gospodarczych i odmiennego kształtu rynku energii. Propozycja rozszerzenia delegacji ustawowej wynika z zamiaru wprowadzenia odpłatności za zastosowanie się przez odbiorców do ograniczeń w dostarczaniu i poborze energii elektrycznej oraz chęci ukształtowania rynku usług systemowych świadczonych przez odbiorców energii elektrycznej. </w:t>
            </w:r>
          </w:p>
          <w:p w:rsidR="007C50E8" w:rsidRPr="00924760" w:rsidRDefault="00924760" w:rsidP="00924760">
            <w:pPr>
              <w:jc w:val="both"/>
              <w:rPr>
                <w:rFonts w:ascii="Times New Roman" w:hAnsi="Times New Roman" w:cs="Times New Roman"/>
                <w:sz w:val="24"/>
                <w:szCs w:val="24"/>
              </w:rPr>
            </w:pPr>
            <w:r w:rsidRPr="00924760">
              <w:rPr>
                <w:rFonts w:ascii="Times New Roman" w:hAnsi="Times New Roman" w:cs="Times New Roman"/>
                <w:sz w:val="24"/>
                <w:szCs w:val="24"/>
              </w:rPr>
              <w:t xml:space="preserve">Dotychczasowe regulacje dotyczące wprowadzania ograniczeń w dostarczaniu i poborze energii elektrycznej skutkami wprowadzenia tych ograniczeń (stopni zasilania) obciążają przede wszystkim przedsiębiorców. W związku z powyższym, biorąc pod uwagę niezwykle istotne dla zachowania bezpiecznej pracy systemu (tj. uchronienie się przed wyłączeniami awaryjnymi odbiorców lub całego KSE), która spoczywa tylko na części odbiorców w systemie, proponuje się żeby odbiorcy otrzymali wynagrodzenie ryczałtowe za wykonanie redukcji zgodnie z ogłoszonymi stopniami zasilania. Odbiorcy podlegający ograniczeniom bronią KSE (a więc i wszystkie podmioty z niego korzystające) przed skutkami awaryjnych wyłączeń całego obszaru KSE lub jego części. Wynagrodzenie powinno stanowić element łagodzący skutki wprowadzenia ograniczeń dla tych podmiotów, jednakże jego wysokość powinna zarazem motywować odbiorców do przystępowania do usług systemowych kierowanych do odbiorców. Przewiduje się, iż wynagrodzenie byłoby wypłacane przez operatora systemu przesyłowego elektroenergetycznego, a koszty pokrywane przez opłatę jakościową, dzięki czemu  zapewniony będzie element socjalizacji kosztów ograniczeń w dostarczaniu i poborze energii elektrycznej. Socjalizacja spowoduje, iż podmioty, które korzystają z ochrony przed ograniczeniami w dostarczaniu i poborze energii elektrycznej częściowo partycypowałyby w kosztach tych ograniczeń. Postulat odpłatności ograniczeń w dostarczaniu i poborze energii elektrycznej był wielokrotnie podnoszony, zatem regulacja uwzględnia sygnały branżowe i rynkowe. </w:t>
            </w:r>
          </w:p>
          <w:p w:rsidR="00924760" w:rsidRPr="00924760" w:rsidRDefault="00924760" w:rsidP="00924760">
            <w:pPr>
              <w:jc w:val="both"/>
              <w:rPr>
                <w:rFonts w:ascii="Times New Roman" w:hAnsi="Times New Roman" w:cs="Times New Roman"/>
                <w:sz w:val="24"/>
                <w:szCs w:val="24"/>
              </w:rPr>
            </w:pPr>
            <w:r w:rsidRPr="00924760">
              <w:rPr>
                <w:rFonts w:ascii="Times New Roman" w:hAnsi="Times New Roman" w:cs="Times New Roman"/>
                <w:sz w:val="24"/>
                <w:szCs w:val="24"/>
              </w:rPr>
              <w:t>Celem wprowadzenia możliwości wypłaty wynagrodzenia niezbędna jest również delegacja do wydania rozporządzeniu w zakresie sposobu ustalania, wysokości tego wynagrodzenia, zasad dotyczących wymiany danych i informacji przez zainteresowane podmioty oraz zasad prowadzenia rozliczeń. Bez delegacji ustawowej odpłatność ograniczeń nie będzie mogła być skutecznie wprowadzona i sprawnie stosowana.</w:t>
            </w:r>
          </w:p>
          <w:p w:rsidR="00924760" w:rsidRPr="00924760" w:rsidRDefault="00924760" w:rsidP="00924760">
            <w:pPr>
              <w:jc w:val="both"/>
              <w:rPr>
                <w:rFonts w:ascii="Times New Roman" w:hAnsi="Times New Roman" w:cs="Times New Roman"/>
                <w:sz w:val="24"/>
                <w:szCs w:val="24"/>
              </w:rPr>
            </w:pPr>
            <w:r w:rsidRPr="00924760">
              <w:rPr>
                <w:rFonts w:ascii="Times New Roman" w:hAnsi="Times New Roman" w:cs="Times New Roman"/>
                <w:sz w:val="24"/>
                <w:szCs w:val="24"/>
              </w:rPr>
              <w:t>Proponuje się by, celem promowania usług o dobrowolnym charakterze, minimalizujących konieczność wprowadzenia ograniczeń w dostarczaniu i poborze energii elektrycznej, w rozporządzeniu zawarty był katalog danych podlegających publikacji o podmiotach zdolnych do świadczenia takich usług. Pozwoli to na łatwiejsze dotarcie do zainteresowanych podmiotów tzw. agregatorom, reprezentującym odbiorców w relacjach z operatorami systemów elektroenergetycznych. Publikacja danych, które są jawne w innych rejestrach, pozwoli na zwiększenie potencjału dostępnych redukcji mocy, a tym samym zwiększenie udziału strony popytowej w rynku energii elektrycznej i usług systemowych.</w:t>
            </w:r>
          </w:p>
          <w:p w:rsidR="007C50E8" w:rsidRPr="00DB2B9B" w:rsidRDefault="00924760" w:rsidP="00924760">
            <w:pPr>
              <w:jc w:val="both"/>
              <w:rPr>
                <w:rFonts w:ascii="Times New Roman" w:hAnsi="Times New Roman" w:cs="Times New Roman"/>
                <w:sz w:val="24"/>
                <w:szCs w:val="24"/>
              </w:rPr>
            </w:pPr>
            <w:r w:rsidRPr="00924760">
              <w:rPr>
                <w:rFonts w:ascii="Times New Roman" w:hAnsi="Times New Roman" w:cs="Times New Roman"/>
                <w:sz w:val="24"/>
                <w:szCs w:val="24"/>
              </w:rPr>
              <w:t>Zasady ustalania wysokości wynagrodzenia powinny umożliwiać ich ustalenie według modelu uwzględniającego warunki rynkowe lub wynagrodzenia wykorzystującego model biorący pod uwagę straty poniesione przez odbiorców. Wybrany model wynagradzania (z uwzględnieniem warunków rynkowych lub rekompensaty strat odbiorców) powinien realizować również funkcję zachęty i spełniać rolę bodźca by odbiorcy wybierali aktywne uczestnictwo w rynku energii elektryczne, tj. wykorzystywali istniejące instrumenty rynkowe. Innymi słowy, mechanizm powinien zniechęcać odbiorców do bycia pasywnym na rynku energii elektrycznej. Tylko w takim przypadku, powyżej wymieniony mechanizm będzie jednym z narzędzi uniknięcia stosowania instrumentu o charakterze administracyjnym. Wybrany model będzie oczywiście zgodny z zasadami obowiązującymi w zakresie udzielania pomocy publicznej.</w:t>
            </w:r>
          </w:p>
        </w:tc>
      </w:tr>
      <w:tr w:rsidR="004B1D44" w:rsidRPr="00DB2B9B" w:rsidTr="003321EA">
        <w:tc>
          <w:tcPr>
            <w:tcW w:w="630" w:type="dxa"/>
          </w:tcPr>
          <w:p w:rsidR="004B1D44" w:rsidRPr="004B1D44" w:rsidRDefault="004B1D44" w:rsidP="004B1D44">
            <w:pPr>
              <w:rPr>
                <w:rFonts w:ascii="Times New Roman" w:hAnsi="Times New Roman" w:cs="Times New Roman"/>
                <w:sz w:val="24"/>
                <w:szCs w:val="24"/>
              </w:rPr>
            </w:pPr>
            <w:r w:rsidRPr="004B1D44">
              <w:rPr>
                <w:rFonts w:ascii="Times New Roman" w:hAnsi="Times New Roman" w:cs="Times New Roman"/>
                <w:sz w:val="24"/>
                <w:szCs w:val="24"/>
              </w:rPr>
              <w:t>42</w:t>
            </w:r>
          </w:p>
        </w:tc>
        <w:tc>
          <w:tcPr>
            <w:tcW w:w="1043" w:type="dxa"/>
          </w:tcPr>
          <w:p w:rsidR="004B1D44" w:rsidRPr="00DB2B9B" w:rsidRDefault="00B11A42" w:rsidP="004B1D44">
            <w:pPr>
              <w:jc w:val="both"/>
              <w:rPr>
                <w:rFonts w:ascii="Times New Roman" w:hAnsi="Times New Roman" w:cs="Times New Roman"/>
                <w:sz w:val="24"/>
                <w:szCs w:val="24"/>
              </w:rPr>
            </w:pPr>
            <w:r>
              <w:rPr>
                <w:rFonts w:ascii="Times New Roman" w:hAnsi="Times New Roman" w:cs="Times New Roman"/>
                <w:sz w:val="24"/>
                <w:szCs w:val="24"/>
              </w:rPr>
              <w:t>UOKiK</w:t>
            </w:r>
          </w:p>
        </w:tc>
        <w:tc>
          <w:tcPr>
            <w:tcW w:w="5977" w:type="dxa"/>
          </w:tcPr>
          <w:p w:rsidR="00673D89" w:rsidRPr="00673D89"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W odniesieniu do uwagi nr 2 UOKiK, dotyczącej</w:t>
            </w:r>
            <w:r>
              <w:rPr>
                <w:rFonts w:ascii="Times New Roman" w:hAnsi="Times New Roman" w:cs="Times New Roman"/>
                <w:sz w:val="24"/>
                <w:szCs w:val="24"/>
              </w:rPr>
              <w:t xml:space="preserve"> art. 1 pkt 46 projektu ustawy, </w:t>
            </w:r>
            <w:r w:rsidRPr="00673D89">
              <w:rPr>
                <w:rFonts w:ascii="Times New Roman" w:hAnsi="Times New Roman" w:cs="Times New Roman"/>
                <w:sz w:val="24"/>
                <w:szCs w:val="24"/>
              </w:rPr>
              <w:t>tj. zmienianego art. 40 Prawa energetycznego, zdaniem Ministerstwa Klimatu przepisy te</w:t>
            </w:r>
          </w:p>
          <w:p w:rsidR="00673D89" w:rsidRPr="00673D89"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nie stanowią pomocy publicznej, ponieważ „</w:t>
            </w:r>
            <w:r>
              <w:rPr>
                <w:rFonts w:ascii="Times New Roman" w:hAnsi="Times New Roman" w:cs="Times New Roman"/>
                <w:sz w:val="24"/>
                <w:szCs w:val="24"/>
              </w:rPr>
              <w:t xml:space="preserve">przepis ma na celu zapewnienie </w:t>
            </w:r>
            <w:r w:rsidRPr="00673D89">
              <w:rPr>
                <w:rFonts w:ascii="Times New Roman" w:hAnsi="Times New Roman" w:cs="Times New Roman"/>
                <w:sz w:val="24"/>
                <w:szCs w:val="24"/>
              </w:rPr>
              <w:t>bezpieczeństwa dostaw energii elektrycznej”, a ponadto „przepisy o zbliżonej treści</w:t>
            </w:r>
          </w:p>
          <w:p w:rsidR="00673D89" w:rsidRPr="00673D89"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 xml:space="preserve">istnieją już w ustawie - Prawo energetyczne (od </w:t>
            </w:r>
            <w:r>
              <w:rPr>
                <w:rFonts w:ascii="Times New Roman" w:hAnsi="Times New Roman" w:cs="Times New Roman"/>
                <w:sz w:val="24"/>
                <w:szCs w:val="24"/>
              </w:rPr>
              <w:t xml:space="preserve">1997 r.) i do tej pory nie były </w:t>
            </w:r>
            <w:r w:rsidRPr="00673D89">
              <w:rPr>
                <w:rFonts w:ascii="Times New Roman" w:hAnsi="Times New Roman" w:cs="Times New Roman"/>
                <w:sz w:val="24"/>
                <w:szCs w:val="24"/>
              </w:rPr>
              <w:t>kwestionowane pod kątem pomocy publicznej”.</w:t>
            </w:r>
          </w:p>
          <w:p w:rsidR="004B1D44"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 xml:space="preserve">W pierwszej kolejności pragnę zauważyć, że fakt, </w:t>
            </w:r>
            <w:r>
              <w:rPr>
                <w:rFonts w:ascii="Times New Roman" w:hAnsi="Times New Roman" w:cs="Times New Roman"/>
                <w:sz w:val="24"/>
                <w:szCs w:val="24"/>
              </w:rPr>
              <w:t xml:space="preserve">iż przepis do tej pory nie były </w:t>
            </w:r>
            <w:r w:rsidRPr="00673D89">
              <w:rPr>
                <w:rFonts w:ascii="Times New Roman" w:hAnsi="Times New Roman" w:cs="Times New Roman"/>
                <w:sz w:val="24"/>
                <w:szCs w:val="24"/>
              </w:rPr>
              <w:t>kwestionowany pod kątem pomocy publicznej, nie ma zna</w:t>
            </w:r>
            <w:r>
              <w:rPr>
                <w:rFonts w:ascii="Times New Roman" w:hAnsi="Times New Roman" w:cs="Times New Roman"/>
                <w:sz w:val="24"/>
                <w:szCs w:val="24"/>
              </w:rPr>
              <w:t xml:space="preserve">czenia dla aktualnej oceny tego </w:t>
            </w:r>
            <w:r w:rsidRPr="00673D89">
              <w:rPr>
                <w:rFonts w:ascii="Times New Roman" w:hAnsi="Times New Roman" w:cs="Times New Roman"/>
                <w:sz w:val="24"/>
                <w:szCs w:val="24"/>
              </w:rPr>
              <w:t>przepisu. Jednocześnie warto dodać, że art. 40 Prawa ener</w:t>
            </w:r>
            <w:r>
              <w:rPr>
                <w:rFonts w:ascii="Times New Roman" w:hAnsi="Times New Roman" w:cs="Times New Roman"/>
                <w:sz w:val="24"/>
                <w:szCs w:val="24"/>
              </w:rPr>
              <w:t xml:space="preserve">getycznego nie był zmieniany od </w:t>
            </w:r>
            <w:r w:rsidRPr="00673D89">
              <w:rPr>
                <w:rFonts w:ascii="Times New Roman" w:hAnsi="Times New Roman" w:cs="Times New Roman"/>
                <w:sz w:val="24"/>
                <w:szCs w:val="24"/>
              </w:rPr>
              <w:t>czasu przyjęcia go</w:t>
            </w:r>
            <w:r>
              <w:rPr>
                <w:rFonts w:ascii="Times New Roman" w:hAnsi="Times New Roman" w:cs="Times New Roman"/>
                <w:sz w:val="24"/>
                <w:szCs w:val="24"/>
              </w:rPr>
              <w:t xml:space="preserve"> w pierwotnej ustawie w 1997 r. </w:t>
            </w:r>
            <w:r w:rsidRPr="00673D89">
              <w:rPr>
                <w:rFonts w:ascii="Times New Roman" w:hAnsi="Times New Roman" w:cs="Times New Roman"/>
                <w:sz w:val="24"/>
                <w:szCs w:val="24"/>
              </w:rPr>
              <w:t>Zgodnie ze zmienianym przepisem, Prezes UR</w:t>
            </w:r>
            <w:r>
              <w:rPr>
                <w:rFonts w:ascii="Times New Roman" w:hAnsi="Times New Roman" w:cs="Times New Roman"/>
                <w:sz w:val="24"/>
                <w:szCs w:val="24"/>
              </w:rPr>
              <w:t xml:space="preserve">E może nakazać przedsiębiorstwu </w:t>
            </w:r>
            <w:r w:rsidRPr="00673D89">
              <w:rPr>
                <w:rFonts w:ascii="Times New Roman" w:hAnsi="Times New Roman" w:cs="Times New Roman"/>
                <w:sz w:val="24"/>
                <w:szCs w:val="24"/>
              </w:rPr>
              <w:t>energetycznemu, w tym także w upadłości, dalsze p</w:t>
            </w:r>
            <w:r>
              <w:rPr>
                <w:rFonts w:ascii="Times New Roman" w:hAnsi="Times New Roman" w:cs="Times New Roman"/>
                <w:sz w:val="24"/>
                <w:szCs w:val="24"/>
              </w:rPr>
              <w:t xml:space="preserve">rowadzenie działalności objętej </w:t>
            </w:r>
            <w:r w:rsidRPr="00673D89">
              <w:rPr>
                <w:rFonts w:ascii="Times New Roman" w:hAnsi="Times New Roman" w:cs="Times New Roman"/>
                <w:sz w:val="24"/>
                <w:szCs w:val="24"/>
              </w:rPr>
              <w:t>koncesją przez okres nie dłuższy niż 2 lata jeśli</w:t>
            </w:r>
            <w:r>
              <w:rPr>
                <w:rFonts w:ascii="Times New Roman" w:hAnsi="Times New Roman" w:cs="Times New Roman"/>
                <w:sz w:val="24"/>
                <w:szCs w:val="24"/>
              </w:rPr>
              <w:t xml:space="preserve"> wymaga tego interes społeczny. </w:t>
            </w:r>
            <w:r w:rsidRPr="00673D89">
              <w:rPr>
                <w:rFonts w:ascii="Times New Roman" w:hAnsi="Times New Roman" w:cs="Times New Roman"/>
                <w:sz w:val="24"/>
                <w:szCs w:val="24"/>
              </w:rPr>
              <w:t>W przypadku, gdy działalność ta przynosi stratę, przedsi</w:t>
            </w:r>
            <w:r>
              <w:rPr>
                <w:rFonts w:ascii="Times New Roman" w:hAnsi="Times New Roman" w:cs="Times New Roman"/>
                <w:sz w:val="24"/>
                <w:szCs w:val="24"/>
              </w:rPr>
              <w:t xml:space="preserve">ębiorstwu energetycznemu należy </w:t>
            </w:r>
            <w:r w:rsidRPr="00673D89">
              <w:rPr>
                <w:rFonts w:ascii="Times New Roman" w:hAnsi="Times New Roman" w:cs="Times New Roman"/>
                <w:sz w:val="24"/>
                <w:szCs w:val="24"/>
              </w:rPr>
              <w:t>się pokrycie strat od Skarbu Państwa w wysokości ograni</w:t>
            </w:r>
            <w:r>
              <w:rPr>
                <w:rFonts w:ascii="Times New Roman" w:hAnsi="Times New Roman" w:cs="Times New Roman"/>
                <w:sz w:val="24"/>
                <w:szCs w:val="24"/>
              </w:rPr>
              <w:t xml:space="preserve">czonej do uzasadnionych kosztów </w:t>
            </w:r>
            <w:r w:rsidRPr="00673D89">
              <w:rPr>
                <w:rFonts w:ascii="Times New Roman" w:hAnsi="Times New Roman" w:cs="Times New Roman"/>
                <w:sz w:val="24"/>
                <w:szCs w:val="24"/>
              </w:rPr>
              <w:t>działalności określonej w koncesji, poniesionych w okresie objętym decyzją.</w:t>
            </w:r>
          </w:p>
          <w:p w:rsidR="00673D89" w:rsidRPr="00673D89"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W odniesieniu natomiast do argumentu Ministerstwa</w:t>
            </w:r>
            <w:r>
              <w:rPr>
                <w:rFonts w:ascii="Times New Roman" w:hAnsi="Times New Roman" w:cs="Times New Roman"/>
                <w:sz w:val="24"/>
                <w:szCs w:val="24"/>
              </w:rPr>
              <w:t xml:space="preserve"> Klimatu, że przepis ma na celu </w:t>
            </w:r>
            <w:r w:rsidRPr="00673D89">
              <w:rPr>
                <w:rFonts w:ascii="Times New Roman" w:hAnsi="Times New Roman" w:cs="Times New Roman"/>
                <w:sz w:val="24"/>
                <w:szCs w:val="24"/>
              </w:rPr>
              <w:t>zapewnienie bezpieczeństwa dostaw energii elekt</w:t>
            </w:r>
            <w:r>
              <w:rPr>
                <w:rFonts w:ascii="Times New Roman" w:hAnsi="Times New Roman" w:cs="Times New Roman"/>
                <w:sz w:val="24"/>
                <w:szCs w:val="24"/>
              </w:rPr>
              <w:t xml:space="preserve">rycznej, pragnę przypomnieć, że </w:t>
            </w:r>
            <w:r w:rsidRPr="00673D89">
              <w:rPr>
                <w:rFonts w:ascii="Times New Roman" w:hAnsi="Times New Roman" w:cs="Times New Roman"/>
                <w:sz w:val="24"/>
                <w:szCs w:val="24"/>
              </w:rPr>
              <w:t xml:space="preserve">w uwadze przekazanej w piśmie z dnia 24 lutego 2020 </w:t>
            </w:r>
            <w:r>
              <w:rPr>
                <w:rFonts w:ascii="Times New Roman" w:hAnsi="Times New Roman" w:cs="Times New Roman"/>
                <w:sz w:val="24"/>
                <w:szCs w:val="24"/>
              </w:rPr>
              <w:t xml:space="preserve">r. prezes UOKiK wskazał, że ww. </w:t>
            </w:r>
            <w:r w:rsidRPr="00673D89">
              <w:rPr>
                <w:rFonts w:ascii="Times New Roman" w:hAnsi="Times New Roman" w:cs="Times New Roman"/>
                <w:sz w:val="24"/>
                <w:szCs w:val="24"/>
              </w:rPr>
              <w:t>zapewnienie bezpieczeństwa dostaw energii elekt</w:t>
            </w:r>
            <w:r>
              <w:rPr>
                <w:rFonts w:ascii="Times New Roman" w:hAnsi="Times New Roman" w:cs="Times New Roman"/>
                <w:sz w:val="24"/>
                <w:szCs w:val="24"/>
              </w:rPr>
              <w:t xml:space="preserve">rycznej jest jednym z możliwych </w:t>
            </w:r>
            <w:r w:rsidRPr="00673D89">
              <w:rPr>
                <w:rFonts w:ascii="Times New Roman" w:hAnsi="Times New Roman" w:cs="Times New Roman"/>
                <w:sz w:val="24"/>
                <w:szCs w:val="24"/>
              </w:rPr>
              <w:t>powodów wprost wskazanych art. 3 ust. 2 dyrektywy</w:t>
            </w:r>
            <w:r>
              <w:rPr>
                <w:rFonts w:ascii="Times New Roman" w:hAnsi="Times New Roman" w:cs="Times New Roman"/>
                <w:sz w:val="24"/>
                <w:szCs w:val="24"/>
              </w:rPr>
              <w:t xml:space="preserve"> 2009/72/WE1 oraz art. 3 ust. 2 </w:t>
            </w:r>
            <w:r w:rsidRPr="00673D89">
              <w:rPr>
                <w:rFonts w:ascii="Times New Roman" w:hAnsi="Times New Roman" w:cs="Times New Roman"/>
                <w:sz w:val="24"/>
                <w:szCs w:val="24"/>
              </w:rPr>
              <w:t>dyrektywy 2009/73/WE2, stanowiących przesła</w:t>
            </w:r>
            <w:r>
              <w:rPr>
                <w:rFonts w:ascii="Times New Roman" w:hAnsi="Times New Roman" w:cs="Times New Roman"/>
                <w:sz w:val="24"/>
                <w:szCs w:val="24"/>
              </w:rPr>
              <w:t xml:space="preserve">nkę dla państwa członkowskiego, </w:t>
            </w:r>
            <w:r w:rsidRPr="00673D89">
              <w:rPr>
                <w:rFonts w:ascii="Times New Roman" w:hAnsi="Times New Roman" w:cs="Times New Roman"/>
                <w:sz w:val="24"/>
                <w:szCs w:val="24"/>
              </w:rPr>
              <w:t>działającego w ogólnym interesie gospodarczym, do n</w:t>
            </w:r>
            <w:r>
              <w:rPr>
                <w:rFonts w:ascii="Times New Roman" w:hAnsi="Times New Roman" w:cs="Times New Roman"/>
                <w:sz w:val="24"/>
                <w:szCs w:val="24"/>
              </w:rPr>
              <w:t xml:space="preserve">ałożenia obowiązku użyteczności </w:t>
            </w:r>
            <w:r w:rsidRPr="00673D89">
              <w:rPr>
                <w:rFonts w:ascii="Times New Roman" w:hAnsi="Times New Roman" w:cs="Times New Roman"/>
                <w:sz w:val="24"/>
                <w:szCs w:val="24"/>
              </w:rPr>
              <w:t>publicznej na przedsiębiorstwa działające w sek</w:t>
            </w:r>
            <w:r>
              <w:rPr>
                <w:rFonts w:ascii="Times New Roman" w:hAnsi="Times New Roman" w:cs="Times New Roman"/>
                <w:sz w:val="24"/>
                <w:szCs w:val="24"/>
              </w:rPr>
              <w:t xml:space="preserve">torze elektroenergetycznym oraz </w:t>
            </w:r>
            <w:r w:rsidRPr="00673D89">
              <w:rPr>
                <w:rFonts w:ascii="Times New Roman" w:hAnsi="Times New Roman" w:cs="Times New Roman"/>
                <w:sz w:val="24"/>
                <w:szCs w:val="24"/>
              </w:rPr>
              <w:t>w sektorze gazu. Jednocześnie wprost z ww. przepisów unijnych wynika, że w powyższych</w:t>
            </w:r>
          </w:p>
          <w:p w:rsidR="00673D89" w:rsidRPr="00673D89"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działaniach państwa członkowskie muszą w pełni uwzględniać odpowiednie postanowienia</w:t>
            </w:r>
            <w:r>
              <w:rPr>
                <w:rFonts w:ascii="Times New Roman" w:hAnsi="Times New Roman" w:cs="Times New Roman"/>
                <w:sz w:val="24"/>
                <w:szCs w:val="24"/>
              </w:rPr>
              <w:t xml:space="preserve"> </w:t>
            </w:r>
            <w:r w:rsidRPr="00673D89">
              <w:rPr>
                <w:rFonts w:ascii="Times New Roman" w:hAnsi="Times New Roman" w:cs="Times New Roman"/>
                <w:sz w:val="24"/>
                <w:szCs w:val="24"/>
              </w:rPr>
              <w:t>TFUE, w szczególności jego art. 106 dotyczący właśn</w:t>
            </w:r>
            <w:r>
              <w:rPr>
                <w:rFonts w:ascii="Times New Roman" w:hAnsi="Times New Roman" w:cs="Times New Roman"/>
                <w:sz w:val="24"/>
                <w:szCs w:val="24"/>
              </w:rPr>
              <w:t xml:space="preserve">ie usług świadczonych w ogólnym </w:t>
            </w:r>
            <w:r w:rsidRPr="00673D89">
              <w:rPr>
                <w:rFonts w:ascii="Times New Roman" w:hAnsi="Times New Roman" w:cs="Times New Roman"/>
                <w:sz w:val="24"/>
                <w:szCs w:val="24"/>
              </w:rPr>
              <w:t>interesie gospodarczym, a także unijne reguły konkurencji, a zatem również regulacje</w:t>
            </w:r>
          </w:p>
          <w:p w:rsidR="00673D89" w:rsidRPr="00673D89"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dotyczące pomocy publicznej. Konieczność sto</w:t>
            </w:r>
            <w:r>
              <w:rPr>
                <w:rFonts w:ascii="Times New Roman" w:hAnsi="Times New Roman" w:cs="Times New Roman"/>
                <w:sz w:val="24"/>
                <w:szCs w:val="24"/>
              </w:rPr>
              <w:t xml:space="preserve">sowania zasad pomocy publicznej </w:t>
            </w:r>
            <w:r w:rsidRPr="00673D89">
              <w:rPr>
                <w:rFonts w:ascii="Times New Roman" w:hAnsi="Times New Roman" w:cs="Times New Roman"/>
                <w:sz w:val="24"/>
                <w:szCs w:val="24"/>
              </w:rPr>
              <w:t>w odniesieniu do działań podejmowanych na podstawie ar</w:t>
            </w:r>
            <w:r>
              <w:rPr>
                <w:rFonts w:ascii="Times New Roman" w:hAnsi="Times New Roman" w:cs="Times New Roman"/>
                <w:sz w:val="24"/>
                <w:szCs w:val="24"/>
              </w:rPr>
              <w:t xml:space="preserve">t. 40 Prawa energetycznego jest </w:t>
            </w:r>
            <w:r w:rsidRPr="00673D89">
              <w:rPr>
                <w:rFonts w:ascii="Times New Roman" w:hAnsi="Times New Roman" w:cs="Times New Roman"/>
                <w:sz w:val="24"/>
                <w:szCs w:val="24"/>
              </w:rPr>
              <w:t>również podkreślana w komentarzach do tej ustawy. W jednym z ni</w:t>
            </w:r>
            <w:r>
              <w:rPr>
                <w:rFonts w:ascii="Times New Roman" w:hAnsi="Times New Roman" w:cs="Times New Roman"/>
                <w:sz w:val="24"/>
                <w:szCs w:val="24"/>
              </w:rPr>
              <w:t xml:space="preserve">ch wskazano, że „choć </w:t>
            </w:r>
            <w:r w:rsidRPr="00673D89">
              <w:rPr>
                <w:rFonts w:ascii="Times New Roman" w:hAnsi="Times New Roman" w:cs="Times New Roman"/>
                <w:sz w:val="24"/>
                <w:szCs w:val="24"/>
              </w:rPr>
              <w:t>komentowany przepis nie ustanawia takiego wymogu, o</w:t>
            </w:r>
            <w:r>
              <w:rPr>
                <w:rFonts w:ascii="Times New Roman" w:hAnsi="Times New Roman" w:cs="Times New Roman"/>
                <w:sz w:val="24"/>
                <w:szCs w:val="24"/>
              </w:rPr>
              <w:t xml:space="preserve">czywistym jest, że rekompensata </w:t>
            </w:r>
            <w:r w:rsidRPr="00673D89">
              <w:rPr>
                <w:rFonts w:ascii="Times New Roman" w:hAnsi="Times New Roman" w:cs="Times New Roman"/>
                <w:sz w:val="24"/>
                <w:szCs w:val="24"/>
              </w:rPr>
              <w:t>strat poniesionych w wyniku prowadzenia działalnośc</w:t>
            </w:r>
            <w:r>
              <w:rPr>
                <w:rFonts w:ascii="Times New Roman" w:hAnsi="Times New Roman" w:cs="Times New Roman"/>
                <w:sz w:val="24"/>
                <w:szCs w:val="24"/>
              </w:rPr>
              <w:t xml:space="preserve">i objętej nakazem kontynuowania </w:t>
            </w:r>
            <w:r w:rsidRPr="00673D89">
              <w:rPr>
                <w:rFonts w:ascii="Times New Roman" w:hAnsi="Times New Roman" w:cs="Times New Roman"/>
                <w:sz w:val="24"/>
                <w:szCs w:val="24"/>
              </w:rPr>
              <w:t>musi być udzielana w zgodzie z regułami pomocy państwa uregulowanymi</w:t>
            </w:r>
            <w:r>
              <w:rPr>
                <w:rFonts w:ascii="Times New Roman" w:hAnsi="Times New Roman" w:cs="Times New Roman"/>
                <w:sz w:val="24"/>
                <w:szCs w:val="24"/>
              </w:rPr>
              <w:t xml:space="preserve"> w art. 107-109 </w:t>
            </w:r>
            <w:r w:rsidRPr="00673D89">
              <w:rPr>
                <w:rFonts w:ascii="Times New Roman" w:hAnsi="Times New Roman" w:cs="Times New Roman"/>
                <w:sz w:val="24"/>
                <w:szCs w:val="24"/>
              </w:rPr>
              <w:t>TFUE oraz we właściwych aktach europejskiego prawa pochodnego3”.</w:t>
            </w:r>
          </w:p>
          <w:p w:rsidR="00673D89" w:rsidRPr="00DB2B9B"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Podsumowując, w pełni podtrzymuję powyższą uwagę</w:t>
            </w:r>
            <w:r>
              <w:rPr>
                <w:rFonts w:ascii="Times New Roman" w:hAnsi="Times New Roman" w:cs="Times New Roman"/>
                <w:sz w:val="24"/>
                <w:szCs w:val="24"/>
              </w:rPr>
              <w:t xml:space="preserve">, przedstawioną i uzasadnioną w </w:t>
            </w:r>
            <w:r w:rsidRPr="00673D89">
              <w:rPr>
                <w:rFonts w:ascii="Times New Roman" w:hAnsi="Times New Roman" w:cs="Times New Roman"/>
                <w:sz w:val="24"/>
                <w:szCs w:val="24"/>
              </w:rPr>
              <w:t>piśmie z dnia 24 lutego 2020 r. Zasadne jest zatem uzup</w:t>
            </w:r>
            <w:r>
              <w:rPr>
                <w:rFonts w:ascii="Times New Roman" w:hAnsi="Times New Roman" w:cs="Times New Roman"/>
                <w:sz w:val="24"/>
                <w:szCs w:val="24"/>
              </w:rPr>
              <w:t xml:space="preserve">ełnienie projektowanego art. 40 </w:t>
            </w:r>
            <w:r w:rsidRPr="00673D89">
              <w:rPr>
                <w:rFonts w:ascii="Times New Roman" w:hAnsi="Times New Roman" w:cs="Times New Roman"/>
                <w:sz w:val="24"/>
                <w:szCs w:val="24"/>
              </w:rPr>
              <w:t>Prawa energetycznego poprzez uregulowanie, że w zakresie w jakim pokrycie strat</w:t>
            </w:r>
            <w:r>
              <w:rPr>
                <w:rFonts w:ascii="Times New Roman" w:hAnsi="Times New Roman" w:cs="Times New Roman"/>
                <w:sz w:val="24"/>
                <w:szCs w:val="24"/>
              </w:rPr>
              <w:t xml:space="preserve"> </w:t>
            </w:r>
            <w:r w:rsidRPr="00673D89">
              <w:rPr>
                <w:rFonts w:ascii="Times New Roman" w:hAnsi="Times New Roman" w:cs="Times New Roman"/>
                <w:sz w:val="24"/>
                <w:szCs w:val="24"/>
              </w:rPr>
              <w:t>przedsiębiorstwa energet</w:t>
            </w:r>
            <w:r>
              <w:rPr>
                <w:rFonts w:ascii="Times New Roman" w:hAnsi="Times New Roman" w:cs="Times New Roman"/>
                <w:sz w:val="24"/>
                <w:szCs w:val="24"/>
              </w:rPr>
              <w:t xml:space="preserve">ycznego stanowi pomoc publiczną, do decyzji Prezesa URE </w:t>
            </w:r>
            <w:r w:rsidRPr="00673D89">
              <w:rPr>
                <w:rFonts w:ascii="Times New Roman" w:hAnsi="Times New Roman" w:cs="Times New Roman"/>
                <w:sz w:val="24"/>
                <w:szCs w:val="24"/>
              </w:rPr>
              <w:t>nakazującej dalsze prowadzenie działalności i wynikającego z niej pokrycia st</w:t>
            </w:r>
            <w:r>
              <w:rPr>
                <w:rFonts w:ascii="Times New Roman" w:hAnsi="Times New Roman" w:cs="Times New Roman"/>
                <w:sz w:val="24"/>
                <w:szCs w:val="24"/>
              </w:rPr>
              <w:t xml:space="preserve">rat od Skarbu </w:t>
            </w:r>
            <w:r w:rsidRPr="00673D89">
              <w:rPr>
                <w:rFonts w:ascii="Times New Roman" w:hAnsi="Times New Roman" w:cs="Times New Roman"/>
                <w:sz w:val="24"/>
                <w:szCs w:val="24"/>
              </w:rPr>
              <w:t xml:space="preserve">Państwa stosuje się odpowiednie regulacje unijne </w:t>
            </w:r>
            <w:r>
              <w:rPr>
                <w:rFonts w:ascii="Times New Roman" w:hAnsi="Times New Roman" w:cs="Times New Roman"/>
                <w:sz w:val="24"/>
                <w:szCs w:val="24"/>
              </w:rPr>
              <w:t xml:space="preserve">dotyczące rekompensaty z tytułu </w:t>
            </w:r>
            <w:r w:rsidRPr="00673D89">
              <w:rPr>
                <w:rFonts w:ascii="Times New Roman" w:hAnsi="Times New Roman" w:cs="Times New Roman"/>
                <w:sz w:val="24"/>
                <w:szCs w:val="24"/>
              </w:rPr>
              <w:t>świadczenia usług publicznych.</w:t>
            </w:r>
          </w:p>
        </w:tc>
        <w:tc>
          <w:tcPr>
            <w:tcW w:w="6344" w:type="dxa"/>
          </w:tcPr>
          <w:p w:rsidR="009A1F9D" w:rsidRPr="009A1F9D" w:rsidRDefault="009A1F9D" w:rsidP="00F61949">
            <w:pPr>
              <w:jc w:val="both"/>
              <w:rPr>
                <w:rFonts w:ascii="Times New Roman" w:hAnsi="Times New Roman" w:cs="Times New Roman"/>
                <w:b/>
                <w:sz w:val="24"/>
                <w:szCs w:val="24"/>
              </w:rPr>
            </w:pPr>
            <w:r w:rsidRPr="009A1F9D">
              <w:rPr>
                <w:rFonts w:ascii="Times New Roman" w:hAnsi="Times New Roman" w:cs="Times New Roman"/>
                <w:b/>
                <w:sz w:val="24"/>
                <w:szCs w:val="24"/>
              </w:rPr>
              <w:t>Uwaga jest o charakterze europejskim.</w:t>
            </w:r>
          </w:p>
          <w:p w:rsidR="00DD60EF" w:rsidRPr="009A1F9D" w:rsidRDefault="00DD60EF" w:rsidP="00F61949">
            <w:pPr>
              <w:jc w:val="both"/>
              <w:rPr>
                <w:rFonts w:ascii="Times New Roman" w:hAnsi="Times New Roman" w:cs="Times New Roman"/>
                <w:b/>
                <w:sz w:val="24"/>
                <w:szCs w:val="24"/>
              </w:rPr>
            </w:pPr>
            <w:r w:rsidRPr="009A1F9D">
              <w:rPr>
                <w:rFonts w:ascii="Times New Roman" w:hAnsi="Times New Roman" w:cs="Times New Roman"/>
                <w:b/>
                <w:sz w:val="24"/>
                <w:szCs w:val="24"/>
              </w:rPr>
              <w:t xml:space="preserve">Uwaga została </w:t>
            </w:r>
            <w:r w:rsidR="00E060FF">
              <w:rPr>
                <w:rFonts w:ascii="Times New Roman" w:hAnsi="Times New Roman" w:cs="Times New Roman"/>
                <w:b/>
                <w:sz w:val="24"/>
                <w:szCs w:val="24"/>
              </w:rPr>
              <w:t>wyjaśniona. Propozycję zmiany wykreślono</w:t>
            </w:r>
            <w:r w:rsidRPr="009A1F9D">
              <w:rPr>
                <w:rFonts w:ascii="Times New Roman" w:hAnsi="Times New Roman" w:cs="Times New Roman"/>
                <w:b/>
                <w:sz w:val="24"/>
                <w:szCs w:val="24"/>
              </w:rPr>
              <w:t>.</w:t>
            </w:r>
          </w:p>
          <w:p w:rsidR="000A2B50" w:rsidRPr="00505742" w:rsidRDefault="000A2B50" w:rsidP="00E060FF">
            <w:pPr>
              <w:jc w:val="both"/>
              <w:rPr>
                <w:rFonts w:ascii="Times New Roman" w:hAnsi="Times New Roman" w:cs="Times New Roman"/>
                <w:sz w:val="24"/>
                <w:szCs w:val="24"/>
              </w:rPr>
            </w:pPr>
            <w:r>
              <w:rPr>
                <w:rFonts w:ascii="Times New Roman" w:hAnsi="Times New Roman" w:cs="Times New Roman"/>
                <w:sz w:val="24"/>
                <w:szCs w:val="24"/>
              </w:rPr>
              <w:t>W celu usunięcia wątpliwości uwaga została uwzględniona poprzez</w:t>
            </w:r>
            <w:r w:rsidR="006B11C6">
              <w:rPr>
                <w:rFonts w:ascii="Times New Roman" w:hAnsi="Times New Roman" w:cs="Times New Roman"/>
                <w:sz w:val="24"/>
                <w:szCs w:val="24"/>
              </w:rPr>
              <w:t xml:space="preserve"> zrezygnowanie z nowelizacji przedmiotowego przepisu</w:t>
            </w:r>
            <w:r>
              <w:rPr>
                <w:rFonts w:ascii="Times New Roman" w:hAnsi="Times New Roman" w:cs="Times New Roman"/>
                <w:sz w:val="24"/>
                <w:szCs w:val="24"/>
              </w:rPr>
              <w:t>.</w:t>
            </w:r>
          </w:p>
        </w:tc>
      </w:tr>
      <w:tr w:rsidR="004B1D44" w:rsidRPr="00DB2B9B" w:rsidTr="003321EA">
        <w:tc>
          <w:tcPr>
            <w:tcW w:w="630" w:type="dxa"/>
          </w:tcPr>
          <w:p w:rsidR="004B1D44" w:rsidRPr="004B1D44" w:rsidRDefault="004B1D44" w:rsidP="004B1D44">
            <w:pPr>
              <w:rPr>
                <w:rFonts w:ascii="Times New Roman" w:hAnsi="Times New Roman" w:cs="Times New Roman"/>
                <w:sz w:val="24"/>
                <w:szCs w:val="24"/>
              </w:rPr>
            </w:pPr>
            <w:r w:rsidRPr="004B1D44">
              <w:rPr>
                <w:rFonts w:ascii="Times New Roman" w:hAnsi="Times New Roman" w:cs="Times New Roman"/>
                <w:sz w:val="24"/>
                <w:szCs w:val="24"/>
              </w:rPr>
              <w:t>43</w:t>
            </w:r>
          </w:p>
        </w:tc>
        <w:tc>
          <w:tcPr>
            <w:tcW w:w="1043" w:type="dxa"/>
          </w:tcPr>
          <w:p w:rsidR="004B1D44" w:rsidRPr="00DB2B9B" w:rsidRDefault="00B11A42" w:rsidP="004B1D44">
            <w:pPr>
              <w:jc w:val="both"/>
              <w:rPr>
                <w:rFonts w:ascii="Times New Roman" w:hAnsi="Times New Roman" w:cs="Times New Roman"/>
                <w:sz w:val="24"/>
                <w:szCs w:val="24"/>
              </w:rPr>
            </w:pPr>
            <w:r>
              <w:rPr>
                <w:rFonts w:ascii="Times New Roman" w:hAnsi="Times New Roman" w:cs="Times New Roman"/>
                <w:sz w:val="24"/>
                <w:szCs w:val="24"/>
              </w:rPr>
              <w:t>UOKiK</w:t>
            </w:r>
          </w:p>
        </w:tc>
        <w:tc>
          <w:tcPr>
            <w:tcW w:w="5977" w:type="dxa"/>
          </w:tcPr>
          <w:p w:rsidR="00673D89" w:rsidRPr="00673D89"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 xml:space="preserve">W odniesieniu do uwagi nr 3 UOKiK, dotyczącej art. </w:t>
            </w:r>
            <w:r>
              <w:rPr>
                <w:rFonts w:ascii="Times New Roman" w:hAnsi="Times New Roman" w:cs="Times New Roman"/>
                <w:sz w:val="24"/>
                <w:szCs w:val="24"/>
              </w:rPr>
              <w:t xml:space="preserve">10 oraz art. 11 ust. 4 projektu  </w:t>
            </w:r>
            <w:r w:rsidRPr="00673D89">
              <w:rPr>
                <w:rFonts w:ascii="Times New Roman" w:hAnsi="Times New Roman" w:cs="Times New Roman"/>
                <w:sz w:val="24"/>
                <w:szCs w:val="24"/>
              </w:rPr>
              <w:t>(obecnie art. 11 oraz 12 ust. 4 projektu), mających na ce</w:t>
            </w:r>
            <w:r>
              <w:rPr>
                <w:rFonts w:ascii="Times New Roman" w:hAnsi="Times New Roman" w:cs="Times New Roman"/>
                <w:sz w:val="24"/>
                <w:szCs w:val="24"/>
              </w:rPr>
              <w:t xml:space="preserve">lu „wprowadzenie na okres 5 lat </w:t>
            </w:r>
            <w:r w:rsidRPr="00673D89">
              <w:rPr>
                <w:rFonts w:ascii="Times New Roman" w:hAnsi="Times New Roman" w:cs="Times New Roman"/>
                <w:sz w:val="24"/>
                <w:szCs w:val="24"/>
              </w:rPr>
              <w:t>zachęt, które powinny pobudzić rozwój magazynowani</w:t>
            </w:r>
            <w:r>
              <w:rPr>
                <w:rFonts w:ascii="Times New Roman" w:hAnsi="Times New Roman" w:cs="Times New Roman"/>
                <w:sz w:val="24"/>
                <w:szCs w:val="24"/>
              </w:rPr>
              <w:t xml:space="preserve">a energii elektrycznej”, pragnę </w:t>
            </w:r>
            <w:r w:rsidRPr="00673D89">
              <w:rPr>
                <w:rFonts w:ascii="Times New Roman" w:hAnsi="Times New Roman" w:cs="Times New Roman"/>
                <w:sz w:val="24"/>
                <w:szCs w:val="24"/>
              </w:rPr>
              <w:t>zauważyć, że w tym samym projekcie wprow</w:t>
            </w:r>
            <w:r>
              <w:rPr>
                <w:rFonts w:ascii="Times New Roman" w:hAnsi="Times New Roman" w:cs="Times New Roman"/>
                <w:sz w:val="24"/>
                <w:szCs w:val="24"/>
              </w:rPr>
              <w:t xml:space="preserve">adzana jest generalna zasada (w </w:t>
            </w:r>
            <w:r w:rsidRPr="00673D89">
              <w:rPr>
                <w:rFonts w:ascii="Times New Roman" w:hAnsi="Times New Roman" w:cs="Times New Roman"/>
                <w:sz w:val="24"/>
                <w:szCs w:val="24"/>
              </w:rPr>
              <w:t>projektowanym nowym brzmieniu art. 7 ust. 8 pkt 3 Prawa energetycznego), zgodnie z</w:t>
            </w:r>
            <w:r>
              <w:rPr>
                <w:rFonts w:ascii="Times New Roman" w:hAnsi="Times New Roman" w:cs="Times New Roman"/>
                <w:sz w:val="24"/>
                <w:szCs w:val="24"/>
              </w:rPr>
              <w:t xml:space="preserve"> </w:t>
            </w:r>
            <w:r w:rsidRPr="00673D89">
              <w:rPr>
                <w:rFonts w:ascii="Times New Roman" w:hAnsi="Times New Roman" w:cs="Times New Roman"/>
                <w:sz w:val="24"/>
                <w:szCs w:val="24"/>
              </w:rPr>
              <w:t>którą za przyłączenie magazynu energii elektrycznej pobiera się opłatę ustaloną na</w:t>
            </w:r>
            <w:r>
              <w:rPr>
                <w:rFonts w:ascii="Times New Roman" w:hAnsi="Times New Roman" w:cs="Times New Roman"/>
                <w:sz w:val="24"/>
                <w:szCs w:val="24"/>
              </w:rPr>
              <w:t xml:space="preserve"> </w:t>
            </w:r>
            <w:r w:rsidRPr="00673D89">
              <w:rPr>
                <w:rFonts w:ascii="Times New Roman" w:hAnsi="Times New Roman" w:cs="Times New Roman"/>
                <w:sz w:val="24"/>
                <w:szCs w:val="24"/>
              </w:rPr>
              <w:t>podstawie rzeczywistych nakładów poniesionych na realiz</w:t>
            </w:r>
            <w:r>
              <w:rPr>
                <w:rFonts w:ascii="Times New Roman" w:hAnsi="Times New Roman" w:cs="Times New Roman"/>
                <w:sz w:val="24"/>
                <w:szCs w:val="24"/>
              </w:rPr>
              <w:t xml:space="preserve">ację przyłączenia. Jednocześnie </w:t>
            </w:r>
            <w:r w:rsidRPr="00673D89">
              <w:rPr>
                <w:rFonts w:ascii="Times New Roman" w:hAnsi="Times New Roman" w:cs="Times New Roman"/>
                <w:sz w:val="24"/>
                <w:szCs w:val="24"/>
              </w:rPr>
              <w:t>odrębnymi przepisami (poza ustawą Prawo energetyczne) planowane jest wprowadzenie</w:t>
            </w:r>
          </w:p>
          <w:p w:rsidR="00673D89" w:rsidRPr="00673D89"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selektywnego wyjątku od ww. reguły, uzależniającego o</w:t>
            </w:r>
            <w:r>
              <w:rPr>
                <w:rFonts w:ascii="Times New Roman" w:hAnsi="Times New Roman" w:cs="Times New Roman"/>
                <w:sz w:val="24"/>
                <w:szCs w:val="24"/>
              </w:rPr>
              <w:t xml:space="preserve">bniżenie o połowę ww. opłaty od </w:t>
            </w:r>
            <w:r w:rsidRPr="00673D89">
              <w:rPr>
                <w:rFonts w:ascii="Times New Roman" w:hAnsi="Times New Roman" w:cs="Times New Roman"/>
                <w:sz w:val="24"/>
                <w:szCs w:val="24"/>
              </w:rPr>
              <w:t>warunku oddania magazynu energii elektrycznej do eksploa</w:t>
            </w:r>
            <w:r>
              <w:rPr>
                <w:rFonts w:ascii="Times New Roman" w:hAnsi="Times New Roman" w:cs="Times New Roman"/>
                <w:sz w:val="24"/>
                <w:szCs w:val="24"/>
              </w:rPr>
              <w:t xml:space="preserve">tacji w określonym terminie. Co </w:t>
            </w:r>
            <w:r w:rsidRPr="00673D89">
              <w:rPr>
                <w:rFonts w:ascii="Times New Roman" w:hAnsi="Times New Roman" w:cs="Times New Roman"/>
                <w:sz w:val="24"/>
                <w:szCs w:val="24"/>
              </w:rPr>
              <w:t xml:space="preserve">więcej, wprowadzany jest również dalszy wyjątek, tj. </w:t>
            </w:r>
            <w:r>
              <w:rPr>
                <w:rFonts w:ascii="Times New Roman" w:hAnsi="Times New Roman" w:cs="Times New Roman"/>
                <w:sz w:val="24"/>
                <w:szCs w:val="24"/>
              </w:rPr>
              <w:t xml:space="preserve">zwrot kwot wpłaconych na poczet </w:t>
            </w:r>
            <w:r w:rsidRPr="00673D89">
              <w:rPr>
                <w:rFonts w:ascii="Times New Roman" w:hAnsi="Times New Roman" w:cs="Times New Roman"/>
                <w:sz w:val="24"/>
                <w:szCs w:val="24"/>
              </w:rPr>
              <w:t>opłaty za przyłączenie wraz z odsetkami w przypadku, g</w:t>
            </w:r>
            <w:r>
              <w:rPr>
                <w:rFonts w:ascii="Times New Roman" w:hAnsi="Times New Roman" w:cs="Times New Roman"/>
                <w:sz w:val="24"/>
                <w:szCs w:val="24"/>
              </w:rPr>
              <w:t xml:space="preserve">dy magazyn energii elektrycznej </w:t>
            </w:r>
            <w:r w:rsidRPr="00673D89">
              <w:rPr>
                <w:rFonts w:ascii="Times New Roman" w:hAnsi="Times New Roman" w:cs="Times New Roman"/>
                <w:sz w:val="24"/>
                <w:szCs w:val="24"/>
              </w:rPr>
              <w:t>zostanie przyłączony do sieci i oddany do eksploatacji w określonym terminie.</w:t>
            </w:r>
          </w:p>
          <w:p w:rsidR="004B1D44" w:rsidRPr="00DB2B9B"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Podtrzymuję zatem, przedstawioną i uzasadnioną n</w:t>
            </w:r>
            <w:r>
              <w:rPr>
                <w:rFonts w:ascii="Times New Roman" w:hAnsi="Times New Roman" w:cs="Times New Roman"/>
                <w:sz w:val="24"/>
                <w:szCs w:val="24"/>
              </w:rPr>
              <w:t xml:space="preserve">a wcześniejszym etapie prac nad </w:t>
            </w:r>
            <w:r w:rsidRPr="00673D89">
              <w:rPr>
                <w:rFonts w:ascii="Times New Roman" w:hAnsi="Times New Roman" w:cs="Times New Roman"/>
                <w:sz w:val="24"/>
                <w:szCs w:val="24"/>
              </w:rPr>
              <w:t>projektem, propozycję rozszerzenia ww. projektowanych</w:t>
            </w:r>
            <w:r>
              <w:rPr>
                <w:rFonts w:ascii="Times New Roman" w:hAnsi="Times New Roman" w:cs="Times New Roman"/>
                <w:sz w:val="24"/>
                <w:szCs w:val="24"/>
              </w:rPr>
              <w:t xml:space="preserve"> przepisów o stwierdzenie, że w </w:t>
            </w:r>
            <w:r w:rsidRPr="00673D89">
              <w:rPr>
                <w:rFonts w:ascii="Times New Roman" w:hAnsi="Times New Roman" w:cs="Times New Roman"/>
                <w:sz w:val="24"/>
                <w:szCs w:val="24"/>
              </w:rPr>
              <w:t>zakresie, w jakim przewidziane w nim ulgi stanowią pomoc</w:t>
            </w:r>
            <w:r>
              <w:rPr>
                <w:rFonts w:ascii="Times New Roman" w:hAnsi="Times New Roman" w:cs="Times New Roman"/>
                <w:sz w:val="24"/>
                <w:szCs w:val="24"/>
              </w:rPr>
              <w:t xml:space="preserve"> publiczną, stosuje się do nich </w:t>
            </w:r>
            <w:r w:rsidRPr="00673D89">
              <w:rPr>
                <w:rFonts w:ascii="Times New Roman" w:hAnsi="Times New Roman" w:cs="Times New Roman"/>
                <w:sz w:val="24"/>
                <w:szCs w:val="24"/>
              </w:rPr>
              <w:t>odpowiednie regulacje unijn</w:t>
            </w:r>
            <w:r>
              <w:rPr>
                <w:rFonts w:ascii="Times New Roman" w:hAnsi="Times New Roman" w:cs="Times New Roman"/>
                <w:sz w:val="24"/>
                <w:szCs w:val="24"/>
              </w:rPr>
              <w:t xml:space="preserve">e dotyczące pomocy de minimis bądź alternatywnie </w:t>
            </w:r>
            <w:r w:rsidRPr="00673D89">
              <w:rPr>
                <w:rFonts w:ascii="Times New Roman" w:hAnsi="Times New Roman" w:cs="Times New Roman"/>
                <w:sz w:val="24"/>
                <w:szCs w:val="24"/>
              </w:rPr>
              <w:t>wprowadzenie klauzuli zawieszającej, wstrzymującej w</w:t>
            </w:r>
            <w:r>
              <w:rPr>
                <w:rFonts w:ascii="Times New Roman" w:hAnsi="Times New Roman" w:cs="Times New Roman"/>
                <w:sz w:val="24"/>
                <w:szCs w:val="24"/>
              </w:rPr>
              <w:t xml:space="preserve">ejście w życie ww. przepisów do </w:t>
            </w:r>
            <w:r w:rsidRPr="00673D89">
              <w:rPr>
                <w:rFonts w:ascii="Times New Roman" w:hAnsi="Times New Roman" w:cs="Times New Roman"/>
                <w:sz w:val="24"/>
                <w:szCs w:val="24"/>
              </w:rPr>
              <w:t>czasu wydania przez Komisję decyzji o zgodności pomocy z rynkiem wewnętrznym.</w:t>
            </w:r>
          </w:p>
        </w:tc>
        <w:tc>
          <w:tcPr>
            <w:tcW w:w="6344" w:type="dxa"/>
          </w:tcPr>
          <w:p w:rsidR="009A1F9D" w:rsidRPr="009A1F9D" w:rsidRDefault="009A1F9D" w:rsidP="004B1D44">
            <w:pPr>
              <w:jc w:val="both"/>
              <w:rPr>
                <w:rFonts w:ascii="Times New Roman" w:hAnsi="Times New Roman" w:cs="Times New Roman"/>
                <w:b/>
                <w:sz w:val="24"/>
                <w:szCs w:val="24"/>
              </w:rPr>
            </w:pPr>
            <w:r w:rsidRPr="009A1F9D">
              <w:rPr>
                <w:rFonts w:ascii="Times New Roman" w:hAnsi="Times New Roman" w:cs="Times New Roman"/>
                <w:b/>
                <w:sz w:val="24"/>
                <w:szCs w:val="24"/>
              </w:rPr>
              <w:t>Uwaga jest o charakterze europejskim.</w:t>
            </w:r>
          </w:p>
          <w:p w:rsidR="000A2B50" w:rsidRDefault="000A2B50" w:rsidP="004B1D44">
            <w:pPr>
              <w:jc w:val="both"/>
              <w:rPr>
                <w:rFonts w:ascii="Times New Roman" w:hAnsi="Times New Roman" w:cs="Times New Roman"/>
                <w:sz w:val="24"/>
                <w:szCs w:val="24"/>
              </w:rPr>
            </w:pPr>
            <w:r w:rsidRPr="009A1F9D">
              <w:rPr>
                <w:rFonts w:ascii="Times New Roman" w:hAnsi="Times New Roman" w:cs="Times New Roman"/>
                <w:b/>
                <w:sz w:val="24"/>
                <w:szCs w:val="24"/>
              </w:rPr>
              <w:t>Uwaga została uwzględniona</w:t>
            </w:r>
            <w:r>
              <w:rPr>
                <w:rFonts w:ascii="Times New Roman" w:hAnsi="Times New Roman" w:cs="Times New Roman"/>
                <w:sz w:val="24"/>
                <w:szCs w:val="24"/>
              </w:rPr>
              <w:t>. Zrezygnowano z przejściowego charakteru regulacji i przepis zamieszczono w przepisach merytorycznych proje</w:t>
            </w:r>
            <w:r w:rsidR="00B5201D">
              <w:rPr>
                <w:rFonts w:ascii="Times New Roman" w:hAnsi="Times New Roman" w:cs="Times New Roman"/>
                <w:sz w:val="24"/>
                <w:szCs w:val="24"/>
              </w:rPr>
              <w:t>ktu ustawy, tj. w art. 7 ust. 8:</w:t>
            </w:r>
          </w:p>
          <w:p w:rsidR="00B5201D" w:rsidRPr="00B5201D" w:rsidRDefault="00B5201D" w:rsidP="00B5201D">
            <w:pPr>
              <w:jc w:val="both"/>
              <w:rPr>
                <w:rFonts w:ascii="Times New Roman" w:hAnsi="Times New Roman" w:cs="Times New Roman"/>
                <w:i/>
                <w:sz w:val="24"/>
                <w:szCs w:val="24"/>
              </w:rPr>
            </w:pPr>
            <w:r w:rsidRPr="00B5201D">
              <w:rPr>
                <w:rFonts w:ascii="Times New Roman" w:hAnsi="Times New Roman" w:cs="Times New Roman"/>
                <w:i/>
                <w:sz w:val="24"/>
                <w:szCs w:val="24"/>
              </w:rPr>
              <w:t>11) w art. 7:</w:t>
            </w:r>
          </w:p>
          <w:p w:rsidR="00B5201D" w:rsidRPr="00B5201D" w:rsidRDefault="00B5201D" w:rsidP="00B5201D">
            <w:pPr>
              <w:jc w:val="both"/>
              <w:rPr>
                <w:rFonts w:ascii="Times New Roman" w:hAnsi="Times New Roman" w:cs="Times New Roman"/>
                <w:i/>
                <w:sz w:val="24"/>
                <w:szCs w:val="24"/>
              </w:rPr>
            </w:pPr>
            <w:r w:rsidRPr="00B5201D">
              <w:rPr>
                <w:rFonts w:ascii="Times New Roman" w:hAnsi="Times New Roman" w:cs="Times New Roman"/>
                <w:i/>
                <w:sz w:val="24"/>
                <w:szCs w:val="24"/>
              </w:rPr>
              <w:t>– po pkt 5 dodaje się pkt 6 w brzmieniu:</w:t>
            </w:r>
          </w:p>
          <w:p w:rsidR="00B5201D" w:rsidRPr="00B5201D" w:rsidRDefault="00B5201D" w:rsidP="00B5201D">
            <w:pPr>
              <w:jc w:val="both"/>
              <w:rPr>
                <w:rFonts w:ascii="Times New Roman" w:hAnsi="Times New Roman" w:cs="Times New Roman"/>
                <w:sz w:val="24"/>
                <w:szCs w:val="24"/>
              </w:rPr>
            </w:pPr>
            <w:r w:rsidRPr="00B5201D">
              <w:rPr>
                <w:rFonts w:ascii="Times New Roman" w:hAnsi="Times New Roman" w:cs="Times New Roman"/>
                <w:i/>
                <w:sz w:val="24"/>
                <w:szCs w:val="24"/>
              </w:rPr>
              <w:t>„6) za przyłączenie magazynu energii elektrycznej opłatę ustala się na podstawie jednej drugiej rzeczywistych nakładów poniesionych na realizację przyłączenia.”,</w:t>
            </w:r>
          </w:p>
          <w:p w:rsidR="00DD60EF" w:rsidRDefault="00DD60EF" w:rsidP="004B1D44">
            <w:pPr>
              <w:jc w:val="both"/>
              <w:rPr>
                <w:rFonts w:ascii="Times New Roman" w:hAnsi="Times New Roman" w:cs="Times New Roman"/>
                <w:sz w:val="24"/>
                <w:szCs w:val="24"/>
              </w:rPr>
            </w:pPr>
            <w:r>
              <w:rPr>
                <w:rFonts w:ascii="Times New Roman" w:hAnsi="Times New Roman" w:cs="Times New Roman"/>
                <w:sz w:val="24"/>
                <w:szCs w:val="24"/>
              </w:rPr>
              <w:t>Jednocześnie uregulowano kwestię spraw w toku poprzez zamieszczenie przepisów przejściowych w brzmieniu:</w:t>
            </w:r>
          </w:p>
          <w:p w:rsidR="00B37BD2" w:rsidRPr="00B37BD2" w:rsidRDefault="008B6E3F" w:rsidP="00B37BD2">
            <w:pPr>
              <w:jc w:val="both"/>
              <w:rPr>
                <w:rFonts w:ascii="Times New Roman" w:hAnsi="Times New Roman" w:cs="Times New Roman"/>
                <w:i/>
                <w:sz w:val="24"/>
                <w:szCs w:val="24"/>
              </w:rPr>
            </w:pPr>
            <w:r>
              <w:rPr>
                <w:rFonts w:ascii="Times New Roman" w:hAnsi="Times New Roman" w:cs="Times New Roman"/>
                <w:i/>
                <w:sz w:val="24"/>
                <w:szCs w:val="24"/>
              </w:rPr>
              <w:t>Art. 11</w:t>
            </w:r>
            <w:r w:rsidR="00B37BD2" w:rsidRPr="00B37BD2">
              <w:rPr>
                <w:rFonts w:ascii="Times New Roman" w:hAnsi="Times New Roman" w:cs="Times New Roman"/>
                <w:i/>
                <w:sz w:val="24"/>
                <w:szCs w:val="24"/>
              </w:rPr>
              <w:t xml:space="preserve">. 1. Jeżeli podmiot ubiegający się o przyłączenie do sieci magazynu energii elektrycznej, przed dniem wejścia w życie niniejszej ustawy, </w:t>
            </w:r>
            <w:r w:rsidR="009C62FA">
              <w:rPr>
                <w:rFonts w:ascii="Times New Roman" w:hAnsi="Times New Roman" w:cs="Times New Roman"/>
                <w:i/>
                <w:sz w:val="24"/>
                <w:szCs w:val="24"/>
              </w:rPr>
              <w:t>złożył wniosek o określenie waru</w:t>
            </w:r>
            <w:r w:rsidR="003E4E65">
              <w:rPr>
                <w:rFonts w:ascii="Times New Roman" w:hAnsi="Times New Roman" w:cs="Times New Roman"/>
                <w:i/>
                <w:sz w:val="24"/>
                <w:szCs w:val="24"/>
              </w:rPr>
              <w:t>nków przyłączenia i wpła</w:t>
            </w:r>
            <w:r w:rsidR="009C62FA">
              <w:rPr>
                <w:rFonts w:ascii="Times New Roman" w:hAnsi="Times New Roman" w:cs="Times New Roman"/>
                <w:i/>
                <w:sz w:val="24"/>
                <w:szCs w:val="24"/>
              </w:rPr>
              <w:t xml:space="preserve">cił zaliczkę albo </w:t>
            </w:r>
            <w:r w:rsidR="00B37BD2" w:rsidRPr="00B37BD2">
              <w:rPr>
                <w:rFonts w:ascii="Times New Roman" w:hAnsi="Times New Roman" w:cs="Times New Roman"/>
                <w:i/>
                <w:sz w:val="24"/>
                <w:szCs w:val="24"/>
              </w:rPr>
              <w:t>otrzymał warunki przyłączenia, ale nie zawarł umowy</w:t>
            </w:r>
            <w:r w:rsidR="009C62FA">
              <w:rPr>
                <w:rFonts w:ascii="Times New Roman" w:hAnsi="Times New Roman" w:cs="Times New Roman"/>
                <w:i/>
                <w:sz w:val="24"/>
                <w:szCs w:val="24"/>
              </w:rPr>
              <w:t xml:space="preserve"> o przyłączenie do sieci ponosi</w:t>
            </w:r>
            <w:r w:rsidR="00B37BD2" w:rsidRPr="00B37BD2">
              <w:rPr>
                <w:rFonts w:ascii="Times New Roman" w:hAnsi="Times New Roman" w:cs="Times New Roman"/>
                <w:i/>
                <w:sz w:val="24"/>
                <w:szCs w:val="24"/>
              </w:rPr>
              <w:t xml:space="preserve"> on opłatę za przyłączenie do sieci na zasadach określonych w art. 7 ust. 8 pkt 6 ustawy zmienianej w art. 1 w brzmieniu nadanym niniejszą ustawą.</w:t>
            </w:r>
          </w:p>
          <w:p w:rsidR="00AF7942" w:rsidRDefault="00B37BD2" w:rsidP="000B3B52">
            <w:pPr>
              <w:jc w:val="both"/>
              <w:rPr>
                <w:rFonts w:ascii="Times New Roman" w:hAnsi="Times New Roman" w:cs="Times New Roman"/>
                <w:i/>
                <w:sz w:val="24"/>
                <w:szCs w:val="24"/>
              </w:rPr>
            </w:pPr>
            <w:r w:rsidRPr="00B37BD2">
              <w:rPr>
                <w:rFonts w:ascii="Times New Roman" w:hAnsi="Times New Roman" w:cs="Times New Roman"/>
                <w:i/>
                <w:sz w:val="24"/>
                <w:szCs w:val="24"/>
              </w:rPr>
              <w:t>2. Jeżeli, w przypadku o którym mowa w ust. 1, wysokość wpłaconej zaliczki przekracza połowę rzeczywistych nakładów  poniesionych  na  realizację przyłączenia, kwoty stanowiące różnicę pomiędzy wysokością wpłaconej zaliczki a połowy rzeczywistych  nakładów  poniesionych  na  realizację przyłączenia podlegają niezwłocznemu zwrotowi wraz z ustawowymi odsetkami liczonymi od dnia wniesienia danej kwoty do dnia jej zwrotu.</w:t>
            </w:r>
          </w:p>
          <w:p w:rsidR="00B5201D" w:rsidRPr="00B5201D" w:rsidRDefault="00B5201D" w:rsidP="00B5201D">
            <w:pPr>
              <w:jc w:val="both"/>
              <w:rPr>
                <w:rFonts w:ascii="Times New Roman" w:hAnsi="Times New Roman" w:cs="Times New Roman"/>
                <w:sz w:val="24"/>
                <w:szCs w:val="24"/>
              </w:rPr>
            </w:pPr>
            <w:r w:rsidRPr="00B5201D">
              <w:rPr>
                <w:rFonts w:ascii="Times New Roman" w:hAnsi="Times New Roman" w:cs="Times New Roman"/>
                <w:sz w:val="24"/>
                <w:szCs w:val="24"/>
              </w:rPr>
              <w:t>Dodatkowo należy zaznaczyć, że w obecnie obowiązującej ustawie – Prawo energetyczne w art. 7 ust. 8 opłaty w przypadku niektórych podmiotów określane są w wysokości znacznie mniejszej aniżeli przewidziano to dla magazynów energii elektrycznej. Przykładowo:</w:t>
            </w:r>
          </w:p>
          <w:p w:rsidR="00B5201D" w:rsidRPr="00B5201D" w:rsidRDefault="00B5201D" w:rsidP="00B5201D">
            <w:pPr>
              <w:jc w:val="both"/>
              <w:rPr>
                <w:rFonts w:ascii="Times New Roman" w:hAnsi="Times New Roman" w:cs="Times New Roman"/>
                <w:sz w:val="24"/>
                <w:szCs w:val="24"/>
              </w:rPr>
            </w:pPr>
            <w:r w:rsidRPr="00B5201D">
              <w:rPr>
                <w:rFonts w:ascii="Times New Roman" w:hAnsi="Times New Roman" w:cs="Times New Roman"/>
                <w:sz w:val="24"/>
                <w:szCs w:val="24"/>
              </w:rPr>
              <w:t>Art. 7 ust. 8 pkt 4) za przyłączenie infrastruktury ładowania drogowego transportu publicznego oraz ogólnodostępnych stacji ładowania:</w:t>
            </w:r>
          </w:p>
          <w:p w:rsidR="00B5201D" w:rsidRPr="00B5201D" w:rsidRDefault="00B5201D" w:rsidP="00B5201D">
            <w:pPr>
              <w:jc w:val="both"/>
              <w:rPr>
                <w:rFonts w:ascii="Times New Roman" w:hAnsi="Times New Roman" w:cs="Times New Roman"/>
                <w:sz w:val="24"/>
                <w:szCs w:val="24"/>
              </w:rPr>
            </w:pPr>
            <w:r w:rsidRPr="00B5201D">
              <w:rPr>
                <w:rFonts w:ascii="Times New Roman" w:hAnsi="Times New Roman" w:cs="Times New Roman"/>
                <w:sz w:val="24"/>
                <w:szCs w:val="24"/>
              </w:rPr>
              <w:t>a) do sieci elektroenergetycznej o napięciu znamionowym wyższym niż 1 kV i nie wyższym niż 110kV opłatę ustala się na podstawie jednej szesnastej  rzeczywistych  nakładów  poniesionych  na  realizację przyłączenia,</w:t>
            </w:r>
          </w:p>
          <w:p w:rsidR="00B5201D" w:rsidRPr="00B5201D" w:rsidRDefault="00B5201D" w:rsidP="00B5201D">
            <w:pPr>
              <w:jc w:val="both"/>
              <w:rPr>
                <w:rFonts w:ascii="Times New Roman" w:hAnsi="Times New Roman" w:cs="Times New Roman"/>
                <w:sz w:val="24"/>
                <w:szCs w:val="24"/>
              </w:rPr>
            </w:pPr>
            <w:r w:rsidRPr="00B5201D">
              <w:rPr>
                <w:rFonts w:ascii="Times New Roman" w:hAnsi="Times New Roman" w:cs="Times New Roman"/>
                <w:sz w:val="24"/>
                <w:szCs w:val="24"/>
              </w:rPr>
              <w:t>5) nie pobiera się opłat za przyłączenie do sieci instalacji zarządzania popytem, która spełnia wymagania określone w instrukcji, o której mowa  w  art.  9g, operatora systemu przesyłowego i operatora systemu dystrybucyjnego, do którego sieci instalacja ta jest przyłączana.</w:t>
            </w:r>
          </w:p>
        </w:tc>
      </w:tr>
      <w:tr w:rsidR="004B1D44" w:rsidRPr="00DB2B9B" w:rsidTr="003321EA">
        <w:tc>
          <w:tcPr>
            <w:tcW w:w="630" w:type="dxa"/>
          </w:tcPr>
          <w:p w:rsidR="004B1D44" w:rsidRPr="004B1D44" w:rsidRDefault="004B1D44" w:rsidP="004B1D44">
            <w:pPr>
              <w:rPr>
                <w:rFonts w:ascii="Times New Roman" w:hAnsi="Times New Roman" w:cs="Times New Roman"/>
                <w:sz w:val="24"/>
                <w:szCs w:val="24"/>
              </w:rPr>
            </w:pPr>
            <w:r w:rsidRPr="004B1D44">
              <w:rPr>
                <w:rFonts w:ascii="Times New Roman" w:hAnsi="Times New Roman" w:cs="Times New Roman"/>
                <w:sz w:val="24"/>
                <w:szCs w:val="24"/>
              </w:rPr>
              <w:t>44</w:t>
            </w:r>
          </w:p>
        </w:tc>
        <w:tc>
          <w:tcPr>
            <w:tcW w:w="1043" w:type="dxa"/>
          </w:tcPr>
          <w:p w:rsidR="004B1D44" w:rsidRPr="00DB2B9B" w:rsidRDefault="00673D89" w:rsidP="004B1D44">
            <w:pPr>
              <w:jc w:val="both"/>
              <w:rPr>
                <w:rFonts w:ascii="Times New Roman" w:hAnsi="Times New Roman" w:cs="Times New Roman"/>
                <w:sz w:val="24"/>
                <w:szCs w:val="24"/>
              </w:rPr>
            </w:pPr>
            <w:r>
              <w:rPr>
                <w:rFonts w:ascii="Times New Roman" w:hAnsi="Times New Roman" w:cs="Times New Roman"/>
                <w:sz w:val="24"/>
                <w:szCs w:val="24"/>
              </w:rPr>
              <w:t>MRiRW</w:t>
            </w:r>
          </w:p>
        </w:tc>
        <w:tc>
          <w:tcPr>
            <w:tcW w:w="5977" w:type="dxa"/>
          </w:tcPr>
          <w:p w:rsidR="00673D89" w:rsidRPr="00673D89"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Art. 1 pkt 17 wprowadzenie do wyliczenia w dodawanym art. 9da ust.1 otrzymuje brzmienie:</w:t>
            </w:r>
          </w:p>
          <w:p w:rsidR="00673D89" w:rsidRPr="00673D89"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„Art. 9da.1. Prezes Urzędu Regulacji Energetyki, na wniosek operatora systemu dystrybucyjnego, stwierdza, w drodze decyzji, że system dystrybucyjny na ograniczonym geograficznie obszarze zakładu przemysłowego, obiektu handlowego lub miejsca świadczenia usług wspólnych, do którego sieci przyłączonych jes</w:t>
            </w:r>
            <w:r>
              <w:rPr>
                <w:rFonts w:ascii="Times New Roman" w:hAnsi="Times New Roman" w:cs="Times New Roman"/>
                <w:sz w:val="24"/>
                <w:szCs w:val="24"/>
              </w:rPr>
              <w:t xml:space="preserve">t nie więcej niż 100 odbiorców  </w:t>
            </w:r>
            <w:r w:rsidRPr="00673D89">
              <w:rPr>
                <w:rFonts w:ascii="Times New Roman" w:hAnsi="Times New Roman" w:cs="Times New Roman"/>
                <w:sz w:val="24"/>
                <w:szCs w:val="24"/>
              </w:rPr>
              <w:t>w gospodarstwach domowych lub spółdzielni energetycznych jest zamkniętym systemem dystrybucyjnym, jeżeli, w odniesieniu do całego zakresu prowadzonej działalności w zakresie dystrybucji energii elektrycznej lub paliw gazowych:”</w:t>
            </w:r>
          </w:p>
          <w:p w:rsidR="004B1D44" w:rsidRPr="00DB2B9B" w:rsidRDefault="00673D89" w:rsidP="00673D89">
            <w:pPr>
              <w:jc w:val="both"/>
              <w:rPr>
                <w:rFonts w:ascii="Times New Roman" w:hAnsi="Times New Roman" w:cs="Times New Roman"/>
                <w:sz w:val="24"/>
                <w:szCs w:val="24"/>
              </w:rPr>
            </w:pPr>
            <w:r w:rsidRPr="00673D89">
              <w:rPr>
                <w:rFonts w:ascii="Times New Roman" w:hAnsi="Times New Roman" w:cs="Times New Roman"/>
                <w:sz w:val="24"/>
                <w:szCs w:val="24"/>
              </w:rPr>
              <w:t>Wprowadzenie zaproponowanej zmiany umożliwi tworzenie również na terenie spółdzielni energetycznych zamkniętych systemów dystrybucyjnych. Zgłoszenie propozycji wynika ze zmiany treści przedmiotowego artykułu w stosunku do wcześniej procedowanego przepisu.</w:t>
            </w:r>
          </w:p>
        </w:tc>
        <w:tc>
          <w:tcPr>
            <w:tcW w:w="6344" w:type="dxa"/>
          </w:tcPr>
          <w:p w:rsidR="009A1F9D" w:rsidRPr="009A1F9D" w:rsidRDefault="009A1F9D" w:rsidP="00AF7942">
            <w:pPr>
              <w:jc w:val="both"/>
              <w:rPr>
                <w:rFonts w:ascii="Times New Roman" w:hAnsi="Times New Roman" w:cs="Times New Roman"/>
                <w:b/>
                <w:sz w:val="24"/>
                <w:szCs w:val="24"/>
              </w:rPr>
            </w:pPr>
            <w:r w:rsidRPr="009A1F9D">
              <w:rPr>
                <w:rFonts w:ascii="Times New Roman" w:hAnsi="Times New Roman" w:cs="Times New Roman"/>
                <w:b/>
                <w:sz w:val="24"/>
                <w:szCs w:val="24"/>
              </w:rPr>
              <w:t>Uwaga jest o charakterze europejskim.</w:t>
            </w:r>
          </w:p>
          <w:p w:rsidR="00485AD0" w:rsidRDefault="0037297C" w:rsidP="00AF7942">
            <w:pPr>
              <w:jc w:val="both"/>
              <w:rPr>
                <w:rFonts w:ascii="Times New Roman" w:hAnsi="Times New Roman" w:cs="Times New Roman"/>
                <w:sz w:val="24"/>
                <w:szCs w:val="24"/>
              </w:rPr>
            </w:pPr>
            <w:r w:rsidRPr="009A1F9D">
              <w:rPr>
                <w:rFonts w:ascii="Times New Roman" w:hAnsi="Times New Roman" w:cs="Times New Roman"/>
                <w:b/>
                <w:sz w:val="24"/>
                <w:szCs w:val="24"/>
              </w:rPr>
              <w:t xml:space="preserve">Uwaga </w:t>
            </w:r>
            <w:r w:rsidR="009A1F9D">
              <w:rPr>
                <w:rFonts w:ascii="Times New Roman" w:hAnsi="Times New Roman" w:cs="Times New Roman"/>
                <w:b/>
                <w:sz w:val="24"/>
                <w:szCs w:val="24"/>
              </w:rPr>
              <w:t>została nie</w:t>
            </w:r>
            <w:r w:rsidRPr="009A1F9D">
              <w:rPr>
                <w:rFonts w:ascii="Times New Roman" w:hAnsi="Times New Roman" w:cs="Times New Roman"/>
                <w:b/>
                <w:sz w:val="24"/>
                <w:szCs w:val="24"/>
              </w:rPr>
              <w:t>uwzględniona</w:t>
            </w:r>
            <w:r w:rsidR="001F65E8" w:rsidRPr="009A1F9D">
              <w:rPr>
                <w:rFonts w:ascii="Times New Roman" w:hAnsi="Times New Roman" w:cs="Times New Roman"/>
                <w:b/>
                <w:sz w:val="24"/>
                <w:szCs w:val="24"/>
              </w:rPr>
              <w:t xml:space="preserve"> i wyjaśniona</w:t>
            </w:r>
            <w:r w:rsidR="001F65E8">
              <w:rPr>
                <w:rFonts w:ascii="Times New Roman" w:hAnsi="Times New Roman" w:cs="Times New Roman"/>
                <w:sz w:val="24"/>
                <w:szCs w:val="24"/>
              </w:rPr>
              <w:t>,</w:t>
            </w:r>
            <w:r>
              <w:rPr>
                <w:rFonts w:ascii="Times New Roman" w:hAnsi="Times New Roman" w:cs="Times New Roman"/>
                <w:sz w:val="24"/>
                <w:szCs w:val="24"/>
              </w:rPr>
              <w:t xml:space="preserve"> </w:t>
            </w:r>
            <w:r w:rsidR="00AF7942">
              <w:rPr>
                <w:rFonts w:ascii="Times New Roman" w:hAnsi="Times New Roman" w:cs="Times New Roman"/>
                <w:sz w:val="24"/>
                <w:szCs w:val="24"/>
              </w:rPr>
              <w:t>bo</w:t>
            </w:r>
            <w:r w:rsidR="00485AD0">
              <w:rPr>
                <w:rFonts w:ascii="Times New Roman" w:hAnsi="Times New Roman" w:cs="Times New Roman"/>
                <w:sz w:val="24"/>
                <w:szCs w:val="24"/>
              </w:rPr>
              <w:t>wiem jest sprzeczna z prawem UE</w:t>
            </w:r>
            <w:r w:rsidR="006B11C6">
              <w:rPr>
                <w:rFonts w:ascii="Times New Roman" w:hAnsi="Times New Roman" w:cs="Times New Roman"/>
                <w:sz w:val="24"/>
                <w:szCs w:val="24"/>
              </w:rPr>
              <w:t>, w szczególności z</w:t>
            </w:r>
            <w:r w:rsidR="00485AD0">
              <w:rPr>
                <w:rFonts w:ascii="Times New Roman" w:hAnsi="Times New Roman" w:cs="Times New Roman"/>
                <w:sz w:val="24"/>
                <w:szCs w:val="24"/>
              </w:rPr>
              <w:t>:</w:t>
            </w:r>
          </w:p>
          <w:p w:rsidR="00485AD0" w:rsidRDefault="00485AD0" w:rsidP="00AF7942">
            <w:pPr>
              <w:jc w:val="both"/>
              <w:rPr>
                <w:rFonts w:ascii="Times New Roman" w:hAnsi="Times New Roman" w:cs="Times New Roman"/>
                <w:sz w:val="24"/>
                <w:szCs w:val="24"/>
              </w:rPr>
            </w:pPr>
            <w:r>
              <w:rPr>
                <w:rFonts w:ascii="Times New Roman" w:hAnsi="Times New Roman" w:cs="Times New Roman"/>
                <w:sz w:val="24"/>
                <w:szCs w:val="24"/>
              </w:rPr>
              <w:t>1) art. 38 ust. 1 i 2 dyrektywy</w:t>
            </w:r>
            <w:r w:rsidRPr="00485AD0">
              <w:rPr>
                <w:rFonts w:ascii="Times New Roman" w:hAnsi="Times New Roman" w:cs="Times New Roman"/>
                <w:sz w:val="24"/>
                <w:szCs w:val="24"/>
              </w:rPr>
              <w:t xml:space="preserve"> Parlamentu Europejskiego i Rady 2019/944 z dnia 5 czerwca 2019 r. dotyczącej wspólnych zasad rynku wewnętrznego energ</w:t>
            </w:r>
            <w:r>
              <w:rPr>
                <w:rFonts w:ascii="Times New Roman" w:hAnsi="Times New Roman" w:cs="Times New Roman"/>
                <w:sz w:val="24"/>
                <w:szCs w:val="24"/>
              </w:rPr>
              <w:t>ii elektrycznej oraz zmieniającej</w:t>
            </w:r>
            <w:r w:rsidRPr="00485AD0">
              <w:rPr>
                <w:rFonts w:ascii="Times New Roman" w:hAnsi="Times New Roman" w:cs="Times New Roman"/>
                <w:sz w:val="24"/>
                <w:szCs w:val="24"/>
              </w:rPr>
              <w:t xml:space="preserve"> dyrektywę 2012/27/WE (Dz. U. UE. L. 158 z 14. 06. 2019, str. 125)</w:t>
            </w:r>
            <w:r>
              <w:rPr>
                <w:rFonts w:ascii="Times New Roman" w:hAnsi="Times New Roman" w:cs="Times New Roman"/>
                <w:sz w:val="24"/>
                <w:szCs w:val="24"/>
              </w:rPr>
              <w:t>;</w:t>
            </w:r>
          </w:p>
          <w:p w:rsidR="006B11C6" w:rsidRDefault="00485AD0" w:rsidP="00AF7942">
            <w:pPr>
              <w:jc w:val="both"/>
              <w:rPr>
                <w:rFonts w:ascii="Times New Roman" w:hAnsi="Times New Roman" w:cs="Times New Roman"/>
                <w:sz w:val="24"/>
                <w:szCs w:val="24"/>
              </w:rPr>
            </w:pPr>
            <w:r>
              <w:rPr>
                <w:rFonts w:ascii="Times New Roman" w:hAnsi="Times New Roman" w:cs="Times New Roman"/>
                <w:sz w:val="24"/>
                <w:szCs w:val="24"/>
              </w:rPr>
              <w:t xml:space="preserve">2) </w:t>
            </w:r>
            <w:r w:rsidR="006B11C6">
              <w:rPr>
                <w:rFonts w:ascii="Times New Roman" w:hAnsi="Times New Roman" w:cs="Times New Roman"/>
                <w:sz w:val="24"/>
                <w:szCs w:val="24"/>
              </w:rPr>
              <w:t>art. 28 ust. 1 i 4 dyrektywy</w:t>
            </w:r>
            <w:r w:rsidR="006B11C6" w:rsidRPr="006B11C6">
              <w:rPr>
                <w:rFonts w:ascii="Times New Roman" w:hAnsi="Times New Roman" w:cs="Times New Roman"/>
                <w:sz w:val="24"/>
                <w:szCs w:val="24"/>
              </w:rPr>
              <w:t xml:space="preserve"> Parlamentu Europejskiego i Rady 2009/73/WE z dnia 13 lipca 2009 r. dotyczącej wspólnych zasad rynku wewnętrznego gazu ziemnego i uchylającej dyrektywę 2003/55/WE (Dz. U. UE. L. 211 z 14.08. 2009, str. 94)</w:t>
            </w:r>
          </w:p>
          <w:p w:rsidR="00456BBA" w:rsidRDefault="00456BBA" w:rsidP="00AF7942">
            <w:pPr>
              <w:jc w:val="both"/>
              <w:rPr>
                <w:rFonts w:ascii="Times New Roman" w:hAnsi="Times New Roman" w:cs="Times New Roman"/>
                <w:sz w:val="24"/>
                <w:szCs w:val="24"/>
              </w:rPr>
            </w:pPr>
            <w:r>
              <w:rPr>
                <w:rFonts w:ascii="Times New Roman" w:hAnsi="Times New Roman" w:cs="Times New Roman"/>
                <w:sz w:val="24"/>
                <w:szCs w:val="24"/>
              </w:rPr>
              <w:t>- w zakresie defnicji zamkniętego systemu dystrybucyjnego.</w:t>
            </w:r>
          </w:p>
          <w:p w:rsidR="00AF7942" w:rsidRDefault="00485AD0" w:rsidP="00AF7942">
            <w:pPr>
              <w:jc w:val="both"/>
              <w:rPr>
                <w:rFonts w:ascii="Times New Roman" w:hAnsi="Times New Roman" w:cs="Times New Roman"/>
                <w:sz w:val="24"/>
                <w:szCs w:val="24"/>
              </w:rPr>
            </w:pPr>
            <w:r>
              <w:rPr>
                <w:rFonts w:ascii="Times New Roman" w:hAnsi="Times New Roman" w:cs="Times New Roman"/>
                <w:sz w:val="24"/>
                <w:szCs w:val="24"/>
              </w:rPr>
              <w:t>oraz mogłaby prowadzić do obejścia prawa.</w:t>
            </w:r>
          </w:p>
          <w:p w:rsidR="001F65E8" w:rsidRDefault="00B5201D" w:rsidP="00AF7942">
            <w:pPr>
              <w:jc w:val="both"/>
              <w:rPr>
                <w:rFonts w:ascii="Times New Roman" w:hAnsi="Times New Roman" w:cs="Times New Roman"/>
                <w:sz w:val="24"/>
                <w:szCs w:val="24"/>
              </w:rPr>
            </w:pPr>
            <w:r>
              <w:rPr>
                <w:rFonts w:ascii="Times New Roman" w:hAnsi="Times New Roman" w:cs="Times New Roman"/>
                <w:sz w:val="24"/>
                <w:szCs w:val="24"/>
              </w:rPr>
              <w:t>Zgodnie z prawem UE c</w:t>
            </w:r>
            <w:r w:rsidR="001F65E8">
              <w:rPr>
                <w:rFonts w:ascii="Times New Roman" w:hAnsi="Times New Roman" w:cs="Times New Roman"/>
                <w:sz w:val="24"/>
                <w:szCs w:val="24"/>
              </w:rPr>
              <w:t xml:space="preserve">złonkami spółdzielni energetycznej mogą być praktycznie jedynie odbiorcy w gospodarstwach domowych. </w:t>
            </w:r>
          </w:p>
          <w:p w:rsidR="00485AD0" w:rsidRPr="00DB2B9B" w:rsidRDefault="001F65E8" w:rsidP="00AF7942">
            <w:pPr>
              <w:jc w:val="both"/>
              <w:rPr>
                <w:rFonts w:ascii="Times New Roman" w:hAnsi="Times New Roman" w:cs="Times New Roman"/>
                <w:sz w:val="24"/>
                <w:szCs w:val="24"/>
              </w:rPr>
            </w:pPr>
            <w:r>
              <w:rPr>
                <w:rFonts w:ascii="Times New Roman" w:hAnsi="Times New Roman" w:cs="Times New Roman"/>
                <w:sz w:val="24"/>
                <w:szCs w:val="24"/>
              </w:rPr>
              <w:t>Przedmiotowa propozycja mogłaby ograniczyć prawo do zmiany dostawcy energii elektrycznej lub paliw gazowych.</w:t>
            </w:r>
          </w:p>
          <w:p w:rsidR="0037297C" w:rsidRPr="00DB2B9B" w:rsidRDefault="0037297C" w:rsidP="004B1D44">
            <w:pPr>
              <w:jc w:val="both"/>
              <w:rPr>
                <w:rFonts w:ascii="Times New Roman" w:hAnsi="Times New Roman" w:cs="Times New Roman"/>
                <w:sz w:val="24"/>
                <w:szCs w:val="24"/>
              </w:rPr>
            </w:pPr>
          </w:p>
        </w:tc>
      </w:tr>
    </w:tbl>
    <w:p w:rsidR="00A84280" w:rsidRPr="00DB2B9B" w:rsidRDefault="00A84280" w:rsidP="00B06E69">
      <w:pPr>
        <w:jc w:val="both"/>
        <w:rPr>
          <w:rFonts w:ascii="Times New Roman" w:hAnsi="Times New Roman" w:cs="Times New Roman"/>
          <w:sz w:val="24"/>
          <w:szCs w:val="24"/>
        </w:rPr>
      </w:pPr>
    </w:p>
    <w:sectPr w:rsidR="00A84280" w:rsidRPr="00DB2B9B" w:rsidSect="00347F16">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E7E" w:rsidRDefault="00CF6E7E" w:rsidP="00FB7425">
      <w:pPr>
        <w:spacing w:after="0" w:line="240" w:lineRule="auto"/>
      </w:pPr>
      <w:r>
        <w:separator/>
      </w:r>
    </w:p>
  </w:endnote>
  <w:endnote w:type="continuationSeparator" w:id="0">
    <w:p w:rsidR="00CF6E7E" w:rsidRDefault="00CF6E7E" w:rsidP="00FB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E7E" w:rsidRDefault="00CF6E7E" w:rsidP="00FB7425">
      <w:pPr>
        <w:spacing w:after="0" w:line="240" w:lineRule="auto"/>
      </w:pPr>
      <w:r>
        <w:separator/>
      </w:r>
    </w:p>
  </w:footnote>
  <w:footnote w:type="continuationSeparator" w:id="0">
    <w:p w:rsidR="00CF6E7E" w:rsidRDefault="00CF6E7E" w:rsidP="00FB7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13" w:rsidRPr="00B06E69" w:rsidRDefault="008A2F13" w:rsidP="00FB7425">
    <w:pPr>
      <w:pStyle w:val="Nagwek"/>
      <w:jc w:val="center"/>
      <w:rPr>
        <w:rFonts w:ascii="Times New Roman" w:hAnsi="Times New Roman" w:cs="Times New Roman"/>
        <w:b/>
        <w:sz w:val="28"/>
        <w:szCs w:val="28"/>
      </w:rPr>
    </w:pPr>
    <w:r w:rsidRPr="00B06E69">
      <w:rPr>
        <w:rFonts w:ascii="Times New Roman" w:hAnsi="Times New Roman" w:cs="Times New Roman"/>
        <w:b/>
        <w:sz w:val="28"/>
        <w:szCs w:val="28"/>
      </w:rPr>
      <w:t>Zestawienie uwag resortów do projektu ustawy o zmianie ustawy – Prawo energetyczne oraz niektórych innych ustaw (UC17) zgłoszonych na Komitet ds. Europejskich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B5F9A"/>
    <w:multiLevelType w:val="hybridMultilevel"/>
    <w:tmpl w:val="D96C8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50"/>
    <w:rsid w:val="00010867"/>
    <w:rsid w:val="00011C28"/>
    <w:rsid w:val="00012EE5"/>
    <w:rsid w:val="00020DBC"/>
    <w:rsid w:val="00025C18"/>
    <w:rsid w:val="00032FA1"/>
    <w:rsid w:val="00034A91"/>
    <w:rsid w:val="000418CB"/>
    <w:rsid w:val="0005132E"/>
    <w:rsid w:val="00071C54"/>
    <w:rsid w:val="00087667"/>
    <w:rsid w:val="00095719"/>
    <w:rsid w:val="000A22EB"/>
    <w:rsid w:val="000A2B50"/>
    <w:rsid w:val="000A6302"/>
    <w:rsid w:val="000B3B52"/>
    <w:rsid w:val="000C1D56"/>
    <w:rsid w:val="000C213A"/>
    <w:rsid w:val="000C34AB"/>
    <w:rsid w:val="000C5234"/>
    <w:rsid w:val="000D3D32"/>
    <w:rsid w:val="000D7F3E"/>
    <w:rsid w:val="000F71A7"/>
    <w:rsid w:val="00120EBF"/>
    <w:rsid w:val="00143423"/>
    <w:rsid w:val="00147F00"/>
    <w:rsid w:val="001574AB"/>
    <w:rsid w:val="00182147"/>
    <w:rsid w:val="001A0AC3"/>
    <w:rsid w:val="001A2426"/>
    <w:rsid w:val="001B0BC5"/>
    <w:rsid w:val="001B3423"/>
    <w:rsid w:val="001C0623"/>
    <w:rsid w:val="001D08F0"/>
    <w:rsid w:val="001D54B9"/>
    <w:rsid w:val="001D6AF2"/>
    <w:rsid w:val="001F65E4"/>
    <w:rsid w:val="001F65E8"/>
    <w:rsid w:val="001F6F95"/>
    <w:rsid w:val="001F7A87"/>
    <w:rsid w:val="002159F8"/>
    <w:rsid w:val="00221A66"/>
    <w:rsid w:val="00222E24"/>
    <w:rsid w:val="00224B31"/>
    <w:rsid w:val="00233785"/>
    <w:rsid w:val="00241050"/>
    <w:rsid w:val="00247828"/>
    <w:rsid w:val="00247CCE"/>
    <w:rsid w:val="00250475"/>
    <w:rsid w:val="00264B00"/>
    <w:rsid w:val="0028458E"/>
    <w:rsid w:val="002D58BE"/>
    <w:rsid w:val="002E244B"/>
    <w:rsid w:val="002E7AEC"/>
    <w:rsid w:val="002F0BD8"/>
    <w:rsid w:val="0030495F"/>
    <w:rsid w:val="00305271"/>
    <w:rsid w:val="003162A0"/>
    <w:rsid w:val="003321EA"/>
    <w:rsid w:val="00347F16"/>
    <w:rsid w:val="003611DC"/>
    <w:rsid w:val="003660BC"/>
    <w:rsid w:val="00370A04"/>
    <w:rsid w:val="0037297C"/>
    <w:rsid w:val="00382698"/>
    <w:rsid w:val="00385A61"/>
    <w:rsid w:val="003B2820"/>
    <w:rsid w:val="003B2DE3"/>
    <w:rsid w:val="003B491A"/>
    <w:rsid w:val="003D0511"/>
    <w:rsid w:val="003D5A8B"/>
    <w:rsid w:val="003E0DC1"/>
    <w:rsid w:val="003E165D"/>
    <w:rsid w:val="003E4E65"/>
    <w:rsid w:val="003E5E1F"/>
    <w:rsid w:val="003F0E77"/>
    <w:rsid w:val="00405691"/>
    <w:rsid w:val="00427113"/>
    <w:rsid w:val="00431324"/>
    <w:rsid w:val="00433478"/>
    <w:rsid w:val="00451C69"/>
    <w:rsid w:val="0045293D"/>
    <w:rsid w:val="004537AF"/>
    <w:rsid w:val="00456BBA"/>
    <w:rsid w:val="004602B3"/>
    <w:rsid w:val="00465AA6"/>
    <w:rsid w:val="00466809"/>
    <w:rsid w:val="00470909"/>
    <w:rsid w:val="00485AD0"/>
    <w:rsid w:val="004905BA"/>
    <w:rsid w:val="00495A5C"/>
    <w:rsid w:val="004A159A"/>
    <w:rsid w:val="004B1D44"/>
    <w:rsid w:val="004B328E"/>
    <w:rsid w:val="004C5523"/>
    <w:rsid w:val="004C6857"/>
    <w:rsid w:val="004E5687"/>
    <w:rsid w:val="00505742"/>
    <w:rsid w:val="00510C8B"/>
    <w:rsid w:val="0053616B"/>
    <w:rsid w:val="0053700A"/>
    <w:rsid w:val="00550DBB"/>
    <w:rsid w:val="00552E28"/>
    <w:rsid w:val="00553938"/>
    <w:rsid w:val="00563435"/>
    <w:rsid w:val="005649B1"/>
    <w:rsid w:val="00567757"/>
    <w:rsid w:val="005720B3"/>
    <w:rsid w:val="00574E6A"/>
    <w:rsid w:val="005B0324"/>
    <w:rsid w:val="005C0C04"/>
    <w:rsid w:val="005D12B2"/>
    <w:rsid w:val="005F0B2E"/>
    <w:rsid w:val="005F4AA7"/>
    <w:rsid w:val="006202A4"/>
    <w:rsid w:val="00631CDD"/>
    <w:rsid w:val="00634C34"/>
    <w:rsid w:val="00636A74"/>
    <w:rsid w:val="00641F71"/>
    <w:rsid w:val="0064726A"/>
    <w:rsid w:val="00673D89"/>
    <w:rsid w:val="00675568"/>
    <w:rsid w:val="006935BE"/>
    <w:rsid w:val="00693FF2"/>
    <w:rsid w:val="006A7685"/>
    <w:rsid w:val="006B11C6"/>
    <w:rsid w:val="006D0C4E"/>
    <w:rsid w:val="006F346A"/>
    <w:rsid w:val="00715248"/>
    <w:rsid w:val="00716F8E"/>
    <w:rsid w:val="0072630D"/>
    <w:rsid w:val="0073123E"/>
    <w:rsid w:val="00735D4B"/>
    <w:rsid w:val="00736B76"/>
    <w:rsid w:val="007433C4"/>
    <w:rsid w:val="00745DF8"/>
    <w:rsid w:val="007471D9"/>
    <w:rsid w:val="00754CB9"/>
    <w:rsid w:val="00762201"/>
    <w:rsid w:val="007671B2"/>
    <w:rsid w:val="0077041C"/>
    <w:rsid w:val="0077075E"/>
    <w:rsid w:val="00773B27"/>
    <w:rsid w:val="00780CCD"/>
    <w:rsid w:val="007A6E75"/>
    <w:rsid w:val="007B21A2"/>
    <w:rsid w:val="007B6A08"/>
    <w:rsid w:val="007C50E8"/>
    <w:rsid w:val="007C66AC"/>
    <w:rsid w:val="007D62C0"/>
    <w:rsid w:val="007E140C"/>
    <w:rsid w:val="007E27E1"/>
    <w:rsid w:val="007E7450"/>
    <w:rsid w:val="007F1BAC"/>
    <w:rsid w:val="008448F0"/>
    <w:rsid w:val="00850992"/>
    <w:rsid w:val="00851797"/>
    <w:rsid w:val="0086448A"/>
    <w:rsid w:val="00875D48"/>
    <w:rsid w:val="00894090"/>
    <w:rsid w:val="00894C47"/>
    <w:rsid w:val="008A17BF"/>
    <w:rsid w:val="008A2F13"/>
    <w:rsid w:val="008B6E3F"/>
    <w:rsid w:val="008C353E"/>
    <w:rsid w:val="009178A5"/>
    <w:rsid w:val="009228D2"/>
    <w:rsid w:val="00924760"/>
    <w:rsid w:val="00930D62"/>
    <w:rsid w:val="00940AA3"/>
    <w:rsid w:val="00946205"/>
    <w:rsid w:val="00950223"/>
    <w:rsid w:val="00976B1A"/>
    <w:rsid w:val="00982F7E"/>
    <w:rsid w:val="009977C7"/>
    <w:rsid w:val="009A1F9D"/>
    <w:rsid w:val="009B36AE"/>
    <w:rsid w:val="009C2D0B"/>
    <w:rsid w:val="009C4CB4"/>
    <w:rsid w:val="009C4E35"/>
    <w:rsid w:val="009C62FA"/>
    <w:rsid w:val="009D496D"/>
    <w:rsid w:val="009E3A6A"/>
    <w:rsid w:val="009F089D"/>
    <w:rsid w:val="009F2FC8"/>
    <w:rsid w:val="00A01C47"/>
    <w:rsid w:val="00A41FE0"/>
    <w:rsid w:val="00A54860"/>
    <w:rsid w:val="00A621D1"/>
    <w:rsid w:val="00A62542"/>
    <w:rsid w:val="00A62F4E"/>
    <w:rsid w:val="00A84280"/>
    <w:rsid w:val="00AA70D9"/>
    <w:rsid w:val="00AE6639"/>
    <w:rsid w:val="00AF7942"/>
    <w:rsid w:val="00B06E69"/>
    <w:rsid w:val="00B11A42"/>
    <w:rsid w:val="00B20385"/>
    <w:rsid w:val="00B24A98"/>
    <w:rsid w:val="00B256F7"/>
    <w:rsid w:val="00B37BD2"/>
    <w:rsid w:val="00B5201D"/>
    <w:rsid w:val="00B614D3"/>
    <w:rsid w:val="00B73D7A"/>
    <w:rsid w:val="00B950D0"/>
    <w:rsid w:val="00BC0742"/>
    <w:rsid w:val="00BC7329"/>
    <w:rsid w:val="00BD60CC"/>
    <w:rsid w:val="00BE1DE8"/>
    <w:rsid w:val="00BF4B41"/>
    <w:rsid w:val="00BF5CE6"/>
    <w:rsid w:val="00BF6B8D"/>
    <w:rsid w:val="00C1392C"/>
    <w:rsid w:val="00C64928"/>
    <w:rsid w:val="00C762C0"/>
    <w:rsid w:val="00C802A6"/>
    <w:rsid w:val="00C858A5"/>
    <w:rsid w:val="00C90AB9"/>
    <w:rsid w:val="00CA3B34"/>
    <w:rsid w:val="00CF66D4"/>
    <w:rsid w:val="00CF67EB"/>
    <w:rsid w:val="00CF6E7E"/>
    <w:rsid w:val="00CF7942"/>
    <w:rsid w:val="00D0170F"/>
    <w:rsid w:val="00D0482E"/>
    <w:rsid w:val="00D227C1"/>
    <w:rsid w:val="00D26848"/>
    <w:rsid w:val="00D27BA9"/>
    <w:rsid w:val="00D32FA6"/>
    <w:rsid w:val="00D345AF"/>
    <w:rsid w:val="00D4400B"/>
    <w:rsid w:val="00D5576D"/>
    <w:rsid w:val="00D55C70"/>
    <w:rsid w:val="00D67D89"/>
    <w:rsid w:val="00D73991"/>
    <w:rsid w:val="00D822A4"/>
    <w:rsid w:val="00D91389"/>
    <w:rsid w:val="00DA56AC"/>
    <w:rsid w:val="00DB2B9B"/>
    <w:rsid w:val="00DD3190"/>
    <w:rsid w:val="00DD371F"/>
    <w:rsid w:val="00DD60EF"/>
    <w:rsid w:val="00DD7B35"/>
    <w:rsid w:val="00DE1863"/>
    <w:rsid w:val="00DE1DF2"/>
    <w:rsid w:val="00DF7772"/>
    <w:rsid w:val="00E060FF"/>
    <w:rsid w:val="00E1143B"/>
    <w:rsid w:val="00E11F6B"/>
    <w:rsid w:val="00E37A4E"/>
    <w:rsid w:val="00E53631"/>
    <w:rsid w:val="00E60ED4"/>
    <w:rsid w:val="00E66BEB"/>
    <w:rsid w:val="00E67A82"/>
    <w:rsid w:val="00E70D2B"/>
    <w:rsid w:val="00E832AD"/>
    <w:rsid w:val="00E97ADC"/>
    <w:rsid w:val="00EA13CF"/>
    <w:rsid w:val="00EA6A26"/>
    <w:rsid w:val="00EB05F7"/>
    <w:rsid w:val="00EB14A6"/>
    <w:rsid w:val="00ED58C4"/>
    <w:rsid w:val="00EF6F31"/>
    <w:rsid w:val="00F12317"/>
    <w:rsid w:val="00F22655"/>
    <w:rsid w:val="00F26C5B"/>
    <w:rsid w:val="00F32E98"/>
    <w:rsid w:val="00F61949"/>
    <w:rsid w:val="00F62A34"/>
    <w:rsid w:val="00F71A8C"/>
    <w:rsid w:val="00F77F26"/>
    <w:rsid w:val="00F86BC4"/>
    <w:rsid w:val="00F9272E"/>
    <w:rsid w:val="00F93B21"/>
    <w:rsid w:val="00FA332B"/>
    <w:rsid w:val="00FB4263"/>
    <w:rsid w:val="00FB5F9B"/>
    <w:rsid w:val="00FB7425"/>
    <w:rsid w:val="00FD0999"/>
    <w:rsid w:val="00FE1CBE"/>
    <w:rsid w:val="00FF3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58B4C-F7B7-4B08-8594-D0036CF2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34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1143B"/>
    <w:rPr>
      <w:color w:val="0563C1" w:themeColor="hyperlink"/>
      <w:u w:val="single"/>
    </w:rPr>
  </w:style>
  <w:style w:type="table" w:styleId="Tabela-Siatka">
    <w:name w:val="Table Grid"/>
    <w:basedOn w:val="Standardowy"/>
    <w:uiPriority w:val="39"/>
    <w:rsid w:val="00FB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B74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7425"/>
  </w:style>
  <w:style w:type="paragraph" w:styleId="Stopka">
    <w:name w:val="footer"/>
    <w:basedOn w:val="Normalny"/>
    <w:link w:val="StopkaZnak"/>
    <w:uiPriority w:val="99"/>
    <w:unhideWhenUsed/>
    <w:rsid w:val="00FB74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425"/>
  </w:style>
  <w:style w:type="character" w:styleId="Odwoaniedokomentarza">
    <w:name w:val="annotation reference"/>
    <w:basedOn w:val="Domylnaczcionkaakapitu"/>
    <w:uiPriority w:val="99"/>
    <w:semiHidden/>
    <w:unhideWhenUsed/>
    <w:rsid w:val="002E244B"/>
    <w:rPr>
      <w:sz w:val="16"/>
      <w:szCs w:val="16"/>
    </w:rPr>
  </w:style>
  <w:style w:type="paragraph" w:styleId="Tekstkomentarza">
    <w:name w:val="annotation text"/>
    <w:basedOn w:val="Normalny"/>
    <w:link w:val="TekstkomentarzaZnak"/>
    <w:uiPriority w:val="99"/>
    <w:semiHidden/>
    <w:unhideWhenUsed/>
    <w:rsid w:val="002E24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244B"/>
    <w:rPr>
      <w:sz w:val="20"/>
      <w:szCs w:val="20"/>
    </w:rPr>
  </w:style>
  <w:style w:type="paragraph" w:styleId="Tematkomentarza">
    <w:name w:val="annotation subject"/>
    <w:basedOn w:val="Tekstkomentarza"/>
    <w:next w:val="Tekstkomentarza"/>
    <w:link w:val="TematkomentarzaZnak"/>
    <w:uiPriority w:val="99"/>
    <w:semiHidden/>
    <w:unhideWhenUsed/>
    <w:rsid w:val="002E244B"/>
    <w:rPr>
      <w:b/>
      <w:bCs/>
    </w:rPr>
  </w:style>
  <w:style w:type="character" w:customStyle="1" w:styleId="TematkomentarzaZnak">
    <w:name w:val="Temat komentarza Znak"/>
    <w:basedOn w:val="TekstkomentarzaZnak"/>
    <w:link w:val="Tematkomentarza"/>
    <w:uiPriority w:val="99"/>
    <w:semiHidden/>
    <w:rsid w:val="002E244B"/>
    <w:rPr>
      <w:b/>
      <w:bCs/>
      <w:sz w:val="20"/>
      <w:szCs w:val="20"/>
    </w:rPr>
  </w:style>
  <w:style w:type="paragraph" w:styleId="Tekstdymka">
    <w:name w:val="Balloon Text"/>
    <w:basedOn w:val="Normalny"/>
    <w:link w:val="TekstdymkaZnak"/>
    <w:uiPriority w:val="99"/>
    <w:semiHidden/>
    <w:unhideWhenUsed/>
    <w:rsid w:val="002E24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244B"/>
    <w:rPr>
      <w:rFonts w:ascii="Tahoma" w:hAnsi="Tahoma" w:cs="Tahoma"/>
      <w:sz w:val="16"/>
      <w:szCs w:val="16"/>
    </w:rPr>
  </w:style>
  <w:style w:type="paragraph" w:styleId="Akapitzlist">
    <w:name w:val="List Paragraph"/>
    <w:basedOn w:val="Normalny"/>
    <w:uiPriority w:val="34"/>
    <w:qFormat/>
    <w:rsid w:val="003E5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9646">
      <w:bodyDiv w:val="1"/>
      <w:marLeft w:val="0"/>
      <w:marRight w:val="0"/>
      <w:marTop w:val="0"/>
      <w:marBottom w:val="0"/>
      <w:divBdr>
        <w:top w:val="none" w:sz="0" w:space="0" w:color="auto"/>
        <w:left w:val="none" w:sz="0" w:space="0" w:color="auto"/>
        <w:bottom w:val="none" w:sz="0" w:space="0" w:color="auto"/>
        <w:right w:val="none" w:sz="0" w:space="0" w:color="auto"/>
      </w:divBdr>
    </w:div>
    <w:div w:id="9758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6815B-2D75-4C54-BC8A-11ADE86E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17724</Words>
  <Characters>106350</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Bartuszek Lukasz</dc:creator>
  <cp:lastModifiedBy>Bartuszek Lukasz</cp:lastModifiedBy>
  <cp:revision>2</cp:revision>
  <dcterms:created xsi:type="dcterms:W3CDTF">2020-07-02T05:40:00Z</dcterms:created>
  <dcterms:modified xsi:type="dcterms:W3CDTF">2020-07-02T05:40:00Z</dcterms:modified>
</cp:coreProperties>
</file>