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42" w:rsidRPr="00603162" w:rsidRDefault="00B01242" w:rsidP="00E61AA6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09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368"/>
        <w:gridCol w:w="424"/>
        <w:gridCol w:w="465"/>
        <w:gridCol w:w="569"/>
        <w:gridCol w:w="130"/>
        <w:gridCol w:w="440"/>
        <w:gridCol w:w="559"/>
        <w:gridCol w:w="11"/>
        <w:gridCol w:w="153"/>
        <w:gridCol w:w="416"/>
        <w:gridCol w:w="358"/>
        <w:gridCol w:w="212"/>
        <w:gridCol w:w="570"/>
        <w:gridCol w:w="80"/>
        <w:gridCol w:w="76"/>
        <w:gridCol w:w="414"/>
        <w:gridCol w:w="523"/>
        <w:gridCol w:w="46"/>
        <w:gridCol w:w="266"/>
        <w:gridCol w:w="304"/>
        <w:gridCol w:w="322"/>
        <w:gridCol w:w="248"/>
        <w:gridCol w:w="570"/>
        <w:gridCol w:w="120"/>
        <w:gridCol w:w="1434"/>
      </w:tblGrid>
      <w:tr w:rsidR="00500F59" w:rsidRPr="00603162" w:rsidTr="001D2286">
        <w:trPr>
          <w:trHeight w:val="1611"/>
        </w:trPr>
        <w:tc>
          <w:tcPr>
            <w:tcW w:w="6627" w:type="dxa"/>
            <w:gridSpan w:val="15"/>
          </w:tcPr>
          <w:p w:rsidR="006F5BEA" w:rsidRPr="008B4FE6" w:rsidRDefault="006F5BEA" w:rsidP="006F5BEA">
            <w:pPr>
              <w:spacing w:before="120" w:line="240" w:lineRule="auto"/>
              <w:ind w:hanging="45"/>
              <w:rPr>
                <w:rFonts w:ascii="Times New Roman" w:hAnsi="Times New Roman"/>
                <w:color w:val="000000"/>
              </w:rPr>
            </w:pPr>
            <w:bookmarkStart w:id="1" w:name="t1"/>
            <w:r w:rsidRPr="008B4FE6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>
              <w:rPr>
                <w:rFonts w:ascii="Times New Roman" w:hAnsi="Times New Roman"/>
                <w:b/>
                <w:color w:val="000000"/>
              </w:rPr>
              <w:t>projektu</w:t>
            </w:r>
          </w:p>
          <w:p w:rsidR="006F5BEA" w:rsidRPr="008B4FE6" w:rsidRDefault="006F5BEA" w:rsidP="006F5BEA">
            <w:pPr>
              <w:spacing w:before="120" w:line="240" w:lineRule="auto"/>
              <w:ind w:hanging="45"/>
              <w:jc w:val="both"/>
              <w:rPr>
                <w:rFonts w:ascii="Times New Roman" w:hAnsi="Times New Roman"/>
                <w:color w:val="000000"/>
              </w:rPr>
            </w:pPr>
            <w:r w:rsidRPr="00383B42">
              <w:rPr>
                <w:rFonts w:ascii="Times New Roman" w:hAnsi="Times New Roman"/>
                <w:bCs/>
                <w:color w:val="000000"/>
              </w:rPr>
              <w:t>Projekt ustawy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383B42">
              <w:rPr>
                <w:rFonts w:ascii="Times New Roman" w:hAnsi="Times New Roman"/>
                <w:color w:val="000000"/>
              </w:rPr>
              <w:t>o zmianie ustawy o podatku dochodowym od osób prawnych oraz niektórych innych ustaw</w:t>
            </w:r>
          </w:p>
          <w:p w:rsidR="006F5BEA" w:rsidRPr="008B4FE6" w:rsidRDefault="006F5BEA" w:rsidP="006F5BEA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p w:rsidR="006F5BEA" w:rsidRDefault="006F5BEA" w:rsidP="006F5BEA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383B42">
              <w:rPr>
                <w:rFonts w:ascii="Times New Roman" w:hAnsi="Times New Roman"/>
                <w:color w:val="000000"/>
              </w:rPr>
              <w:t>Ministerstwo Finansów</w:t>
            </w:r>
            <w:bookmarkEnd w:id="1"/>
          </w:p>
          <w:p w:rsidR="006F5BEA" w:rsidRPr="006F5BEA" w:rsidRDefault="006F5BEA" w:rsidP="006F5BEA">
            <w:pPr>
              <w:spacing w:before="240"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642825">
              <w:rPr>
                <w:rFonts w:ascii="Times New Roman" w:hAnsi="Times New Roman"/>
                <w:b/>
                <w:sz w:val="21"/>
                <w:szCs w:val="24"/>
              </w:rPr>
              <w:t>Osoba odpowiedzialna za projekt w randze Ministra, Sekretarza Stanu lub Podsekretarza Stanu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6F5BEA" w:rsidRPr="0063060B" w:rsidRDefault="006F5BEA" w:rsidP="006F5BEA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Jan Sarnowski</w:t>
            </w:r>
            <w:r w:rsidRPr="00383B42">
              <w:rPr>
                <w:rFonts w:ascii="Times New Roman" w:hAnsi="Times New Roman"/>
                <w:sz w:val="21"/>
                <w:szCs w:val="21"/>
              </w:rPr>
              <w:t>, Podsekretarz Stanu w Ministerstwie Finansów</w:t>
            </w:r>
          </w:p>
          <w:p w:rsidR="006F5BEA" w:rsidRPr="008B4FE6" w:rsidRDefault="006F5BEA" w:rsidP="006F5BEA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:rsidR="006F5BEA" w:rsidRPr="00383B42" w:rsidRDefault="006F5BEA" w:rsidP="006F5BEA">
            <w:pPr>
              <w:spacing w:before="120" w:line="240" w:lineRule="auto"/>
              <w:ind w:hanging="4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Aleksander Łożykowski</w:t>
            </w:r>
          </w:p>
          <w:p w:rsidR="006F5BEA" w:rsidRPr="00383B42" w:rsidRDefault="006F5BEA" w:rsidP="00702500">
            <w:pPr>
              <w:spacing w:line="240" w:lineRule="auto"/>
              <w:ind w:hanging="45"/>
              <w:rPr>
                <w:rFonts w:ascii="Times New Roman" w:hAnsi="Times New Roman"/>
                <w:color w:val="000000"/>
              </w:rPr>
            </w:pPr>
            <w:r w:rsidRPr="00383B42">
              <w:rPr>
                <w:rFonts w:ascii="Times New Roman" w:hAnsi="Times New Roman"/>
                <w:color w:val="000000"/>
              </w:rPr>
              <w:t>Dyrektor Departamentu Podatków Dochodowych</w:t>
            </w:r>
          </w:p>
          <w:p w:rsidR="006F5BEA" w:rsidRPr="00383B42" w:rsidRDefault="006F5BEA" w:rsidP="00702500">
            <w:pPr>
              <w:spacing w:line="240" w:lineRule="auto"/>
              <w:ind w:hanging="45"/>
              <w:rPr>
                <w:rFonts w:ascii="Times New Roman" w:hAnsi="Times New Roman"/>
                <w:color w:val="000000"/>
              </w:rPr>
            </w:pPr>
            <w:r w:rsidRPr="00383B42">
              <w:rPr>
                <w:rFonts w:ascii="Times New Roman" w:hAnsi="Times New Roman"/>
                <w:color w:val="000000"/>
              </w:rPr>
              <w:t>w Ministerstwie Finansów</w:t>
            </w:r>
            <w:r>
              <w:rPr>
                <w:rFonts w:ascii="Times New Roman" w:hAnsi="Times New Roman"/>
                <w:color w:val="000000"/>
              </w:rPr>
              <w:t>, tel.: (22) 694-33-26</w:t>
            </w:r>
            <w:r w:rsidRPr="00383B42">
              <w:rPr>
                <w:rFonts w:ascii="Times New Roman" w:hAnsi="Times New Roman"/>
                <w:color w:val="000000"/>
              </w:rPr>
              <w:t>,</w:t>
            </w:r>
          </w:p>
          <w:p w:rsidR="002432E5" w:rsidRPr="00A54C84" w:rsidRDefault="006F5BEA" w:rsidP="006F5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A54C84">
              <w:rPr>
                <w:rFonts w:ascii="Times New Roman" w:hAnsi="Times New Roman"/>
                <w:color w:val="000000"/>
                <w:lang w:val="en-GB"/>
              </w:rPr>
              <w:t>e-mail: aleksander.lozykowski@mf.gov.pl</w:t>
            </w:r>
          </w:p>
        </w:tc>
        <w:tc>
          <w:tcPr>
            <w:tcW w:w="4323" w:type="dxa"/>
            <w:gridSpan w:val="11"/>
            <w:shd w:val="clear" w:color="auto" w:fill="FFFFFF"/>
          </w:tcPr>
          <w:p w:rsidR="006F5BEA" w:rsidRPr="00642825" w:rsidRDefault="006F5BEA" w:rsidP="006F5BEA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="00E524CC">
              <w:rPr>
                <w:rFonts w:ascii="Times New Roman" w:hAnsi="Times New Roman"/>
                <w:sz w:val="21"/>
                <w:szCs w:val="21"/>
              </w:rPr>
              <w:t>24</w:t>
            </w:r>
            <w:r w:rsidR="00D05162" w:rsidRPr="00D05162">
              <w:rPr>
                <w:rFonts w:ascii="Times New Roman" w:hAnsi="Times New Roman"/>
                <w:sz w:val="21"/>
                <w:szCs w:val="21"/>
              </w:rPr>
              <w:t xml:space="preserve"> lipca </w:t>
            </w:r>
            <w:r w:rsidRPr="00D05162">
              <w:rPr>
                <w:rFonts w:ascii="Times New Roman" w:hAnsi="Times New Roman"/>
                <w:sz w:val="21"/>
                <w:szCs w:val="21"/>
              </w:rPr>
              <w:t>2020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roku</w:t>
            </w:r>
          </w:p>
          <w:p w:rsidR="006F5BEA" w:rsidRDefault="006F5BEA" w:rsidP="006F5BEA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6F5BEA" w:rsidRPr="0065019F" w:rsidRDefault="006F5BEA" w:rsidP="006F5BE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5019F">
              <w:rPr>
                <w:rFonts w:ascii="Times New Roman" w:hAnsi="Times New Roman"/>
                <w:b/>
              </w:rPr>
              <w:t xml:space="preserve">Źródło: </w:t>
            </w:r>
            <w:bookmarkStart w:id="2" w:name="Lista1"/>
          </w:p>
          <w:bookmarkEnd w:id="2"/>
          <w:p w:rsidR="006F5BEA" w:rsidRPr="0065019F" w:rsidRDefault="006F5BEA" w:rsidP="006F5BE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Expose Premiera</w:t>
            </w:r>
          </w:p>
          <w:p w:rsidR="006F5BEA" w:rsidRPr="0065019F" w:rsidRDefault="006F5BEA" w:rsidP="006F5BEA">
            <w:pPr>
              <w:spacing w:line="240" w:lineRule="auto"/>
              <w:rPr>
                <w:rFonts w:ascii="Times New Roman" w:hAnsi="Times New Roman"/>
              </w:rPr>
            </w:pPr>
          </w:p>
          <w:p w:rsidR="006F5BEA" w:rsidRPr="008B4FE6" w:rsidRDefault="006F5BEA" w:rsidP="00113CAB">
            <w:pPr>
              <w:spacing w:before="120"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Nr </w:t>
            </w:r>
            <w:r>
              <w:rPr>
                <w:rFonts w:ascii="Times New Roman" w:hAnsi="Times New Roman"/>
                <w:b/>
                <w:color w:val="000000"/>
              </w:rPr>
              <w:t>w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>
              <w:rPr>
                <w:rFonts w:ascii="Times New Roman" w:hAnsi="Times New Roman"/>
                <w:b/>
                <w:color w:val="000000"/>
              </w:rPr>
              <w:t>ie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prac</w:t>
            </w:r>
            <w:r w:rsidR="00113CAB">
              <w:rPr>
                <w:rFonts w:ascii="Times New Roman" w:hAnsi="Times New Roman"/>
                <w:b/>
                <w:color w:val="000000"/>
              </w:rPr>
              <w:t>: UA5</w:t>
            </w:r>
          </w:p>
          <w:p w:rsidR="006A701A" w:rsidRPr="00603162" w:rsidRDefault="006A701A" w:rsidP="00E61A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F59" w:rsidRPr="00603162" w:rsidTr="001D2286">
        <w:trPr>
          <w:trHeight w:val="142"/>
        </w:trPr>
        <w:tc>
          <w:tcPr>
            <w:tcW w:w="10950" w:type="dxa"/>
            <w:gridSpan w:val="26"/>
            <w:shd w:val="clear" w:color="auto" w:fill="99CCFF"/>
          </w:tcPr>
          <w:p w:rsidR="006A701A" w:rsidRPr="00603162" w:rsidRDefault="006A701A" w:rsidP="00E61AA6">
            <w:pPr>
              <w:spacing w:line="240" w:lineRule="auto"/>
              <w:ind w:lef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3162">
              <w:rPr>
                <w:rFonts w:ascii="Times New Roman" w:hAnsi="Times New Roman"/>
                <w:b/>
                <w:sz w:val="24"/>
                <w:szCs w:val="24"/>
              </w:rPr>
              <w:t>OCENA SKUTKÓW REGULACJI</w:t>
            </w:r>
          </w:p>
        </w:tc>
      </w:tr>
      <w:tr w:rsidR="00500F59" w:rsidRPr="00603162" w:rsidTr="001D2286">
        <w:trPr>
          <w:trHeight w:val="333"/>
        </w:trPr>
        <w:tc>
          <w:tcPr>
            <w:tcW w:w="10950" w:type="dxa"/>
            <w:gridSpan w:val="26"/>
            <w:shd w:val="clear" w:color="auto" w:fill="99CCFF"/>
            <w:vAlign w:val="center"/>
          </w:tcPr>
          <w:p w:rsidR="006A701A" w:rsidRPr="00603162" w:rsidRDefault="003D12F6" w:rsidP="00E61AA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3162">
              <w:rPr>
                <w:rFonts w:ascii="Times New Roman" w:hAnsi="Times New Roman"/>
                <w:b/>
                <w:sz w:val="24"/>
                <w:szCs w:val="24"/>
              </w:rPr>
              <w:t xml:space="preserve">Jaki problem jest </w:t>
            </w:r>
            <w:r w:rsidR="00CC6305" w:rsidRPr="00603162">
              <w:rPr>
                <w:rFonts w:ascii="Times New Roman" w:hAnsi="Times New Roman"/>
                <w:b/>
                <w:sz w:val="24"/>
                <w:szCs w:val="24"/>
              </w:rPr>
              <w:t>rozwiązywany?</w:t>
            </w:r>
            <w:bookmarkStart w:id="3" w:name="Wybór1"/>
            <w:bookmarkEnd w:id="3"/>
          </w:p>
        </w:tc>
      </w:tr>
      <w:tr w:rsidR="00500F59" w:rsidRPr="00603162" w:rsidTr="00754343">
        <w:tblPrEx>
          <w:tblCellMar>
            <w:left w:w="70" w:type="dxa"/>
            <w:right w:w="70" w:type="dxa"/>
          </w:tblCellMar>
        </w:tblPrEx>
        <w:trPr>
          <w:trHeight w:val="142"/>
        </w:trPr>
        <w:tc>
          <w:tcPr>
            <w:tcW w:w="10950" w:type="dxa"/>
            <w:gridSpan w:val="26"/>
            <w:shd w:val="clear" w:color="auto" w:fill="FFFFFF"/>
          </w:tcPr>
          <w:p w:rsidR="006F5BEA" w:rsidRPr="009D1D81" w:rsidRDefault="006F5BEA" w:rsidP="00586268">
            <w:pPr>
              <w:tabs>
                <w:tab w:val="left" w:pos="8795"/>
              </w:tabs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7C4">
              <w:rPr>
                <w:rFonts w:ascii="Times New Roman" w:hAnsi="Times New Roman"/>
                <w:sz w:val="24"/>
                <w:szCs w:val="24"/>
              </w:rPr>
              <w:t xml:space="preserve">Celem wprowadzanych bądź modyfikowanych niniejszą ustawą przepisów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jest </w:t>
            </w:r>
            <w:r w:rsidRPr="009D1D81">
              <w:rPr>
                <w:rFonts w:ascii="Times New Roman" w:hAnsi="Times New Roman"/>
                <w:sz w:val="24"/>
                <w:szCs w:val="24"/>
              </w:rPr>
              <w:t>realizacja 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apowiedzi wyrażonej przez Rząd </w:t>
            </w:r>
            <w:r w:rsidRPr="009D1D81">
              <w:rPr>
                <w:rFonts w:ascii="Times New Roman" w:hAnsi="Times New Roman"/>
                <w:sz w:val="24"/>
                <w:szCs w:val="24"/>
              </w:rPr>
              <w:t>w zakresie wprowadzenia nowe</w:t>
            </w:r>
            <w:r>
              <w:rPr>
                <w:rFonts w:ascii="Times New Roman" w:hAnsi="Times New Roman"/>
                <w:sz w:val="24"/>
                <w:szCs w:val="24"/>
              </w:rPr>
              <w:t>go, proinwestycyjnego systemu opodatkowania</w:t>
            </w:r>
            <w:r w:rsidRPr="009D1D81">
              <w:rPr>
                <w:rFonts w:ascii="Times New Roman" w:hAnsi="Times New Roman"/>
                <w:sz w:val="24"/>
                <w:szCs w:val="24"/>
              </w:rPr>
              <w:t xml:space="preserve"> osób prawnych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wzorowanego na rozwiązaniu </w:t>
            </w:r>
            <w:r w:rsidR="0078601E">
              <w:rPr>
                <w:rFonts w:ascii="Times New Roman" w:hAnsi="Times New Roman"/>
                <w:sz w:val="24"/>
                <w:szCs w:val="24"/>
              </w:rPr>
              <w:t>zastosowanym w Estonii (od 2000 roku)</w:t>
            </w:r>
            <w:r>
              <w:rPr>
                <w:rFonts w:ascii="Times New Roman" w:hAnsi="Times New Roman"/>
                <w:sz w:val="24"/>
                <w:szCs w:val="24"/>
              </w:rPr>
              <w:t>. Nowa instytucja wpisuje się</w:t>
            </w:r>
            <w:r w:rsidRPr="009D1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D3A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Pr="009D1D81">
              <w:rPr>
                <w:rFonts w:ascii="Times New Roman" w:hAnsi="Times New Roman"/>
                <w:sz w:val="24"/>
                <w:szCs w:val="24"/>
              </w:rPr>
              <w:t>realizację rządowej Strategii na rzecz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D81">
              <w:rPr>
                <w:rFonts w:ascii="Times New Roman" w:hAnsi="Times New Roman"/>
                <w:sz w:val="24"/>
                <w:szCs w:val="24"/>
              </w:rPr>
              <w:t>Odpowiedzialnego Rozwoju</w:t>
            </w:r>
            <w:hyperlink r:id="rId8" w:tgtFrame="_blank" w:tooltip="Strona internetowa MR" w:history="1">
              <w:r w:rsidRPr="00A22A58">
                <w:rPr>
                  <w:rFonts w:ascii="Times New Roman" w:hAnsi="Times New Roman"/>
                  <w:sz w:val="24"/>
                  <w:szCs w:val="24"/>
                </w:rPr>
                <w:t xml:space="preserve"> do roku 2020 (z perspektywą do 2030 r.)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oraz przyjętej przez ONZ Agendy</w:t>
            </w:r>
            <w:r w:rsidRPr="00A22A58">
              <w:rPr>
                <w:rFonts w:ascii="Times New Roman" w:hAnsi="Times New Roman"/>
                <w:sz w:val="24"/>
                <w:szCs w:val="24"/>
              </w:rPr>
              <w:t xml:space="preserve"> na rzecz zrównoważonego rozwoju 2030</w:t>
            </w:r>
            <w:r>
              <w:rPr>
                <w:rFonts w:ascii="Times New Roman" w:hAnsi="Times New Roman"/>
                <w:sz w:val="24"/>
                <w:szCs w:val="24"/>
              </w:rPr>
              <w:t>, które</w:t>
            </w:r>
            <w:r w:rsidRPr="009D1D81">
              <w:rPr>
                <w:rFonts w:ascii="Times New Roman" w:hAnsi="Times New Roman"/>
                <w:sz w:val="24"/>
                <w:szCs w:val="24"/>
              </w:rPr>
              <w:t xml:space="preserve"> podkreśla</w:t>
            </w:r>
            <w:r>
              <w:rPr>
                <w:rFonts w:ascii="Times New Roman" w:hAnsi="Times New Roman"/>
                <w:sz w:val="24"/>
                <w:szCs w:val="24"/>
              </w:rPr>
              <w:t>ją</w:t>
            </w:r>
            <w:r w:rsidRPr="009D1D81">
              <w:rPr>
                <w:rFonts w:ascii="Times New Roman" w:hAnsi="Times New Roman"/>
                <w:sz w:val="24"/>
                <w:szCs w:val="24"/>
              </w:rPr>
              <w:t xml:space="preserve"> wartość rozwoju przedsiębiorczoś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 oraz poprawy </w:t>
            </w:r>
            <w:r w:rsidRPr="00A22A58">
              <w:rPr>
                <w:rFonts w:ascii="Times New Roman" w:hAnsi="Times New Roman"/>
                <w:sz w:val="24"/>
                <w:szCs w:val="24"/>
              </w:rPr>
              <w:t xml:space="preserve">otoczenia instytucjonalnego </w:t>
            </w:r>
            <w:r>
              <w:rPr>
                <w:rFonts w:ascii="Times New Roman" w:hAnsi="Times New Roman"/>
                <w:sz w:val="24"/>
                <w:szCs w:val="24"/>
              </w:rPr>
              <w:t>i prawnego, </w:t>
            </w:r>
            <w:r w:rsidRPr="00A22A58">
              <w:rPr>
                <w:rFonts w:ascii="Times New Roman" w:hAnsi="Times New Roman"/>
                <w:sz w:val="24"/>
                <w:szCs w:val="24"/>
              </w:rPr>
              <w:t xml:space="preserve">uwzględniającego potrzeby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przedsiębiorców – w szczególności tych należących do sektora </w:t>
            </w:r>
            <w:r w:rsidRPr="00A22A58">
              <w:rPr>
                <w:rFonts w:ascii="Times New Roman" w:hAnsi="Times New Roman"/>
                <w:sz w:val="24"/>
                <w:szCs w:val="24"/>
              </w:rPr>
              <w:t>małych i średnich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przedsiębiorstw, jak również podejmowania działań na rzecz promowania stabilnego, zrównoważonego i inkluzywnego</w:t>
            </w:r>
            <w:r w:rsidRPr="000A17C7">
              <w:rPr>
                <w:rFonts w:ascii="Times New Roman" w:hAnsi="Times New Roman"/>
                <w:sz w:val="24"/>
                <w:szCs w:val="24"/>
              </w:rPr>
              <w:t xml:space="preserve"> wzrost</w:t>
            </w:r>
            <w:r w:rsidR="007C1532">
              <w:rPr>
                <w:rFonts w:ascii="Times New Roman" w:hAnsi="Times New Roman"/>
                <w:sz w:val="24"/>
                <w:szCs w:val="24"/>
              </w:rPr>
              <w:t>u</w:t>
            </w:r>
            <w:r w:rsidRPr="000A1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gospodarczego</w:t>
            </w:r>
            <w:r w:rsidRPr="00A22A58">
              <w:rPr>
                <w:rFonts w:ascii="Times New Roman" w:hAnsi="Times New Roman"/>
                <w:sz w:val="24"/>
                <w:szCs w:val="24"/>
              </w:rPr>
              <w:t>.</w:t>
            </w:r>
            <w:r w:rsidRPr="000A17C7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Jest to s</w:t>
            </w:r>
            <w:r w:rsidRPr="000A17C7">
              <w:rPr>
                <w:rFonts w:ascii="Times New Roman" w:hAnsi="Times New Roman"/>
                <w:sz w:val="24"/>
                <w:szCs w:val="24"/>
              </w:rPr>
              <w:t>zczególnie istotne w </w:t>
            </w:r>
            <w:r>
              <w:rPr>
                <w:rFonts w:ascii="Times New Roman" w:hAnsi="Times New Roman"/>
                <w:sz w:val="24"/>
                <w:szCs w:val="24"/>
              </w:rPr>
              <w:t>obliczu konieczności p</w:t>
            </w:r>
            <w:r w:rsidRPr="000A17C7">
              <w:rPr>
                <w:rFonts w:ascii="Times New Roman" w:hAnsi="Times New Roman"/>
                <w:sz w:val="24"/>
                <w:szCs w:val="24"/>
              </w:rPr>
              <w:t xml:space="preserve">rzeciwdziałania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negatywnym </w:t>
            </w:r>
            <w:r w:rsidRPr="000A17C7">
              <w:rPr>
                <w:rFonts w:ascii="Times New Roman" w:hAnsi="Times New Roman"/>
                <w:sz w:val="24"/>
                <w:szCs w:val="24"/>
              </w:rPr>
              <w:t>skutkom kryzysu wywołanego pandemią COVID-19</w:t>
            </w:r>
            <w:r w:rsidR="008E5D3A">
              <w:rPr>
                <w:rFonts w:ascii="Times New Roman" w:hAnsi="Times New Roman"/>
                <w:sz w:val="24"/>
                <w:szCs w:val="24"/>
              </w:rPr>
              <w:t>.</w:t>
            </w:r>
            <w:r w:rsidR="008E5D3A" w:rsidRPr="008E5D3A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  <w:r w:rsidR="008E5D3A" w:rsidRPr="008E5D3A">
              <w:rPr>
                <w:rFonts w:ascii="Times New Roman" w:hAnsi="Times New Roman"/>
                <w:sz w:val="24"/>
                <w:szCs w:val="24"/>
              </w:rPr>
              <w:t>Antykryzysowa polityka podatkowa była prowadzona na większa skalę w wielu państwach Unii Europejskiej po Wielkim Kryzysie w 2007 roku. Mając jednak na uwadze, że nadchodzące załamanie gospodarcze ma zupełnie inne niż dotychczas – tj. epidemiczne – podłoże, wskazane jest wprowadzenie do polskiego systemu podatkowego zupełnie nowych instytucji, które będą jednocześnie wystarczająco elastycznym narzędziem stabilizacyj</w:t>
            </w:r>
            <w:r w:rsidR="00586268">
              <w:rPr>
                <w:rFonts w:ascii="Times New Roman" w:hAnsi="Times New Roman"/>
                <w:sz w:val="24"/>
                <w:szCs w:val="24"/>
              </w:rPr>
              <w:t>nym w perspektywie przyszłości.</w:t>
            </w:r>
          </w:p>
          <w:p w:rsidR="007C1532" w:rsidRDefault="006F5BEA" w:rsidP="00C81871">
            <w:pPr>
              <w:tabs>
                <w:tab w:val="left" w:pos="879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Rozwiązania te, poprzez wsparcie płynności, adresują </w:t>
            </w:r>
            <w:r w:rsidRPr="002777C4">
              <w:rPr>
                <w:rFonts w:ascii="Times New Roman" w:hAnsi="Times New Roman"/>
                <w:sz w:val="24"/>
                <w:szCs w:val="24"/>
              </w:rPr>
              <w:t>problemy tych podatn</w:t>
            </w:r>
            <w:r>
              <w:rPr>
                <w:rFonts w:ascii="Times New Roman" w:hAnsi="Times New Roman"/>
                <w:sz w:val="24"/>
                <w:szCs w:val="24"/>
              </w:rPr>
              <w:t>ików, dla których utrudnienia w </w:t>
            </w:r>
            <w:r w:rsidRPr="002777C4">
              <w:rPr>
                <w:rFonts w:ascii="Times New Roman" w:hAnsi="Times New Roman"/>
                <w:sz w:val="24"/>
                <w:szCs w:val="24"/>
              </w:rPr>
              <w:t>pozyskiwaniu kapitału na inwestycje czy zaburzone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7C4">
              <w:rPr>
                <w:rFonts w:ascii="Times New Roman" w:hAnsi="Times New Roman"/>
                <w:sz w:val="24"/>
                <w:szCs w:val="24"/>
              </w:rPr>
              <w:t xml:space="preserve">warunki konkurencji odgrywają fundamentalną rolę w </w:t>
            </w:r>
            <w:r w:rsidR="00444483">
              <w:rPr>
                <w:rFonts w:ascii="Times New Roman" w:hAnsi="Times New Roman"/>
                <w:sz w:val="24"/>
                <w:szCs w:val="24"/>
              </w:rPr>
              <w:t> </w:t>
            </w:r>
            <w:r w:rsidRPr="002777C4">
              <w:rPr>
                <w:rFonts w:ascii="Times New Roman" w:hAnsi="Times New Roman"/>
                <w:sz w:val="24"/>
                <w:szCs w:val="24"/>
              </w:rPr>
              <w:t>istnieniu lub rozwijaniu przedsiębiorstwa. Tworzą 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7C4">
              <w:rPr>
                <w:rFonts w:ascii="Times New Roman" w:hAnsi="Times New Roman"/>
                <w:sz w:val="24"/>
                <w:szCs w:val="24"/>
              </w:rPr>
              <w:t>zatem warunki do rozwoju i coraz lepszej konkurencyjności wewnętrznej i zewnętrznej tych firm.</w:t>
            </w:r>
            <w:r w:rsidR="002A3485" w:rsidRPr="002A3485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  <w:r w:rsidR="002A3485" w:rsidRPr="002A3485">
              <w:rPr>
                <w:rFonts w:ascii="Times New Roman" w:hAnsi="Times New Roman"/>
                <w:sz w:val="24"/>
                <w:szCs w:val="24"/>
              </w:rPr>
              <w:t xml:space="preserve">Organizacja Współpracy Gospodarczej i Rozwoju (OECD) zauważa, że </w:t>
            </w:r>
            <w:r w:rsidR="007C1532" w:rsidRPr="007C1532">
              <w:rPr>
                <w:rFonts w:ascii="Times New Roman" w:hAnsi="Times New Roman"/>
                <w:sz w:val="24"/>
                <w:szCs w:val="24"/>
              </w:rPr>
              <w:t>co trzeciemu polskiemu podmiotowi z sektora małych i średnich przedsiębiorstw nie  udaje się pozyskać potrzebnego finansowania dłużnego (dane za 2017 rok)</w:t>
            </w:r>
            <w:r w:rsidR="007C1532">
              <w:rPr>
                <w:rFonts w:ascii="Times New Roman" w:hAnsi="Times New Roman"/>
                <w:sz w:val="24"/>
                <w:szCs w:val="24"/>
              </w:rPr>
              <w:t xml:space="preserve">, a </w:t>
            </w:r>
            <w:r w:rsidR="002A3485" w:rsidRPr="002A3485">
              <w:rPr>
                <w:rFonts w:ascii="Times New Roman" w:hAnsi="Times New Roman"/>
                <w:sz w:val="24"/>
                <w:szCs w:val="24"/>
              </w:rPr>
              <w:t xml:space="preserve">rozprzestrzenianie się wirusa COVID-19 będzie </w:t>
            </w:r>
            <w:r w:rsidR="002A3485">
              <w:rPr>
                <w:rFonts w:ascii="Times New Roman" w:hAnsi="Times New Roman"/>
                <w:sz w:val="24"/>
                <w:szCs w:val="24"/>
              </w:rPr>
              <w:t xml:space="preserve">skutkować pogłębieniem </w:t>
            </w:r>
            <w:r w:rsidR="007C1532">
              <w:rPr>
                <w:rFonts w:ascii="Times New Roman" w:hAnsi="Times New Roman"/>
                <w:sz w:val="24"/>
                <w:szCs w:val="24"/>
              </w:rPr>
              <w:t xml:space="preserve">tych utrudnień, co dotyczy </w:t>
            </w:r>
            <w:r w:rsidR="002A3485">
              <w:rPr>
                <w:rFonts w:ascii="Times New Roman" w:hAnsi="Times New Roman"/>
                <w:sz w:val="24"/>
                <w:szCs w:val="24"/>
              </w:rPr>
              <w:t xml:space="preserve">w szczególności </w:t>
            </w:r>
            <w:r w:rsidR="007C1532">
              <w:rPr>
                <w:rFonts w:ascii="Times New Roman" w:hAnsi="Times New Roman"/>
                <w:sz w:val="24"/>
                <w:szCs w:val="24"/>
              </w:rPr>
              <w:t xml:space="preserve">przedsiębiorstw </w:t>
            </w:r>
            <w:r w:rsidR="002A3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532">
              <w:rPr>
                <w:rFonts w:ascii="Times New Roman" w:hAnsi="Times New Roman"/>
                <w:sz w:val="24"/>
                <w:szCs w:val="24"/>
              </w:rPr>
              <w:t>o </w:t>
            </w:r>
            <w:r w:rsidR="002A3485" w:rsidRPr="002A3485">
              <w:rPr>
                <w:rFonts w:ascii="Times New Roman" w:hAnsi="Times New Roman"/>
                <w:sz w:val="24"/>
                <w:szCs w:val="24"/>
              </w:rPr>
              <w:t>podwyższonym ryzyku działalności -</w:t>
            </w:r>
            <w:r w:rsidR="002A3485">
              <w:rPr>
                <w:rFonts w:ascii="Times New Roman" w:hAnsi="Times New Roman"/>
                <w:sz w:val="24"/>
                <w:szCs w:val="24"/>
              </w:rPr>
              <w:t xml:space="preserve"> czyli</w:t>
            </w:r>
            <w:r w:rsidR="002A3485" w:rsidRPr="002A3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532">
              <w:rPr>
                <w:rFonts w:ascii="Times New Roman" w:hAnsi="Times New Roman"/>
                <w:sz w:val="24"/>
                <w:szCs w:val="24"/>
              </w:rPr>
              <w:t>firm</w:t>
            </w:r>
            <w:r w:rsidR="002A3485" w:rsidRPr="002A3485">
              <w:rPr>
                <w:rFonts w:ascii="Times New Roman" w:hAnsi="Times New Roman"/>
                <w:sz w:val="24"/>
                <w:szCs w:val="24"/>
              </w:rPr>
              <w:t xml:space="preserve"> innowacyjnych</w:t>
            </w:r>
            <w:r w:rsidR="002A3485">
              <w:rPr>
                <w:rFonts w:ascii="Times New Roman" w:hAnsi="Times New Roman"/>
                <w:sz w:val="24"/>
                <w:szCs w:val="24"/>
              </w:rPr>
              <w:t xml:space="preserve"> i rozpoczynających działalność</w:t>
            </w:r>
            <w:r w:rsidR="002A3485" w:rsidRPr="002A34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485" w:rsidRDefault="007C1532" w:rsidP="00586268">
            <w:pPr>
              <w:tabs>
                <w:tab w:val="left" w:pos="8795"/>
              </w:tabs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Płynność finansowa przekłada się na możliwości rozwoju przedsiębiorstw, zatrudnienia nowych, wykwalifikowanych pracowników (i utrzymania dotychczasowych), a także realizację przedsięwzięć inwestycyjnych. Zgodnie z danymi PARP utraty płynności finansowej </w:t>
            </w:r>
            <w:r w:rsidRPr="007C1532">
              <w:rPr>
                <w:rFonts w:ascii="Times New Roman" w:hAnsi="Times New Roman"/>
                <w:sz w:val="24"/>
                <w:szCs w:val="24"/>
              </w:rPr>
              <w:t xml:space="preserve">najbardziej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obawiają się </w:t>
            </w:r>
            <w:r w:rsidR="00DF0344">
              <w:rPr>
                <w:rFonts w:ascii="Times New Roman" w:hAnsi="Times New Roman"/>
                <w:sz w:val="24"/>
                <w:szCs w:val="24"/>
              </w:rPr>
              <w:t xml:space="preserve">mikroprzedsiębiorstwa (33%),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mniej </w:t>
            </w:r>
            <w:r w:rsidR="00DF0344">
              <w:rPr>
                <w:rFonts w:ascii="Times New Roman" w:hAnsi="Times New Roman"/>
                <w:sz w:val="24"/>
                <w:szCs w:val="24"/>
              </w:rPr>
              <w:t>zaś podmioty średnie (10%), a w najmniejszym stopniu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firmy duże (12%).</w:t>
            </w:r>
            <w:r w:rsidR="00DF0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F4D">
              <w:rPr>
                <w:rFonts w:ascii="Times New Roman" w:hAnsi="Times New Roman"/>
                <w:sz w:val="24"/>
                <w:szCs w:val="24"/>
              </w:rPr>
              <w:t>Większe podmioty, w szczególności zaś te będące członkami grup kapitałowych, mogą pozyskać finansowanie lub gwarancję takiego finansowania od spółek zależnych. Niejednokrotnie przystępują one do umowy</w:t>
            </w:r>
            <w:r w:rsidR="00DF0344">
              <w:rPr>
                <w:rFonts w:ascii="Times New Roman" w:hAnsi="Times New Roman"/>
                <w:sz w:val="24"/>
                <w:szCs w:val="24"/>
              </w:rPr>
              <w:t xml:space="preserve"> o </w:t>
            </w:r>
            <w:r w:rsidR="00022F4D" w:rsidRPr="00022F4D">
              <w:rPr>
                <w:rFonts w:ascii="Times New Roman" w:hAnsi="Times New Roman"/>
                <w:sz w:val="24"/>
                <w:szCs w:val="24"/>
              </w:rPr>
              <w:t>wspólnym zarządzaniu płynnością finansową</w:t>
            </w:r>
            <w:r w:rsidR="00022F4D">
              <w:rPr>
                <w:rFonts w:ascii="Times New Roman" w:hAnsi="Times New Roman"/>
                <w:sz w:val="24"/>
                <w:szCs w:val="24"/>
              </w:rPr>
              <w:t xml:space="preserve"> (umowa </w:t>
            </w:r>
            <w:r w:rsidR="00022F4D" w:rsidRPr="007A27AA">
              <w:rPr>
                <w:rFonts w:ascii="Times New Roman" w:hAnsi="Times New Roman"/>
                <w:i/>
                <w:sz w:val="24"/>
                <w:szCs w:val="24"/>
              </w:rPr>
              <w:t>cash poolingu</w:t>
            </w:r>
            <w:r w:rsidR="00022F4D">
              <w:rPr>
                <w:rFonts w:ascii="Times New Roman" w:hAnsi="Times New Roman"/>
                <w:sz w:val="24"/>
                <w:szCs w:val="24"/>
              </w:rPr>
              <w:t>), która umożliwia im łatwe pozyskanie finansowania. Mniejsze podmioty, o prostej strukturze udziałowej, nie mają</w:t>
            </w:r>
            <w:r w:rsidR="00DF0344">
              <w:rPr>
                <w:rFonts w:ascii="Times New Roman" w:hAnsi="Times New Roman"/>
                <w:sz w:val="24"/>
                <w:szCs w:val="24"/>
              </w:rPr>
              <w:t xml:space="preserve"> takich możliwości, a dostęp do </w:t>
            </w:r>
            <w:r w:rsidR="00022F4D">
              <w:rPr>
                <w:rFonts w:ascii="Times New Roman" w:hAnsi="Times New Roman"/>
                <w:sz w:val="24"/>
                <w:szCs w:val="24"/>
              </w:rPr>
              <w:t xml:space="preserve">finansowania bankowego potrafi </w:t>
            </w:r>
            <w:r w:rsidR="00586268">
              <w:rPr>
                <w:rFonts w:ascii="Times New Roman" w:hAnsi="Times New Roman"/>
                <w:sz w:val="24"/>
                <w:szCs w:val="24"/>
              </w:rPr>
              <w:t>być dla nich bardzo utrudniony.</w:t>
            </w:r>
          </w:p>
          <w:p w:rsidR="008E5D3A" w:rsidRPr="00603162" w:rsidRDefault="00540DA7" w:rsidP="00586268">
            <w:pPr>
              <w:tabs>
                <w:tab w:val="left" w:pos="8795"/>
              </w:tabs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Mając na uwadze trudności płynnościowe najmniejszych podmiotów, szczególnie w pierwszym</w:t>
            </w:r>
            <w:r w:rsidR="008E5D3A" w:rsidRPr="008E5D3A">
              <w:rPr>
                <w:rFonts w:ascii="Times New Roman" w:hAnsi="Times New Roman"/>
                <w:sz w:val="24"/>
                <w:szCs w:val="24"/>
              </w:rPr>
              <w:t xml:space="preserve"> rok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działalności oraz </w:t>
            </w:r>
            <w:r w:rsidR="00444483" w:rsidRPr="00444483">
              <w:rPr>
                <w:rFonts w:ascii="Times New Roman" w:hAnsi="Times New Roman"/>
                <w:sz w:val="24"/>
                <w:szCs w:val="24"/>
              </w:rPr>
              <w:t>barierę w postaci utrudnionego dostępu do finansowania dłużnego</w:t>
            </w:r>
            <w:r w:rsidR="00444483">
              <w:rPr>
                <w:rFonts w:ascii="Times New Roman" w:hAnsi="Times New Roman"/>
                <w:sz w:val="24"/>
                <w:szCs w:val="24"/>
              </w:rPr>
              <w:t xml:space="preserve">, wskazane jest wsparcie </w:t>
            </w:r>
            <w:r w:rsidR="00DF0344">
              <w:rPr>
                <w:rFonts w:ascii="Times New Roman" w:hAnsi="Times New Roman"/>
                <w:sz w:val="24"/>
                <w:szCs w:val="24"/>
              </w:rPr>
              <w:t>tego sektora w </w:t>
            </w:r>
            <w:r w:rsidR="00022F4D">
              <w:rPr>
                <w:rFonts w:ascii="Times New Roman" w:hAnsi="Times New Roman"/>
                <w:sz w:val="24"/>
                <w:szCs w:val="24"/>
              </w:rPr>
              <w:t>celu znoszenia barier konkurencyjnych i umożliwienia im wzrostu zgodnie z ich potencjałem.</w:t>
            </w:r>
          </w:p>
        </w:tc>
      </w:tr>
      <w:tr w:rsidR="00500F59" w:rsidRPr="00603162" w:rsidTr="001D2286">
        <w:trPr>
          <w:trHeight w:val="142"/>
        </w:trPr>
        <w:tc>
          <w:tcPr>
            <w:tcW w:w="10950" w:type="dxa"/>
            <w:gridSpan w:val="26"/>
            <w:shd w:val="clear" w:color="auto" w:fill="99CCFF"/>
            <w:vAlign w:val="center"/>
          </w:tcPr>
          <w:p w:rsidR="006A701A" w:rsidRPr="00603162" w:rsidRDefault="0013216E" w:rsidP="002777C4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316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>Rekomendowane rozwiązanie, w tym planowane narzędzia interwencji, i oczekiwany efekt</w:t>
            </w:r>
          </w:p>
        </w:tc>
      </w:tr>
      <w:tr w:rsidR="00500F59" w:rsidRPr="00603162" w:rsidTr="001D2286">
        <w:trPr>
          <w:trHeight w:val="142"/>
        </w:trPr>
        <w:tc>
          <w:tcPr>
            <w:tcW w:w="10950" w:type="dxa"/>
            <w:gridSpan w:val="26"/>
            <w:shd w:val="clear" w:color="auto" w:fill="auto"/>
          </w:tcPr>
          <w:p w:rsidR="0042048A" w:rsidRPr="0042048A" w:rsidRDefault="0042048A" w:rsidP="00586268">
            <w:pPr>
              <w:tabs>
                <w:tab w:val="left" w:pos="8795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048A">
              <w:rPr>
                <w:rFonts w:ascii="Times New Roman" w:hAnsi="Times New Roman"/>
                <w:sz w:val="24"/>
                <w:szCs w:val="24"/>
                <w:u w:val="single"/>
              </w:rPr>
              <w:t>Przedłożony projekt ustawy przewiduje wprowadzenie zmian w następujących aktach prawnych:</w:t>
            </w:r>
          </w:p>
          <w:p w:rsidR="0091716F" w:rsidRPr="0091716F" w:rsidRDefault="0091716F" w:rsidP="0091716F">
            <w:pPr>
              <w:tabs>
                <w:tab w:val="left" w:pos="879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16F">
              <w:rPr>
                <w:rFonts w:ascii="Times New Roman" w:hAnsi="Times New Roman"/>
                <w:sz w:val="24"/>
                <w:szCs w:val="24"/>
              </w:rPr>
              <w:t>– ustawie z dnia 15 lutego 1992 r. o podatku dochodowym od osób prawnych (Dz. U.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2019 r., poz. 865 ze zm.),</w:t>
            </w:r>
          </w:p>
          <w:p w:rsidR="0091716F" w:rsidRDefault="0091716F" w:rsidP="0091716F">
            <w:pPr>
              <w:tabs>
                <w:tab w:val="left" w:pos="879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16F">
              <w:rPr>
                <w:rFonts w:ascii="Times New Roman" w:hAnsi="Times New Roman"/>
                <w:sz w:val="24"/>
                <w:szCs w:val="24"/>
              </w:rPr>
              <w:t xml:space="preserve">– ustawie z dnia 26 lipca 1991 r. o podatku dochodowym od osób fizycznych </w:t>
            </w:r>
            <w:r>
              <w:rPr>
                <w:rFonts w:ascii="Times New Roman" w:hAnsi="Times New Roman"/>
                <w:sz w:val="24"/>
                <w:szCs w:val="24"/>
              </w:rPr>
              <w:t>(Dz. U. z 2019 r., poz. 1387 ze </w:t>
            </w:r>
            <w:r w:rsidRPr="0091716F">
              <w:rPr>
                <w:rFonts w:ascii="Times New Roman" w:hAnsi="Times New Roman"/>
                <w:sz w:val="24"/>
                <w:szCs w:val="24"/>
              </w:rPr>
              <w:t>zm.),</w:t>
            </w:r>
          </w:p>
          <w:p w:rsidR="0091716F" w:rsidRPr="0091716F" w:rsidRDefault="0091716F" w:rsidP="0091716F">
            <w:pPr>
              <w:tabs>
                <w:tab w:val="left" w:pos="879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16F">
              <w:rPr>
                <w:rFonts w:ascii="Times New Roman" w:hAnsi="Times New Roman"/>
                <w:sz w:val="24"/>
                <w:szCs w:val="24"/>
              </w:rPr>
              <w:t>– ustawie z dnia 29 sierpnia 1997 r. Ordynacja podatkowa, (Dz. U. z 2019 r., poz. 900 ze zm.),</w:t>
            </w:r>
          </w:p>
          <w:p w:rsidR="0042048A" w:rsidRDefault="0091716F" w:rsidP="00586268">
            <w:pPr>
              <w:tabs>
                <w:tab w:val="left" w:pos="8795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16F">
              <w:rPr>
                <w:rFonts w:ascii="Times New Roman" w:hAnsi="Times New Roman"/>
                <w:sz w:val="24"/>
                <w:szCs w:val="24"/>
              </w:rPr>
              <w:t xml:space="preserve">– ustawie z dnia 29 września 1994 r. o rachunkowości (Dz. U. z 2019 r., poz. </w:t>
            </w:r>
            <w:r w:rsidR="00357857">
              <w:rPr>
                <w:rFonts w:ascii="Times New Roman" w:hAnsi="Times New Roman"/>
                <w:sz w:val="24"/>
                <w:szCs w:val="24"/>
              </w:rPr>
              <w:t>351</w:t>
            </w:r>
            <w:r w:rsidRPr="0091716F">
              <w:rPr>
                <w:rFonts w:ascii="Times New Roman" w:hAnsi="Times New Roman"/>
                <w:sz w:val="24"/>
                <w:szCs w:val="24"/>
              </w:rPr>
              <w:t xml:space="preserve"> ze zm.).</w:t>
            </w:r>
          </w:p>
          <w:p w:rsidR="00951271" w:rsidRPr="0042048A" w:rsidRDefault="0042048A" w:rsidP="00951271">
            <w:pPr>
              <w:tabs>
                <w:tab w:val="left" w:pos="879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04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Do nowych rozwiązań przewidzianych w projekcie należy wprowadzenie dwóch alternatywnych wariantów </w:t>
            </w:r>
            <w:r w:rsidR="00951271" w:rsidRPr="0042048A">
              <w:rPr>
                <w:rFonts w:ascii="Times New Roman" w:hAnsi="Times New Roman"/>
                <w:sz w:val="24"/>
                <w:szCs w:val="24"/>
                <w:u w:val="single"/>
              </w:rPr>
              <w:t>opodatkowania tj.</w:t>
            </w:r>
            <w:r w:rsidRPr="0042048A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951271" w:rsidRPr="00951271" w:rsidRDefault="00951271" w:rsidP="00951271">
            <w:pPr>
              <w:tabs>
                <w:tab w:val="left" w:pos="879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 w:rsidRPr="00951271">
              <w:rPr>
                <w:rFonts w:ascii="Times New Roman" w:hAnsi="Times New Roman"/>
                <w:sz w:val="24"/>
                <w:szCs w:val="24"/>
              </w:rPr>
              <w:t>system</w:t>
            </w:r>
            <w:r w:rsidR="0042048A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wz</w:t>
            </w:r>
            <w:r w:rsidR="0042048A">
              <w:rPr>
                <w:rFonts w:ascii="Times New Roman" w:hAnsi="Times New Roman"/>
                <w:sz w:val="24"/>
                <w:szCs w:val="24"/>
              </w:rPr>
              <w:t>orowanego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rozwiązaniu estońskim</w:t>
            </w:r>
            <w:r w:rsidR="0042048A">
              <w:rPr>
                <w:rFonts w:ascii="Times New Roman" w:hAnsi="Times New Roman"/>
                <w:sz w:val="24"/>
                <w:szCs w:val="24"/>
              </w:rPr>
              <w:t xml:space="preserve"> wiążącego</w:t>
            </w:r>
            <w:r w:rsidRPr="00951271">
              <w:rPr>
                <w:rFonts w:ascii="Times New Roman" w:hAnsi="Times New Roman"/>
                <w:sz w:val="24"/>
                <w:szCs w:val="24"/>
              </w:rPr>
              <w:t xml:space="preserve"> dochód do opodatkowania z kategoriami  prawa bilansowego i polegając</w:t>
            </w:r>
            <w:r w:rsidR="0042048A">
              <w:rPr>
                <w:rFonts w:ascii="Times New Roman" w:hAnsi="Times New Roman"/>
                <w:sz w:val="24"/>
                <w:szCs w:val="24"/>
              </w:rPr>
              <w:t>ego</w:t>
            </w:r>
            <w:r w:rsidRPr="00951271">
              <w:rPr>
                <w:rFonts w:ascii="Times New Roman" w:hAnsi="Times New Roman"/>
                <w:sz w:val="24"/>
                <w:szCs w:val="24"/>
              </w:rPr>
              <w:t xml:space="preserve"> na znacznej modyfikacji doty</w:t>
            </w:r>
            <w:r w:rsidR="00C1791C">
              <w:rPr>
                <w:rFonts w:ascii="Times New Roman" w:hAnsi="Times New Roman"/>
                <w:sz w:val="24"/>
                <w:szCs w:val="24"/>
              </w:rPr>
              <w:t>chczasowych zasad opodatkowania</w:t>
            </w:r>
            <w:r w:rsidR="004204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F5CC2" w:rsidRDefault="00207451" w:rsidP="006F5BEA">
            <w:pPr>
              <w:tabs>
                <w:tab w:val="left" w:pos="879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="0042048A">
              <w:rPr>
                <w:rFonts w:ascii="Times New Roman" w:hAnsi="Times New Roman"/>
                <w:sz w:val="24"/>
                <w:szCs w:val="24"/>
              </w:rPr>
              <w:t>specjalnego</w:t>
            </w:r>
            <w:r w:rsidR="00951271" w:rsidRPr="00951271">
              <w:rPr>
                <w:rFonts w:ascii="Times New Roman" w:hAnsi="Times New Roman"/>
                <w:sz w:val="24"/>
                <w:szCs w:val="24"/>
              </w:rPr>
              <w:t xml:space="preserve"> fundusz</w:t>
            </w:r>
            <w:r w:rsidR="0042048A">
              <w:rPr>
                <w:rFonts w:ascii="Times New Roman" w:hAnsi="Times New Roman"/>
                <w:sz w:val="24"/>
                <w:szCs w:val="24"/>
              </w:rPr>
              <w:t>u inwestycyjnego</w:t>
            </w:r>
            <w:r w:rsidR="00951271" w:rsidRPr="00951271">
              <w:rPr>
                <w:rFonts w:ascii="Times New Roman" w:hAnsi="Times New Roman"/>
                <w:sz w:val="24"/>
                <w:szCs w:val="24"/>
              </w:rPr>
              <w:t>, który (</w:t>
            </w:r>
            <w:r w:rsidR="0042048A">
              <w:rPr>
                <w:rFonts w:ascii="Times New Roman" w:hAnsi="Times New Roman"/>
                <w:sz w:val="24"/>
                <w:szCs w:val="24"/>
              </w:rPr>
              <w:t>w sensie ekonomicznym) umożliwi podatnikom</w:t>
            </w:r>
            <w:r w:rsidR="00951271" w:rsidRPr="00951271">
              <w:rPr>
                <w:rFonts w:ascii="Times New Roman" w:hAnsi="Times New Roman"/>
                <w:sz w:val="24"/>
                <w:szCs w:val="24"/>
              </w:rPr>
              <w:t xml:space="preserve"> szybsze rozliczenie amortyzacji środków trwałych w kosztach podatkowych bez ingerencji w dotychczasowe rozliczenia podatkowe.</w:t>
            </w:r>
          </w:p>
          <w:p w:rsidR="00207451" w:rsidRDefault="00207451" w:rsidP="00586268">
            <w:pPr>
              <w:tabs>
                <w:tab w:val="left" w:pos="8795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451">
              <w:rPr>
                <w:rFonts w:ascii="Times New Roman" w:hAnsi="Times New Roman"/>
                <w:sz w:val="24"/>
                <w:szCs w:val="24"/>
              </w:rPr>
              <w:t>Poprzez wprowadzenie zachęty do pozostawiania w spółkach kapitału na rozwój i podjęcie inwestycji, nowe zasady opodatkowania powinny stymulować przedsiębiorstwa do zwiększania zatrudnien</w:t>
            </w:r>
            <w:r w:rsidR="00311104">
              <w:rPr>
                <w:rFonts w:ascii="Times New Roman" w:hAnsi="Times New Roman"/>
                <w:sz w:val="24"/>
                <w:szCs w:val="24"/>
              </w:rPr>
              <w:t xml:space="preserve">ia i nakładów na środki trwałe. </w:t>
            </w:r>
            <w:r w:rsidRPr="00207451">
              <w:rPr>
                <w:rFonts w:ascii="Times New Roman" w:hAnsi="Times New Roman"/>
                <w:sz w:val="24"/>
                <w:szCs w:val="24"/>
              </w:rPr>
              <w:t>Celem projektu jest realizacja zapowiedzi wyrażonej przez Rząd, w zakresie wprowadzeni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systemu opodatkowania wspierającego mniejsze przedsiębiorstwa. </w:t>
            </w:r>
            <w:r w:rsidRPr="00207451">
              <w:rPr>
                <w:rFonts w:ascii="Times New Roman" w:hAnsi="Times New Roman"/>
                <w:sz w:val="24"/>
                <w:szCs w:val="24"/>
              </w:rPr>
              <w:t>Grupą docelową są pomioty w sposób szczególny dotknięte problemami w zakresie utrzymania płynności i dostępu do finansowania. Rekomendowane rozwiązanie ma w założeniu znosić bariery w rozwoju tych przedsiębiorstw</w:t>
            </w:r>
            <w:r w:rsidR="005862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3C7E" w:rsidRPr="00586268" w:rsidRDefault="00951271" w:rsidP="00586268">
            <w:pPr>
              <w:tabs>
                <w:tab w:val="left" w:pos="8795"/>
              </w:tabs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271">
              <w:rPr>
                <w:rFonts w:ascii="Times New Roman" w:hAnsi="Times New Roman"/>
                <w:sz w:val="24"/>
                <w:szCs w:val="24"/>
              </w:rPr>
              <w:t xml:space="preserve">Oba wskazane warianty mają charakter silnie proinwestycyjny i tym samym, wspierający wzrost gospodarczy. </w:t>
            </w:r>
            <w:r w:rsidR="00C1791C">
              <w:rPr>
                <w:rFonts w:ascii="Times New Roman" w:hAnsi="Times New Roman"/>
                <w:sz w:val="24"/>
                <w:szCs w:val="24"/>
              </w:rPr>
              <w:t xml:space="preserve">Są to kolejne, obok zwiększenia podatkowej atrakcyjności </w:t>
            </w:r>
            <w:r w:rsidR="00C1791C" w:rsidRPr="00C1791C">
              <w:rPr>
                <w:rFonts w:ascii="Times New Roman" w:hAnsi="Times New Roman"/>
                <w:sz w:val="24"/>
                <w:szCs w:val="24"/>
              </w:rPr>
              <w:t>finansowania własnego (</w:t>
            </w:r>
            <w:r w:rsidR="00C1791C" w:rsidRPr="00207451">
              <w:rPr>
                <w:rFonts w:ascii="Times New Roman" w:hAnsi="Times New Roman"/>
                <w:i/>
                <w:sz w:val="24"/>
                <w:szCs w:val="24"/>
              </w:rPr>
              <w:t>notional  interest  deduction–NID</w:t>
            </w:r>
            <w:r w:rsidR="00C1791C" w:rsidRPr="00C1791C">
              <w:rPr>
                <w:rFonts w:ascii="Times New Roman" w:hAnsi="Times New Roman"/>
                <w:sz w:val="24"/>
                <w:szCs w:val="24"/>
              </w:rPr>
              <w:t>)</w:t>
            </w:r>
            <w:r w:rsidR="00C1791C">
              <w:rPr>
                <w:rFonts w:ascii="Times New Roman" w:hAnsi="Times New Roman"/>
                <w:sz w:val="24"/>
                <w:szCs w:val="24"/>
              </w:rPr>
              <w:t xml:space="preserve">, zachęty podatkowe </w:t>
            </w:r>
            <w:r w:rsidR="00C1791C" w:rsidRPr="00C1791C">
              <w:rPr>
                <w:rFonts w:ascii="Times New Roman" w:hAnsi="Times New Roman"/>
                <w:sz w:val="24"/>
                <w:szCs w:val="24"/>
              </w:rPr>
              <w:t>do  pozostawiania  w  s</w:t>
            </w:r>
            <w:r w:rsidR="00C1791C">
              <w:rPr>
                <w:rFonts w:ascii="Times New Roman" w:hAnsi="Times New Roman"/>
                <w:sz w:val="24"/>
                <w:szCs w:val="24"/>
              </w:rPr>
              <w:t>półkach  kapitału  na  rozwój</w:t>
            </w:r>
            <w:r w:rsidR="00207451">
              <w:rPr>
                <w:rFonts w:ascii="Times New Roman" w:hAnsi="Times New Roman"/>
                <w:sz w:val="24"/>
                <w:szCs w:val="24"/>
              </w:rPr>
              <w:t xml:space="preserve"> i zwiększanie nakładów na środki trwałe</w:t>
            </w:r>
            <w:r w:rsidR="00C179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1271">
              <w:rPr>
                <w:rFonts w:ascii="Times New Roman" w:hAnsi="Times New Roman"/>
                <w:sz w:val="24"/>
                <w:szCs w:val="24"/>
              </w:rPr>
              <w:t>Zakłada się, że zarówno przesunięcie w czasie obowiązku podatkowego, jak i szybsze rozliczenie inwestycji w kosztach podatkowych, będzie dla przedsiębiorców stanowić zachętę inwestycyjną. Wzrost inwestycji przyczyni się do utworzenia nowych miejsc pracy i pobudzenia popytu krajowego, a także, w dłuższej perspektywie czasowej, wzrostu gospodarczego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7657D">
              <w:rPr>
                <w:rFonts w:ascii="Times New Roman" w:hAnsi="Times New Roman"/>
                <w:sz w:val="24"/>
                <w:szCs w:val="24"/>
              </w:rPr>
              <w:t>Skorzystanie z nowych zasad opodatkowania ma charakter fakultatywny.</w:t>
            </w:r>
          </w:p>
        </w:tc>
      </w:tr>
      <w:tr w:rsidR="00500F59" w:rsidRPr="00603162" w:rsidTr="001D2286">
        <w:trPr>
          <w:trHeight w:val="307"/>
        </w:trPr>
        <w:tc>
          <w:tcPr>
            <w:tcW w:w="10950" w:type="dxa"/>
            <w:gridSpan w:val="26"/>
            <w:shd w:val="clear" w:color="auto" w:fill="99CCFF"/>
            <w:vAlign w:val="center"/>
          </w:tcPr>
          <w:p w:rsidR="006A701A" w:rsidRPr="00603162" w:rsidRDefault="009E3C4B" w:rsidP="002777C4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316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Jak problem został rozwiązany w innych krajach, w szczególności krajach członkowskich OECD/UE</w:t>
            </w:r>
            <w:r w:rsidR="006A701A" w:rsidRPr="00603162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="006A701A" w:rsidRPr="0060316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500F59" w:rsidRPr="00603162" w:rsidTr="001D2286">
        <w:trPr>
          <w:trHeight w:val="142"/>
        </w:trPr>
        <w:tc>
          <w:tcPr>
            <w:tcW w:w="10950" w:type="dxa"/>
            <w:gridSpan w:val="26"/>
            <w:shd w:val="clear" w:color="auto" w:fill="auto"/>
          </w:tcPr>
          <w:p w:rsidR="00626E18" w:rsidRDefault="00681F1D" w:rsidP="00586268">
            <w:pPr>
              <w:spacing w:before="240" w:after="120" w:line="240" w:lineRule="auto"/>
              <w:jc w:val="both"/>
              <w:rPr>
                <w:rFonts w:ascii="Times New Roman" w:hAnsi="Times New Roman"/>
                <w:bCs/>
                <w:noProof/>
              </w:rPr>
            </w:pPr>
            <w:r w:rsidRPr="00681F1D">
              <w:rPr>
                <w:rFonts w:ascii="Times New Roman" w:hAnsi="Times New Roman"/>
                <w:spacing w:val="-2"/>
                <w:sz w:val="24"/>
                <w:szCs w:val="24"/>
              </w:rPr>
              <w:t>W  zakresie  podatków  bezpośrednich  każde  państwo  członkowskie  UE może  realizować  własną  politykę podatkową. Kwestie regulowane projektem ustawy nie podlegają też żadnej for</w:t>
            </w:r>
            <w:r w:rsidR="00862026">
              <w:rPr>
                <w:rFonts w:ascii="Times New Roman" w:hAnsi="Times New Roman"/>
                <w:spacing w:val="-2"/>
                <w:sz w:val="24"/>
                <w:szCs w:val="24"/>
              </w:rPr>
              <w:t>mie harmonizacji na szczeblu UE</w:t>
            </w:r>
            <w:r w:rsidR="00C30C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czy  umów międzynarodowych.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Na ten moment </w:t>
            </w:r>
            <w:r w:rsidRPr="00681F1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Unia Europejska nie narzuca swoim członkom jednolitego systemu podatków bezpośrednich.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Poszczególne</w:t>
            </w:r>
            <w:r w:rsidR="0086202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państwa członkowskie mogą wię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c </w:t>
            </w:r>
            <w:r w:rsidRPr="00681F1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ustalać stawki i zakres opodatkowania według własnego uznania</w:t>
            </w:r>
            <w:r w:rsidR="00C30C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="0086202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Jednakże warto nadmienić, że w marcu bieżącego roku </w:t>
            </w:r>
            <w:r w:rsidR="00626E18">
              <w:rPr>
                <w:rFonts w:ascii="Times New Roman" w:hAnsi="Times New Roman"/>
                <w:noProof/>
              </w:rPr>
              <w:t xml:space="preserve">Komisja Europejska </w:t>
            </w:r>
            <w:r w:rsidR="00862026">
              <w:rPr>
                <w:rFonts w:ascii="Times New Roman" w:hAnsi="Times New Roman"/>
                <w:noProof/>
              </w:rPr>
              <w:t xml:space="preserve">zaproponowała wdrożenie </w:t>
            </w:r>
            <w:r w:rsidR="00626E18" w:rsidRPr="00626E18">
              <w:rPr>
                <w:rFonts w:ascii="Times New Roman" w:hAnsi="Times New Roman"/>
                <w:noProof/>
              </w:rPr>
              <w:t>strategii MŚP na rzecz zrównoważonej i cyfrowej Europy, która ma na celu ustanowienie</w:t>
            </w:r>
            <w:r w:rsidR="00862026" w:rsidRPr="00626E18">
              <w:rPr>
                <w:rFonts w:ascii="Times New Roman" w:hAnsi="Times New Roman"/>
                <w:noProof/>
              </w:rPr>
              <w:t xml:space="preserve"> </w:t>
            </w:r>
            <w:r w:rsidR="00626E18" w:rsidRPr="00626E18">
              <w:rPr>
                <w:rFonts w:ascii="Times New Roman" w:hAnsi="Times New Roman"/>
                <w:noProof/>
              </w:rPr>
              <w:t>ambitnego</w:t>
            </w:r>
            <w:r w:rsidR="00862026" w:rsidRPr="00626E18">
              <w:rPr>
                <w:rFonts w:ascii="Times New Roman" w:hAnsi="Times New Roman"/>
                <w:noProof/>
              </w:rPr>
              <w:t>, kompleksowe</w:t>
            </w:r>
            <w:r w:rsidR="00626E18" w:rsidRPr="00626E18">
              <w:rPr>
                <w:rFonts w:ascii="Times New Roman" w:hAnsi="Times New Roman"/>
                <w:noProof/>
              </w:rPr>
              <w:t>go</w:t>
            </w:r>
            <w:r w:rsidR="00862026" w:rsidRPr="00626E18">
              <w:rPr>
                <w:rFonts w:ascii="Times New Roman" w:hAnsi="Times New Roman"/>
                <w:noProof/>
              </w:rPr>
              <w:t xml:space="preserve"> i przekrojowe</w:t>
            </w:r>
            <w:r w:rsidR="00626E18" w:rsidRPr="00626E18">
              <w:rPr>
                <w:rFonts w:ascii="Times New Roman" w:hAnsi="Times New Roman"/>
                <w:noProof/>
              </w:rPr>
              <w:t>go podejścia</w:t>
            </w:r>
            <w:r w:rsidR="00862026" w:rsidRPr="00626E18">
              <w:rPr>
                <w:rFonts w:ascii="Times New Roman" w:hAnsi="Times New Roman"/>
                <w:noProof/>
              </w:rPr>
              <w:t xml:space="preserve"> oparte</w:t>
            </w:r>
            <w:r w:rsidR="00626E18" w:rsidRPr="00626E18">
              <w:rPr>
                <w:rFonts w:ascii="Times New Roman" w:hAnsi="Times New Roman"/>
                <w:noProof/>
              </w:rPr>
              <w:t>go</w:t>
            </w:r>
            <w:r w:rsidR="00862026" w:rsidRPr="00626E18">
              <w:rPr>
                <w:rFonts w:ascii="Times New Roman" w:hAnsi="Times New Roman"/>
                <w:noProof/>
              </w:rPr>
              <w:t xml:space="preserve"> na środkach horyzontalnych pomagających wszystkim rodzajom MŚP, a także na działaniach </w:t>
            </w:r>
            <w:r w:rsidR="00626E18" w:rsidRPr="00626E18">
              <w:rPr>
                <w:rFonts w:ascii="Times New Roman" w:hAnsi="Times New Roman"/>
                <w:noProof/>
              </w:rPr>
              <w:t>adresujących ich</w:t>
            </w:r>
            <w:r w:rsidR="00862026" w:rsidRPr="00626E18">
              <w:rPr>
                <w:rFonts w:ascii="Times New Roman" w:hAnsi="Times New Roman"/>
                <w:noProof/>
              </w:rPr>
              <w:t xml:space="preserve"> konkretne potrzeby.</w:t>
            </w:r>
            <w:r w:rsidR="00626E18" w:rsidRPr="00626E18">
              <w:rPr>
                <w:rFonts w:ascii="Times New Roman" w:hAnsi="Times New Roman"/>
                <w:noProof/>
              </w:rPr>
              <w:t xml:space="preserve"> KE podnosi, iż  sektor MŚP tworzy w UE aż 25 mln małych i średnich europejskich przedsiębiorstw (MŚP), stanowiąc tym samym trzon unijnej gospodarki. Sektor ten jest głęboko zakorzeny w gospodarczej i społecznej strukturze Europy i wymaga szczególnego wsparcia.</w:t>
            </w:r>
            <w:r w:rsidR="00626E18" w:rsidRPr="00626E18">
              <w:rPr>
                <w:rFonts w:ascii="Times New Roman" w:eastAsiaTheme="minorHAnsi" w:hAnsi="Times New Roman" w:cstheme="minorBidi"/>
                <w:noProof/>
              </w:rPr>
              <w:t xml:space="preserve"> </w:t>
            </w:r>
            <w:r w:rsidR="00626E18" w:rsidRPr="00626E18">
              <w:rPr>
                <w:rFonts w:ascii="Times New Roman" w:hAnsi="Times New Roman"/>
                <w:noProof/>
              </w:rPr>
              <w:t xml:space="preserve">Strategia przedstawia działania oparte na </w:t>
            </w:r>
            <w:r w:rsidR="00626E18" w:rsidRPr="00626E18">
              <w:rPr>
                <w:rFonts w:ascii="Times New Roman" w:hAnsi="Times New Roman"/>
                <w:bCs/>
                <w:noProof/>
              </w:rPr>
              <w:t>trzech filarach</w:t>
            </w:r>
            <w:r w:rsidR="00626E18" w:rsidRPr="00626E18">
              <w:rPr>
                <w:rFonts w:ascii="Times New Roman" w:hAnsi="Times New Roman"/>
                <w:noProof/>
              </w:rPr>
              <w:t>: b</w:t>
            </w:r>
            <w:r w:rsidR="00626E18" w:rsidRPr="00626E18">
              <w:rPr>
                <w:rFonts w:ascii="Times New Roman" w:hAnsi="Times New Roman"/>
                <w:bCs/>
                <w:noProof/>
              </w:rPr>
              <w:t>udowaniu potencjału i wsparciu</w:t>
            </w:r>
            <w:r w:rsidR="00626E18" w:rsidRPr="00626E18">
              <w:rPr>
                <w:rFonts w:ascii="Times New Roman" w:hAnsi="Times New Roman"/>
                <w:noProof/>
              </w:rPr>
              <w:t xml:space="preserve"> </w:t>
            </w:r>
            <w:r w:rsidR="00626E18" w:rsidRPr="00626E18">
              <w:rPr>
                <w:rFonts w:ascii="Times New Roman" w:hAnsi="Times New Roman"/>
                <w:bCs/>
                <w:noProof/>
              </w:rPr>
              <w:t>dla transformacji w kierunku zrównoważonego rozwoju i cyfryzacji</w:t>
            </w:r>
            <w:r w:rsidR="00626E18" w:rsidRPr="00626E18">
              <w:rPr>
                <w:rFonts w:ascii="Times New Roman" w:hAnsi="Times New Roman"/>
                <w:noProof/>
              </w:rPr>
              <w:t>, z</w:t>
            </w:r>
            <w:r w:rsidR="00391BE7">
              <w:rPr>
                <w:rFonts w:ascii="Times New Roman" w:hAnsi="Times New Roman"/>
                <w:bCs/>
                <w:noProof/>
              </w:rPr>
              <w:t>mniejszeniu</w:t>
            </w:r>
            <w:r w:rsidR="00626E18" w:rsidRPr="00626E18">
              <w:rPr>
                <w:rFonts w:ascii="Times New Roman" w:hAnsi="Times New Roman"/>
                <w:bCs/>
                <w:noProof/>
              </w:rPr>
              <w:t xml:space="preserve"> </w:t>
            </w:r>
            <w:r w:rsidR="00391BE7">
              <w:rPr>
                <w:rFonts w:ascii="Times New Roman" w:hAnsi="Times New Roman"/>
                <w:bCs/>
                <w:noProof/>
              </w:rPr>
              <w:t>obciążeń regulacyjnych i poprawie</w:t>
            </w:r>
            <w:r w:rsidR="00626E18" w:rsidRPr="00626E18">
              <w:rPr>
                <w:rFonts w:ascii="Times New Roman" w:hAnsi="Times New Roman"/>
                <w:bCs/>
                <w:noProof/>
              </w:rPr>
              <w:t xml:space="preserve"> dostępu do rynku</w:t>
            </w:r>
            <w:r w:rsidR="00626E18" w:rsidRPr="00626E18">
              <w:rPr>
                <w:rFonts w:ascii="Times New Roman" w:hAnsi="Times New Roman"/>
                <w:noProof/>
              </w:rPr>
              <w:t xml:space="preserve"> oraz</w:t>
            </w:r>
            <w:r w:rsidR="00626E18" w:rsidRPr="00626E18">
              <w:rPr>
                <w:rFonts w:ascii="Times New Roman" w:hAnsi="Times New Roman"/>
                <w:bCs/>
                <w:noProof/>
              </w:rPr>
              <w:t xml:space="preserve"> lepszegp dostępu do finansowania. Proponowane rozwiązanie ma w założeniu adresować dwie ostatnie ze wskazanych barier rozwoju sektora MŚP.</w:t>
            </w:r>
          </w:p>
          <w:p w:rsidR="00573883" w:rsidRDefault="00391BE7" w:rsidP="00586268">
            <w:pPr>
              <w:spacing w:before="240" w:after="120" w:line="240" w:lineRule="auto"/>
              <w:jc w:val="both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 xml:space="preserve">W wielu państwach funkcjonują systemy opodatkowania </w:t>
            </w:r>
            <w:r w:rsidR="00573883">
              <w:rPr>
                <w:rFonts w:ascii="Times New Roman" w:hAnsi="Times New Roman"/>
                <w:bCs/>
                <w:noProof/>
              </w:rPr>
              <w:t>wspierające mniejsze przedsiębiorstwa i jednocześnie podobne do propo</w:t>
            </w:r>
            <w:r w:rsidR="00FE5719">
              <w:rPr>
                <w:rFonts w:ascii="Times New Roman" w:hAnsi="Times New Roman"/>
                <w:bCs/>
                <w:noProof/>
              </w:rPr>
              <w:t>nowanego w niniejszym projekcie ustawy.</w:t>
            </w:r>
          </w:p>
          <w:p w:rsidR="00B90C26" w:rsidRDefault="00573883" w:rsidP="00586268">
            <w:pPr>
              <w:spacing w:before="240"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</w:rPr>
              <w:lastRenderedPageBreak/>
              <w:t xml:space="preserve">Przykładowo w Chile </w:t>
            </w:r>
            <w:r w:rsidR="00FE57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obowiązuje </w:t>
            </w:r>
            <w:r w:rsidR="00681F1D" w:rsidRPr="00681F1D">
              <w:rPr>
                <w:rFonts w:ascii="Times New Roman" w:hAnsi="Times New Roman"/>
                <w:spacing w:val="-2"/>
                <w:sz w:val="24"/>
                <w:szCs w:val="24"/>
              </w:rPr>
              <w:t>system opodatkowania na podstawie dystrybucji (podzielonych zysków) dla tych podatników, których roczny dochód nie przekracza 5000 UTM (ok. 1,25 mln), a kapitał wł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asny 1000 UTM (ok. 0,25 mln zł); </w:t>
            </w:r>
            <w:r w:rsidR="00FE5719">
              <w:rPr>
                <w:rFonts w:ascii="Times New Roman" w:hAnsi="Times New Roman"/>
                <w:spacing w:val="-2"/>
                <w:sz w:val="24"/>
                <w:szCs w:val="24"/>
              </w:rPr>
              <w:t>oraz s</w:t>
            </w:r>
            <w:r w:rsidR="00FE5719" w:rsidRPr="00681F1D">
              <w:rPr>
                <w:rFonts w:ascii="Times New Roman" w:hAnsi="Times New Roman"/>
                <w:spacing w:val="-2"/>
                <w:sz w:val="24"/>
                <w:szCs w:val="24"/>
              </w:rPr>
              <w:t>ystem</w:t>
            </w:r>
            <w:r w:rsidR="00681F1D" w:rsidRPr="00681F1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opodatkowania na podstawie przepływów pieniężnych, dla tych podatników, których roczny dochód nie przekracza 5000 UTM (ok. 1,25 mln), a kapitał własny 6000 UTM (ok. 1,5 mln </w:t>
            </w:r>
            <w:r w:rsidR="00FE5719">
              <w:rPr>
                <w:rFonts w:ascii="Times New Roman" w:hAnsi="Times New Roman"/>
                <w:spacing w:val="-2"/>
                <w:sz w:val="24"/>
                <w:szCs w:val="24"/>
              </w:rPr>
              <w:t>zł) i którzy są podatnikami VAT.</w:t>
            </w:r>
            <w:r w:rsidR="00FE5719" w:rsidRPr="00FE5719">
              <w:rPr>
                <w:rFonts w:ascii="Times New Roman" w:eastAsia="Times New Roman" w:hAnsi="Times New Roman"/>
              </w:rPr>
              <w:t xml:space="preserve"> </w:t>
            </w:r>
            <w:r w:rsidR="00FE57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Na Węgrzech </w:t>
            </w:r>
            <w:r w:rsidR="00FE5719" w:rsidRPr="00FE5719">
              <w:rPr>
                <w:rFonts w:ascii="Times New Roman" w:hAnsi="Times New Roman"/>
                <w:spacing w:val="-2"/>
                <w:sz w:val="24"/>
                <w:szCs w:val="24"/>
              </w:rPr>
              <w:t>od 01.01.2013  </w:t>
            </w:r>
            <w:r w:rsidR="00FE5719">
              <w:rPr>
                <w:rFonts w:ascii="Times New Roman" w:hAnsi="Times New Roman"/>
                <w:spacing w:val="-2"/>
                <w:sz w:val="24"/>
                <w:szCs w:val="24"/>
              </w:rPr>
              <w:t>r. obowiązuje m</w:t>
            </w:r>
            <w:r w:rsidR="00FE5719" w:rsidRPr="00FE5719">
              <w:rPr>
                <w:rFonts w:ascii="Times New Roman" w:hAnsi="Times New Roman"/>
                <w:spacing w:val="-2"/>
                <w:sz w:val="24"/>
                <w:szCs w:val="24"/>
              </w:rPr>
              <w:t>odel opodatkowania nazywany KIVA (</w:t>
            </w:r>
            <w:r w:rsidR="00FE5719" w:rsidRPr="00FE5719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Small Business Tax</w:t>
            </w:r>
            <w:r w:rsidR="00FE5719" w:rsidRPr="00FE5719">
              <w:rPr>
                <w:rFonts w:ascii="Times New Roman" w:hAnsi="Times New Roman"/>
                <w:spacing w:val="-2"/>
                <w:sz w:val="24"/>
                <w:szCs w:val="24"/>
              </w:rPr>
              <w:t>) skierowany wyłąc</w:t>
            </w:r>
            <w:r w:rsidR="00FE57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znie do małych przedsiębiorstw i polegający na opodatkowaniu przepływów pieniężnych. </w:t>
            </w:r>
            <w:r w:rsidR="00FE5719" w:rsidRPr="00FE5719">
              <w:rPr>
                <w:rFonts w:ascii="Times New Roman" w:hAnsi="Times New Roman"/>
                <w:spacing w:val="-2"/>
                <w:sz w:val="24"/>
                <w:szCs w:val="24"/>
              </w:rPr>
              <w:t>Ma on charakter opcjonalny, funkcjonuje równolegle z „klasycznym” systemem CIT</w:t>
            </w:r>
            <w:sdt>
              <w:sdtPr>
                <w:rPr>
                  <w:rFonts w:ascii="Times New Roman" w:hAnsi="Times New Roman"/>
                  <w:spacing w:val="-2"/>
                  <w:sz w:val="24"/>
                  <w:szCs w:val="24"/>
                </w:rPr>
                <w:tag w:val="goog_rdk_28"/>
                <w:id w:val="1063070194"/>
              </w:sdtPr>
              <w:sdtEndPr/>
              <w:sdtContent/>
            </w:sdt>
            <w:r w:rsidR="00FE57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</w:p>
          <w:p w:rsidR="00A0371B" w:rsidRDefault="00B90C26" w:rsidP="00586268">
            <w:pPr>
              <w:spacing w:before="240"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Proponowane w wariancie pierwszym rozwiązanie wzorowane jest na systemie estońskim, wprowadzonym w 2000 roku. </w:t>
            </w:r>
            <w:r w:rsidRPr="00B90C2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Rząd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estoński </w:t>
            </w:r>
            <w:r w:rsidRPr="00B90C26">
              <w:rPr>
                <w:rFonts w:ascii="Times New Roman" w:hAnsi="Times New Roman"/>
                <w:spacing w:val="-2"/>
                <w:sz w:val="24"/>
                <w:szCs w:val="24"/>
              </w:rPr>
              <w:t>oczekiwał, że reforma będzie promować inwestycje i przedsiębiorczość oraz tworzyć nowe miejsca pracy, a także sprawi, że Estonia będzie postrzegana jako kraj przy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jazny obywatelom i inwestycjom. P</w:t>
            </w:r>
            <w:r w:rsidRPr="00B90C2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o wprowadzeniu nowego reżimu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odnotowano </w:t>
            </w:r>
            <w:r w:rsidRPr="00B90C2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x-none"/>
              </w:rPr>
              <w:t xml:space="preserve">podwojenie </w:t>
            </w:r>
            <w:r w:rsidRPr="00B90C26">
              <w:rPr>
                <w:rFonts w:ascii="Times New Roman" w:hAnsi="Times New Roman"/>
                <w:spacing w:val="-2"/>
                <w:sz w:val="24"/>
                <w:szCs w:val="24"/>
                <w:lang w:val="x-none"/>
              </w:rPr>
              <w:t>wielkości s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x-none"/>
              </w:rPr>
              <w:t xml:space="preserve">topy inwestycji, a </w:t>
            </w:r>
            <w:r w:rsidRPr="00B90C2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także szybszy niż na Łotwie i Litwie wzrost płynności i produktywności przedsiębiorstw.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Z</w:t>
            </w:r>
            <w:r w:rsidRPr="00B90C2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mniejszyło się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także </w:t>
            </w:r>
            <w:r w:rsidRPr="00B90C2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zadłużenie, a zwiększył wolumen zatrzymanych zysków.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Podobne rozwiązanie przyjęły</w:t>
            </w:r>
            <w:r w:rsidRPr="00B90C2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wkró</w:t>
            </w:r>
            <w:r w:rsidR="006C44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tce kolejne kraje, m.in. Gruzja i Łotwa. W państwach tych funkcjonuje system opodatkowania zakładający </w:t>
            </w:r>
            <w:r w:rsidR="000227D3">
              <w:rPr>
                <w:rFonts w:ascii="Times New Roman" w:hAnsi="Times New Roman"/>
                <w:spacing w:val="-2"/>
                <w:sz w:val="24"/>
                <w:szCs w:val="24"/>
              </w:rPr>
              <w:t>odstąpienie od nałożenia</w:t>
            </w:r>
            <w:r w:rsidR="006C44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podatku </w:t>
            </w:r>
            <w:r w:rsidR="000227D3">
              <w:rPr>
                <w:rFonts w:ascii="Times New Roman" w:hAnsi="Times New Roman"/>
                <w:spacing w:val="-2"/>
                <w:sz w:val="24"/>
                <w:szCs w:val="24"/>
              </w:rPr>
              <w:t>na zyski</w:t>
            </w:r>
            <w:r w:rsidR="006C44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0227D3">
              <w:rPr>
                <w:rFonts w:ascii="Times New Roman" w:hAnsi="Times New Roman"/>
                <w:spacing w:val="-2"/>
                <w:sz w:val="24"/>
                <w:szCs w:val="24"/>
              </w:rPr>
              <w:t>zatrzymane</w:t>
            </w:r>
            <w:r w:rsidR="006C44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w spółce. Ich opodatkowanie następuje dopiero w momencie wypłaty (taka dystrybucja może mieć różne formy i obejmuje nie tylko dywidendy, ale również ekonomicznie </w:t>
            </w:r>
            <w:r w:rsidR="000227D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podobne  </w:t>
            </w:r>
            <w:r w:rsidR="006C442D">
              <w:rPr>
                <w:rFonts w:ascii="Times New Roman" w:hAnsi="Times New Roman"/>
                <w:spacing w:val="-2"/>
                <w:sz w:val="24"/>
                <w:szCs w:val="24"/>
              </w:rPr>
              <w:t>płatności).</w:t>
            </w:r>
            <w:r w:rsidR="00A0371B">
              <w:t xml:space="preserve"> </w:t>
            </w:r>
            <w:r w:rsidR="00A0371B" w:rsidRPr="00A0371B">
              <w:rPr>
                <w:rFonts w:ascii="Times New Roman" w:hAnsi="Times New Roman"/>
                <w:spacing w:val="-2"/>
                <w:sz w:val="24"/>
                <w:szCs w:val="24"/>
              </w:rPr>
              <w:t>Również Ukraina pracuje obecnie nad wprowadzaniem podobnego rozwiązania. Miałoby ono objąć podmioty o rocznych obrotach poniżej 200 mln UAH (tj. w przybliżeniu 32 mln zł, co odpowiada za ok. ¼ ogółu podatników CIT na Ukrainie).</w:t>
            </w:r>
          </w:p>
          <w:p w:rsidR="00A0371B" w:rsidRPr="004D5146" w:rsidRDefault="00A0371B" w:rsidP="00586268">
            <w:pPr>
              <w:spacing w:before="240" w:after="12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Z kolei rozwiązania </w:t>
            </w:r>
            <w:r w:rsidRPr="00362CBB">
              <w:rPr>
                <w:rFonts w:ascii="Times New Roman" w:hAnsi="Times New Roman"/>
                <w:spacing w:val="-2"/>
                <w:sz w:val="24"/>
                <w:szCs w:val="24"/>
              </w:rPr>
              <w:t>podobne do tych, proponowanych w wariancie drugim</w:t>
            </w:r>
            <w:r w:rsidR="00362CBB" w:rsidRPr="00362CBB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362C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funkcjonują m.in. na Węgrzech i w Niemczech.</w:t>
            </w:r>
            <w:r w:rsidR="00362CBB" w:rsidRPr="00362C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System węgierski daje podatnikom możliwość stworzenia specjalnej rezerwy inwestycyjnej</w:t>
            </w:r>
            <w:r w:rsidR="00362C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która musi zostać </w:t>
            </w:r>
            <w:r w:rsidR="00362CBB" w:rsidRPr="00362C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wykorzystana na inwestycje w ciągu 4 lat. W ramach ww. rezerwy podatnik może dokonać odliczenia w wysokości 50% dochodu, jednak nie większego niż kwota rezerwy wykazana za rok poprzedni i nie </w:t>
            </w:r>
            <w:r w:rsidR="00FE19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przekraczającego kwoty limitu tj. </w:t>
            </w:r>
            <w:r w:rsidR="00362CBB" w:rsidRPr="00362CB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10 miliardów HUF (ok. 130 mln zł). </w:t>
            </w:r>
            <w:r w:rsidR="00586268">
              <w:rPr>
                <w:rFonts w:ascii="Times New Roman" w:hAnsi="Times New Roman"/>
                <w:spacing w:val="-2"/>
                <w:sz w:val="24"/>
                <w:szCs w:val="24"/>
              </w:rPr>
              <w:t>W Niemczech funkcjonuje podobna ulga mająca na celu</w:t>
            </w:r>
            <w:r w:rsidR="00586268" w:rsidRPr="0058626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jest poprawienie płynności oraz wzmocnienie potencjału inwestycyjnego </w:t>
            </w:r>
            <w:r w:rsidR="0058626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sektora </w:t>
            </w:r>
            <w:r w:rsidR="00586268" w:rsidRPr="00586268">
              <w:rPr>
                <w:rFonts w:ascii="Times New Roman" w:hAnsi="Times New Roman"/>
                <w:spacing w:val="-2"/>
                <w:sz w:val="24"/>
                <w:szCs w:val="24"/>
              </w:rPr>
              <w:t>małych i średnich przedsiębiorstw</w:t>
            </w:r>
            <w:r w:rsidR="0058626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Z preferencji mogą skorzystać te podmioty, których dochód roczny nie przekracza określonego progu (od 100.000 do 235.000 EUR, w zależności </w:t>
            </w:r>
            <w:r w:rsidR="00586268" w:rsidRPr="00586268">
              <w:rPr>
                <w:rFonts w:ascii="Times New Roman" w:hAnsi="Times New Roman"/>
                <w:spacing w:val="-2"/>
                <w:sz w:val="24"/>
                <w:szCs w:val="24"/>
              </w:rPr>
              <w:t>od r</w:t>
            </w:r>
            <w:r w:rsidR="0058626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odzaju prowadzonej działalności. Ulga polega na możliwości dokonania odliczenia inwestycyjnego, w zakresie </w:t>
            </w:r>
            <w:r w:rsidR="00586268" w:rsidRPr="00586268">
              <w:rPr>
                <w:rFonts w:ascii="Times New Roman" w:hAnsi="Times New Roman"/>
                <w:spacing w:val="-2"/>
                <w:sz w:val="24"/>
                <w:szCs w:val="24"/>
              </w:rPr>
              <w:t>planowanych przez przedsiębiorstwo inwestycji w aktywa trwałe wykorzystywane w więcej niż 90% na cele działalności gospodarczej</w:t>
            </w:r>
            <w:r w:rsidR="0058626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i dokonywane jest</w:t>
            </w:r>
            <w:r w:rsidR="00586268" w:rsidRPr="0058626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w roku podatkowym poprzedzającym dokonanie inwestycji, o ile jej realizacja nastąpi w ciągu kolejnych 3 lat. Odliczenie </w:t>
            </w:r>
            <w:r w:rsidR="00586268">
              <w:rPr>
                <w:rFonts w:ascii="Times New Roman" w:hAnsi="Times New Roman"/>
                <w:spacing w:val="-2"/>
                <w:sz w:val="24"/>
                <w:szCs w:val="24"/>
              </w:rPr>
              <w:t>nie może przekroczyć</w:t>
            </w:r>
            <w:r w:rsidR="00586268" w:rsidRPr="0058626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40% planowanych kosztów zakupu</w:t>
            </w:r>
            <w:r w:rsidR="0058626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oraz kwoty limitu </w:t>
            </w:r>
            <w:r w:rsidR="00586268" w:rsidRPr="0058626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200.000 </w:t>
            </w:r>
            <w:r w:rsidR="00586268">
              <w:rPr>
                <w:rFonts w:ascii="Times New Roman" w:hAnsi="Times New Roman"/>
                <w:spacing w:val="-2"/>
                <w:sz w:val="24"/>
                <w:szCs w:val="24"/>
              </w:rPr>
              <w:t>EUR.</w:t>
            </w:r>
          </w:p>
        </w:tc>
      </w:tr>
      <w:tr w:rsidR="00500F59" w:rsidRPr="00603162" w:rsidTr="001D2286">
        <w:trPr>
          <w:trHeight w:val="359"/>
        </w:trPr>
        <w:tc>
          <w:tcPr>
            <w:tcW w:w="10950" w:type="dxa"/>
            <w:gridSpan w:val="26"/>
            <w:shd w:val="clear" w:color="auto" w:fill="99CCFF"/>
            <w:vAlign w:val="center"/>
          </w:tcPr>
          <w:p w:rsidR="006A701A" w:rsidRPr="00603162" w:rsidRDefault="006A701A" w:rsidP="00E61AA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31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Podmioty, na które oddziałuje projekt</w:t>
            </w:r>
          </w:p>
        </w:tc>
      </w:tr>
      <w:tr w:rsidR="00500F59" w:rsidRPr="00603162" w:rsidTr="00D52759">
        <w:trPr>
          <w:trHeight w:val="50"/>
        </w:trPr>
        <w:tc>
          <w:tcPr>
            <w:tcW w:w="2664" w:type="dxa"/>
            <w:gridSpan w:val="3"/>
            <w:shd w:val="clear" w:color="auto" w:fill="auto"/>
          </w:tcPr>
          <w:p w:rsidR="00260F33" w:rsidRPr="00603162" w:rsidRDefault="00260F33" w:rsidP="00E61AA6">
            <w:pPr>
              <w:spacing w:before="4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pacing w:val="-2"/>
                <w:sz w:val="24"/>
                <w:szCs w:val="24"/>
              </w:rPr>
              <w:t>Grupa</w:t>
            </w:r>
          </w:p>
        </w:tc>
        <w:tc>
          <w:tcPr>
            <w:tcW w:w="2327" w:type="dxa"/>
            <w:gridSpan w:val="7"/>
            <w:shd w:val="clear" w:color="auto" w:fill="auto"/>
          </w:tcPr>
          <w:p w:rsidR="00260F33" w:rsidRPr="00603162" w:rsidRDefault="00563199" w:rsidP="00E61AA6">
            <w:pPr>
              <w:spacing w:before="4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pacing w:val="-2"/>
                <w:sz w:val="24"/>
                <w:szCs w:val="24"/>
              </w:rPr>
              <w:t>Wielkość</w:t>
            </w:r>
          </w:p>
        </w:tc>
        <w:tc>
          <w:tcPr>
            <w:tcW w:w="2961" w:type="dxa"/>
            <w:gridSpan w:val="10"/>
            <w:shd w:val="clear" w:color="auto" w:fill="auto"/>
          </w:tcPr>
          <w:p w:rsidR="00260F33" w:rsidRPr="00603162" w:rsidRDefault="00260F33" w:rsidP="00E61AA6">
            <w:pPr>
              <w:spacing w:before="4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pacing w:val="-2"/>
                <w:sz w:val="24"/>
                <w:szCs w:val="24"/>
              </w:rPr>
              <w:t>Źródło danych</w:t>
            </w:r>
            <w:r w:rsidRPr="00603162" w:rsidDel="00260F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  <w:gridSpan w:val="6"/>
            <w:shd w:val="clear" w:color="auto" w:fill="auto"/>
          </w:tcPr>
          <w:p w:rsidR="00260F33" w:rsidRPr="00603162" w:rsidRDefault="00260F33" w:rsidP="00E61AA6">
            <w:pPr>
              <w:spacing w:before="4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pacing w:val="-2"/>
                <w:sz w:val="24"/>
                <w:szCs w:val="24"/>
              </w:rPr>
              <w:t>Oddziaływanie</w:t>
            </w:r>
          </w:p>
        </w:tc>
      </w:tr>
      <w:tr w:rsidR="00500F59" w:rsidRPr="00603162" w:rsidTr="00D52759">
        <w:trPr>
          <w:trHeight w:val="142"/>
        </w:trPr>
        <w:tc>
          <w:tcPr>
            <w:tcW w:w="2664" w:type="dxa"/>
            <w:gridSpan w:val="3"/>
            <w:shd w:val="clear" w:color="auto" w:fill="auto"/>
          </w:tcPr>
          <w:p w:rsidR="00C34876" w:rsidRDefault="008D0840" w:rsidP="00C3487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34876">
              <w:rPr>
                <w:rFonts w:ascii="Times New Roman" w:hAnsi="Times New Roman"/>
                <w:spacing w:val="-2"/>
                <w:sz w:val="24"/>
                <w:szCs w:val="24"/>
              </w:rPr>
              <w:t>Spółki z ograniczo</w:t>
            </w:r>
            <w:r w:rsidR="009C6CE5" w:rsidRPr="00C34876">
              <w:rPr>
                <w:rFonts w:ascii="Times New Roman" w:hAnsi="Times New Roman"/>
                <w:spacing w:val="-2"/>
                <w:sz w:val="24"/>
                <w:szCs w:val="24"/>
              </w:rPr>
              <w:t>ną odpowiedzialnością oraz s</w:t>
            </w:r>
            <w:r w:rsidR="005804AE" w:rsidRPr="00C34876">
              <w:rPr>
                <w:rFonts w:ascii="Times New Roman" w:hAnsi="Times New Roman"/>
                <w:spacing w:val="-2"/>
                <w:sz w:val="24"/>
                <w:szCs w:val="24"/>
              </w:rPr>
              <w:t>półki a</w:t>
            </w:r>
            <w:r w:rsidR="00C34876">
              <w:rPr>
                <w:rFonts w:ascii="Times New Roman" w:hAnsi="Times New Roman"/>
                <w:spacing w:val="-2"/>
                <w:sz w:val="24"/>
                <w:szCs w:val="24"/>
              </w:rPr>
              <w:t>kcyjne</w:t>
            </w:r>
            <w:r w:rsidR="005804AE" w:rsidRPr="00C348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="00C34876" w:rsidRPr="00C348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których </w:t>
            </w:r>
            <w:r w:rsidR="00C34876" w:rsidRPr="002A68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całość udziałów </w:t>
            </w:r>
            <w:r w:rsidR="00C34876" w:rsidRPr="00C348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znajduje się </w:t>
            </w:r>
            <w:r w:rsidR="00C34876" w:rsidRPr="002A68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posiadaniu osób fizycznych</w:t>
            </w:r>
            <w:r w:rsidR="00C34876" w:rsidRPr="00C34876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260F33" w:rsidRPr="00C34876" w:rsidRDefault="00216123" w:rsidP="00C3487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w</w:t>
            </w:r>
            <w:r w:rsidR="00C348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tym podatników podatku dochodowego od osób prawnych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C348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których </w:t>
            </w:r>
            <w:r w:rsidR="00C34876" w:rsidRPr="00C348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5804AE" w:rsidRPr="00C348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przychody </w:t>
            </w:r>
            <w:r w:rsidR="009C6CE5" w:rsidRPr="00C348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nie </w:t>
            </w:r>
            <w:r w:rsidR="005804AE" w:rsidRPr="00C348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przekraczają </w:t>
            </w:r>
            <w:r w:rsidR="009C6CE5" w:rsidRPr="00C34876">
              <w:rPr>
                <w:rFonts w:ascii="Times New Roman" w:hAnsi="Times New Roman"/>
                <w:spacing w:val="-2"/>
                <w:sz w:val="24"/>
                <w:szCs w:val="24"/>
              </w:rPr>
              <w:t>progu</w:t>
            </w:r>
            <w:r w:rsidR="005804AE" w:rsidRPr="00C348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50 mln zł</w:t>
            </w:r>
            <w:r w:rsidR="00C34876" w:rsidRPr="00C348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oraz zatrudniają minimum 3 pracowników</w:t>
            </w:r>
            <w:r w:rsidR="001D30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niebędących udziałowcami (akcjonariuszami)</w:t>
            </w:r>
            <w:r w:rsidR="00C34876" w:rsidRPr="00C348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327" w:type="dxa"/>
            <w:gridSpan w:val="7"/>
            <w:shd w:val="clear" w:color="auto" w:fill="auto"/>
          </w:tcPr>
          <w:p w:rsidR="00260F33" w:rsidRDefault="00216123" w:rsidP="005C4FC7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199</w:t>
            </w:r>
            <w:r w:rsidR="009C6CE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8D0840">
              <w:rPr>
                <w:rFonts w:ascii="Times New Roman" w:hAnsi="Times New Roman"/>
                <w:spacing w:val="-2"/>
                <w:sz w:val="24"/>
                <w:szCs w:val="24"/>
              </w:rPr>
              <w:t>tys. podatników</w:t>
            </w:r>
          </w:p>
          <w:p w:rsidR="00216123" w:rsidRDefault="00216123" w:rsidP="005C4FC7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216123" w:rsidRDefault="00216123" w:rsidP="005C4FC7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216123" w:rsidRDefault="00216123" w:rsidP="005C4FC7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216123" w:rsidRDefault="00216123" w:rsidP="005C4FC7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216123" w:rsidRDefault="00216123" w:rsidP="005C4FC7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216123" w:rsidRDefault="00216123" w:rsidP="005C4FC7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216123" w:rsidRPr="00603162" w:rsidRDefault="00216123" w:rsidP="005C4FC7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34,4 tys. podatników</w:t>
            </w:r>
          </w:p>
        </w:tc>
        <w:tc>
          <w:tcPr>
            <w:tcW w:w="2961" w:type="dxa"/>
            <w:gridSpan w:val="10"/>
            <w:shd w:val="clear" w:color="auto" w:fill="auto"/>
          </w:tcPr>
          <w:p w:rsidR="00260F33" w:rsidRPr="00603162" w:rsidRDefault="008D0840" w:rsidP="00AF5E74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Bazy podatkowe Ministerstwa Finansów</w:t>
            </w:r>
          </w:p>
        </w:tc>
        <w:tc>
          <w:tcPr>
            <w:tcW w:w="2998" w:type="dxa"/>
            <w:gridSpan w:val="6"/>
            <w:shd w:val="clear" w:color="auto" w:fill="auto"/>
          </w:tcPr>
          <w:p w:rsidR="00260F33" w:rsidRPr="00603162" w:rsidRDefault="008D0840" w:rsidP="00AF5E74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Pozytywne zmniejszenie obciążeń podatników</w:t>
            </w:r>
          </w:p>
        </w:tc>
      </w:tr>
      <w:tr w:rsidR="00B24A59" w:rsidRPr="00603162" w:rsidTr="00D52759">
        <w:trPr>
          <w:trHeight w:val="142"/>
        </w:trPr>
        <w:tc>
          <w:tcPr>
            <w:tcW w:w="2664" w:type="dxa"/>
            <w:gridSpan w:val="3"/>
            <w:shd w:val="clear" w:color="auto" w:fill="auto"/>
          </w:tcPr>
          <w:p w:rsidR="00B24A59" w:rsidRPr="00AF4E12" w:rsidRDefault="00B24A59" w:rsidP="00C34876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  <w:highlight w:val="green"/>
              </w:rPr>
            </w:pPr>
            <w:r w:rsidRPr="000573CF">
              <w:rPr>
                <w:rFonts w:ascii="Times New Roman" w:hAnsi="Times New Roman"/>
                <w:spacing w:val="-2"/>
                <w:sz w:val="24"/>
                <w:szCs w:val="24"/>
              </w:rPr>
              <w:t>Administracja skarbowa</w:t>
            </w:r>
          </w:p>
        </w:tc>
        <w:tc>
          <w:tcPr>
            <w:tcW w:w="2327" w:type="dxa"/>
            <w:gridSpan w:val="7"/>
            <w:shd w:val="clear" w:color="auto" w:fill="auto"/>
          </w:tcPr>
          <w:p w:rsidR="00B24A59" w:rsidRPr="00AF4E12" w:rsidRDefault="00B24A59" w:rsidP="005C4FC7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  <w:highlight w:val="green"/>
              </w:rPr>
            </w:pPr>
            <w:r w:rsidRPr="000573CF">
              <w:rPr>
                <w:rFonts w:ascii="Times New Roman" w:hAnsi="Times New Roman"/>
                <w:spacing w:val="-2"/>
                <w:sz w:val="24"/>
                <w:szCs w:val="24"/>
              </w:rPr>
              <w:t>400 urzędów skarbowych</w:t>
            </w:r>
          </w:p>
        </w:tc>
        <w:tc>
          <w:tcPr>
            <w:tcW w:w="2961" w:type="dxa"/>
            <w:gridSpan w:val="10"/>
            <w:shd w:val="clear" w:color="auto" w:fill="auto"/>
          </w:tcPr>
          <w:p w:rsidR="00B24A59" w:rsidRPr="00AF4E12" w:rsidRDefault="00B24A59" w:rsidP="00AF5E74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  <w:highlight w:val="green"/>
              </w:rPr>
            </w:pPr>
            <w:r w:rsidRPr="000573CF">
              <w:rPr>
                <w:rFonts w:ascii="Times New Roman" w:hAnsi="Times New Roman"/>
                <w:spacing w:val="-2"/>
                <w:sz w:val="24"/>
                <w:szCs w:val="24"/>
              </w:rPr>
              <w:t>Dane KAS MF</w:t>
            </w:r>
          </w:p>
        </w:tc>
        <w:tc>
          <w:tcPr>
            <w:tcW w:w="2998" w:type="dxa"/>
            <w:gridSpan w:val="6"/>
            <w:shd w:val="clear" w:color="auto" w:fill="auto"/>
          </w:tcPr>
          <w:p w:rsidR="00B24A59" w:rsidRPr="000573CF" w:rsidRDefault="00AF4E12" w:rsidP="00B24A59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573CF">
              <w:rPr>
                <w:rFonts w:ascii="Times New Roman" w:hAnsi="Times New Roman"/>
                <w:spacing w:val="-2"/>
                <w:sz w:val="24"/>
                <w:szCs w:val="24"/>
              </w:rPr>
              <w:t>Zmiany dostosowawcze związane z</w:t>
            </w:r>
            <w:r w:rsidR="00B24A59" w:rsidRPr="000573C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wdrożeniem rozwiązań przewidzianych w projekcie ustawy</w:t>
            </w:r>
          </w:p>
          <w:p w:rsidR="00B24A59" w:rsidRPr="00AF4E12" w:rsidRDefault="00B24A59" w:rsidP="00B24A59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  <w:highlight w:val="green"/>
              </w:rPr>
            </w:pPr>
          </w:p>
          <w:p w:rsidR="00B24A59" w:rsidRPr="00AF4E12" w:rsidRDefault="00B24A59" w:rsidP="00B24A59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  <w:highlight w:val="green"/>
              </w:rPr>
            </w:pPr>
          </w:p>
          <w:p w:rsidR="00B24A59" w:rsidRPr="00AF4E12" w:rsidRDefault="00B24A59" w:rsidP="00B24A59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  <w:highlight w:val="green"/>
              </w:rPr>
            </w:pPr>
          </w:p>
        </w:tc>
      </w:tr>
      <w:tr w:rsidR="008D0840" w:rsidRPr="00603162" w:rsidTr="001D2286">
        <w:trPr>
          <w:trHeight w:val="302"/>
        </w:trPr>
        <w:tc>
          <w:tcPr>
            <w:tcW w:w="10950" w:type="dxa"/>
            <w:gridSpan w:val="26"/>
            <w:shd w:val="clear" w:color="auto" w:fill="99CCFF"/>
            <w:vAlign w:val="center"/>
          </w:tcPr>
          <w:p w:rsidR="008D0840" w:rsidRPr="00603162" w:rsidRDefault="008D0840" w:rsidP="008D0840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3162">
              <w:rPr>
                <w:rFonts w:ascii="Times New Roman" w:hAnsi="Times New Roman"/>
                <w:b/>
                <w:sz w:val="24"/>
                <w:szCs w:val="24"/>
              </w:rPr>
              <w:t>Informacje na temat zakresu, czasu trwania i podsumowanie wyników konsultacji</w:t>
            </w:r>
          </w:p>
        </w:tc>
      </w:tr>
      <w:tr w:rsidR="008D0840" w:rsidRPr="00603162" w:rsidTr="001D2286">
        <w:trPr>
          <w:trHeight w:val="342"/>
        </w:trPr>
        <w:tc>
          <w:tcPr>
            <w:tcW w:w="10950" w:type="dxa"/>
            <w:gridSpan w:val="26"/>
            <w:shd w:val="clear" w:color="auto" w:fill="FFFFFF"/>
          </w:tcPr>
          <w:p w:rsidR="008D0840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3D00F7" w:rsidRDefault="003D00F7" w:rsidP="003D00F7">
            <w:pPr>
              <w:spacing w:after="24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573CF">
              <w:rPr>
                <w:rFonts w:ascii="Times New Roman" w:hAnsi="Times New Roman"/>
                <w:spacing w:val="-2"/>
                <w:sz w:val="24"/>
                <w:szCs w:val="24"/>
              </w:rPr>
              <w:t>W odniesieniu do projektu nie były prowadzone konsultacje poprzedzające jego przygotowanie tzw. pre-konsultacje publiczne.</w:t>
            </w:r>
          </w:p>
          <w:p w:rsidR="002F5652" w:rsidRDefault="003D00F7" w:rsidP="002F5652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D00F7">
              <w:rPr>
                <w:rFonts w:ascii="Times New Roman" w:hAnsi="Times New Roman"/>
                <w:spacing w:val="-2"/>
                <w:sz w:val="24"/>
                <w:szCs w:val="24"/>
              </w:rPr>
              <w:t>Zgodnie z art. 5 ustawy z dnia 7 lipca 2005 r. o</w:t>
            </w:r>
            <w:r w:rsidR="002F565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00F7">
              <w:rPr>
                <w:rFonts w:ascii="Times New Roman" w:hAnsi="Times New Roman"/>
                <w:spacing w:val="-2"/>
                <w:sz w:val="24"/>
                <w:szCs w:val="24"/>
              </w:rPr>
              <w:t>działalności lobbingowej w proc</w:t>
            </w:r>
            <w:r w:rsidR="002F5652">
              <w:rPr>
                <w:rFonts w:ascii="Times New Roman" w:hAnsi="Times New Roman"/>
                <w:spacing w:val="-2"/>
                <w:sz w:val="24"/>
                <w:szCs w:val="24"/>
              </w:rPr>
              <w:t>esie stanowienia prawa (Dz.U. z </w:t>
            </w:r>
            <w:r w:rsidRPr="003D00F7">
              <w:rPr>
                <w:rFonts w:ascii="Times New Roman" w:hAnsi="Times New Roman"/>
                <w:spacing w:val="-2"/>
                <w:sz w:val="24"/>
                <w:szCs w:val="24"/>
              </w:rPr>
              <w:t>2017 r. poz. 248), oraz do § 52 ust. 1 uchwały nr 190 Rady Ministrów z dnia 29 października 2013 r. –</w:t>
            </w:r>
            <w:r w:rsidR="002F565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D00F7">
              <w:rPr>
                <w:rFonts w:ascii="Times New Roman" w:hAnsi="Times New Roman"/>
                <w:spacing w:val="-2"/>
                <w:sz w:val="24"/>
                <w:szCs w:val="24"/>
              </w:rPr>
              <w:t>Regulamin pracy Rady Ministrów (M.P. z 2016 r., poz. 1006,z późn. zm.), projekt ustawy zostanie udostępniony w Biuletynie Informacji Publicznej na stronie podmiotowej Rządowego Centrum Legislacji, w serwis</w:t>
            </w:r>
            <w:r w:rsidR="002F5652">
              <w:rPr>
                <w:rFonts w:ascii="Times New Roman" w:hAnsi="Times New Roman"/>
                <w:spacing w:val="-2"/>
                <w:sz w:val="24"/>
                <w:szCs w:val="24"/>
              </w:rPr>
              <w:t>ie Rządowy Proces Legislacyjny.</w:t>
            </w:r>
          </w:p>
          <w:p w:rsidR="002A68A9" w:rsidRPr="000573CF" w:rsidRDefault="00E524CC" w:rsidP="002A68A9">
            <w:pPr>
              <w:spacing w:before="240" w:after="24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573CF">
              <w:rPr>
                <w:rFonts w:ascii="Times New Roman" w:hAnsi="Times New Roman"/>
                <w:spacing w:val="-2"/>
                <w:sz w:val="24"/>
                <w:szCs w:val="24"/>
              </w:rPr>
              <w:t>Projekt zostanie</w:t>
            </w:r>
            <w:r w:rsidR="002F5652" w:rsidRPr="000573C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3D00F7" w:rsidRPr="000573CF">
              <w:rPr>
                <w:rFonts w:ascii="Times New Roman" w:hAnsi="Times New Roman"/>
                <w:spacing w:val="-2"/>
                <w:sz w:val="24"/>
                <w:szCs w:val="24"/>
              </w:rPr>
              <w:t>skierowany do konsultacji społecznych</w:t>
            </w:r>
            <w:r w:rsidR="002F5652" w:rsidRPr="000573C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3D00F7" w:rsidRPr="000573CF">
              <w:rPr>
                <w:rFonts w:ascii="Times New Roman" w:hAnsi="Times New Roman"/>
                <w:spacing w:val="-2"/>
                <w:sz w:val="24"/>
                <w:szCs w:val="24"/>
              </w:rPr>
              <w:t>z przedstawicielami m.in. następujących podmiotów:</w:t>
            </w:r>
          </w:p>
          <w:p w:rsidR="00B231CE" w:rsidRPr="000573CF" w:rsidRDefault="00B231CE" w:rsidP="00B231CE">
            <w:pPr>
              <w:spacing w:before="240" w:after="24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573CF">
              <w:rPr>
                <w:rFonts w:ascii="Times New Roman" w:hAnsi="Times New Roman"/>
                <w:spacing w:val="-2"/>
                <w:sz w:val="24"/>
                <w:szCs w:val="24"/>
              </w:rPr>
              <w:t>Pracodawcy Rzeczypospolitej Polskiej, Business Centre Club, Konfederacja „Lewiatan”, Związek Przedsiębiorców i Pracodawców, Krajowa Izba Gospodarcza, Polska Rada Biznesu, Związek Banków Polskich, Krajowa Spółdzielcza Kasa Oszczędnościowo-Kredytowa, Krajowa Izba Radców Prawnych, Krajowa Izba Biegłych Rewidentów, Krajowa Izba Doradców Podatkowych, Stowarzyszenie Księgowych w Polsce – Zarząd Główny, Związek Rzemiosła Polskiego, Prezes Naczelnej Rady Adwokackiej, Krajowa Rada Doradców Podatkowych, Polska Izba Biur Rachunkowych, Rada Dialogu Społecznego, Fundacja Republikańska, Polskie Towarzystwo Gospodarcze</w:t>
            </w:r>
          </w:p>
          <w:p w:rsidR="008D0840" w:rsidRPr="00603162" w:rsidRDefault="003D00F7" w:rsidP="00B231CE">
            <w:pPr>
              <w:spacing w:before="240" w:after="24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573CF">
              <w:rPr>
                <w:rFonts w:ascii="Times New Roman" w:hAnsi="Times New Roman"/>
                <w:spacing w:val="-2"/>
                <w:sz w:val="24"/>
                <w:szCs w:val="24"/>
              </w:rPr>
              <w:t>K</w:t>
            </w:r>
            <w:r w:rsidR="00B231CE" w:rsidRPr="000573C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onsultacje </w:t>
            </w:r>
            <w:r w:rsidR="00E524CC" w:rsidRPr="000573C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odbędą się w III kwartale 2020 r. i będą trwać 14 dni. </w:t>
            </w:r>
          </w:p>
        </w:tc>
      </w:tr>
      <w:tr w:rsidR="008D0840" w:rsidRPr="00603162" w:rsidTr="001D2286">
        <w:trPr>
          <w:trHeight w:val="363"/>
        </w:trPr>
        <w:tc>
          <w:tcPr>
            <w:tcW w:w="10950" w:type="dxa"/>
            <w:gridSpan w:val="26"/>
            <w:shd w:val="clear" w:color="auto" w:fill="99CCFF"/>
            <w:vAlign w:val="center"/>
          </w:tcPr>
          <w:p w:rsidR="008D0840" w:rsidRPr="00603162" w:rsidRDefault="008D0840" w:rsidP="008D0840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3162">
              <w:rPr>
                <w:rFonts w:ascii="Times New Roman" w:hAnsi="Times New Roman"/>
                <w:b/>
                <w:sz w:val="24"/>
                <w:szCs w:val="24"/>
              </w:rPr>
              <w:t xml:space="preserve"> Wpływ na sektor finansów publicznych</w:t>
            </w:r>
          </w:p>
        </w:tc>
      </w:tr>
      <w:tr w:rsidR="008D0840" w:rsidRPr="00603162" w:rsidTr="001D2286">
        <w:trPr>
          <w:trHeight w:val="142"/>
        </w:trPr>
        <w:tc>
          <w:tcPr>
            <w:tcW w:w="3129" w:type="dxa"/>
            <w:gridSpan w:val="4"/>
            <w:vMerge w:val="restart"/>
            <w:shd w:val="clear" w:color="auto" w:fill="FFFFFF"/>
          </w:tcPr>
          <w:p w:rsidR="008D0840" w:rsidRPr="00603162" w:rsidRDefault="008D0840" w:rsidP="008D0840">
            <w:pPr>
              <w:spacing w:before="40" w:after="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 xml:space="preserve">(ceny stałe z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603162">
              <w:rPr>
                <w:rFonts w:ascii="Times New Roman" w:hAnsi="Times New Roman"/>
                <w:sz w:val="24"/>
                <w:szCs w:val="24"/>
              </w:rPr>
              <w:t xml:space="preserve"> r.)</w:t>
            </w:r>
          </w:p>
        </w:tc>
        <w:tc>
          <w:tcPr>
            <w:tcW w:w="7821" w:type="dxa"/>
            <w:gridSpan w:val="22"/>
            <w:shd w:val="clear" w:color="auto" w:fill="FFFFFF"/>
          </w:tcPr>
          <w:p w:rsidR="008D0840" w:rsidRPr="00603162" w:rsidRDefault="008D0840" w:rsidP="008D0840">
            <w:pPr>
              <w:spacing w:before="40" w:after="4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Skutki w okresie 10 lat od wejścia w życie zmian [mln zł]</w:t>
            </w:r>
          </w:p>
        </w:tc>
      </w:tr>
      <w:tr w:rsidR="008D0840" w:rsidRPr="00603162" w:rsidTr="00901187">
        <w:trPr>
          <w:trHeight w:val="142"/>
        </w:trPr>
        <w:tc>
          <w:tcPr>
            <w:tcW w:w="3129" w:type="dxa"/>
            <w:gridSpan w:val="4"/>
            <w:vMerge/>
            <w:shd w:val="clear" w:color="auto" w:fill="FFFFFF"/>
          </w:tcPr>
          <w:p w:rsidR="008D0840" w:rsidRPr="00603162" w:rsidRDefault="008D0840" w:rsidP="008D0840">
            <w:pPr>
              <w:spacing w:before="40" w:after="4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FFFFF"/>
          </w:tcPr>
          <w:p w:rsidR="00EB39A8" w:rsidRPr="002B5DA0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5D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B39A8" w:rsidRPr="002B5DA0" w:rsidRDefault="001835B9" w:rsidP="008D0840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B39A8" w:rsidRPr="002B5DA0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5DA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EB39A8" w:rsidRPr="002B5DA0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5DA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B39A8" w:rsidRPr="002B5DA0" w:rsidRDefault="00B0495D" w:rsidP="008D0840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:rsidR="00EB39A8" w:rsidRPr="002B5DA0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5DA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EB39A8" w:rsidRPr="002B5DA0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5DA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EB39A8" w:rsidRPr="002B5DA0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5DA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B39A8" w:rsidRPr="002B5DA0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5DA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EB39A8" w:rsidRPr="002B5DA0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5DA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:rsidR="00EB39A8" w:rsidRPr="002B5DA0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5DA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8D0840" w:rsidRPr="002B5DA0" w:rsidRDefault="008D0840" w:rsidP="008D0840">
            <w:pPr>
              <w:spacing w:before="40" w:after="40" w:line="240" w:lineRule="auto"/>
              <w:jc w:val="both"/>
              <w:rPr>
                <w:rFonts w:ascii="Times New Roman" w:hAnsi="Times New Roman"/>
                <w:i/>
                <w:spacing w:val="-2"/>
                <w:sz w:val="16"/>
                <w:szCs w:val="16"/>
              </w:rPr>
            </w:pPr>
            <w:r w:rsidRPr="002B5DA0">
              <w:rPr>
                <w:rFonts w:ascii="Times New Roman" w:hAnsi="Times New Roman"/>
                <w:i/>
                <w:spacing w:val="-2"/>
                <w:sz w:val="16"/>
                <w:szCs w:val="16"/>
              </w:rPr>
              <w:t>Łącznie (0-10)</w:t>
            </w:r>
          </w:p>
        </w:tc>
      </w:tr>
      <w:tr w:rsidR="00D52759" w:rsidRPr="00603162" w:rsidTr="00AE4003">
        <w:trPr>
          <w:trHeight w:val="321"/>
        </w:trPr>
        <w:tc>
          <w:tcPr>
            <w:tcW w:w="3129" w:type="dxa"/>
            <w:gridSpan w:val="4"/>
            <w:shd w:val="clear" w:color="auto" w:fill="FFFFFF"/>
            <w:vAlign w:val="center"/>
          </w:tcPr>
          <w:p w:rsidR="00D52759" w:rsidRPr="00603162" w:rsidRDefault="00D52759" w:rsidP="00D527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b/>
                <w:sz w:val="24"/>
                <w:szCs w:val="24"/>
              </w:rPr>
              <w:t>Dochody ogółem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D52759" w:rsidRPr="00C34876" w:rsidRDefault="00D52759" w:rsidP="00D52759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-5000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-5165</w:t>
            </w: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-2888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570" w:type="dxa"/>
            <w:gridSpan w:val="3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1061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1387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1415</w:t>
            </w:r>
          </w:p>
        </w:tc>
        <w:tc>
          <w:tcPr>
            <w:tcW w:w="570" w:type="dxa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1415</w:t>
            </w:r>
          </w:p>
        </w:tc>
        <w:tc>
          <w:tcPr>
            <w:tcW w:w="1554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-6079</w:t>
            </w:r>
          </w:p>
        </w:tc>
      </w:tr>
      <w:tr w:rsidR="00D52759" w:rsidRPr="00603162" w:rsidTr="00AE4003">
        <w:trPr>
          <w:trHeight w:val="321"/>
        </w:trPr>
        <w:tc>
          <w:tcPr>
            <w:tcW w:w="3129" w:type="dxa"/>
            <w:gridSpan w:val="4"/>
            <w:shd w:val="clear" w:color="auto" w:fill="FFFFFF"/>
            <w:vAlign w:val="center"/>
          </w:tcPr>
          <w:p w:rsidR="00D52759" w:rsidRPr="00603162" w:rsidRDefault="00D52759" w:rsidP="00D527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budżet państwa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-3857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-3984</w:t>
            </w: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-2228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570" w:type="dxa"/>
            <w:gridSpan w:val="3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1070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570" w:type="dxa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1554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-4689</w:t>
            </w:r>
          </w:p>
        </w:tc>
      </w:tr>
      <w:tr w:rsidR="00D52759" w:rsidRPr="00603162" w:rsidTr="00AE4003">
        <w:trPr>
          <w:trHeight w:val="344"/>
        </w:trPr>
        <w:tc>
          <w:tcPr>
            <w:tcW w:w="3129" w:type="dxa"/>
            <w:gridSpan w:val="4"/>
            <w:shd w:val="clear" w:color="auto" w:fill="FFFFFF"/>
            <w:vAlign w:val="center"/>
          </w:tcPr>
          <w:p w:rsidR="00D52759" w:rsidRPr="00603162" w:rsidRDefault="00D52759" w:rsidP="00D527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JST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-1143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-1181</w:t>
            </w: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-660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570" w:type="dxa"/>
            <w:gridSpan w:val="3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" w:type="dxa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554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-1390</w:t>
            </w:r>
          </w:p>
        </w:tc>
      </w:tr>
      <w:tr w:rsidR="008D0840" w:rsidRPr="00603162" w:rsidTr="00C45FE3">
        <w:trPr>
          <w:trHeight w:val="344"/>
        </w:trPr>
        <w:tc>
          <w:tcPr>
            <w:tcW w:w="3129" w:type="dxa"/>
            <w:gridSpan w:val="4"/>
            <w:shd w:val="clear" w:color="auto" w:fill="FFFFFF"/>
            <w:vAlign w:val="center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pozostałe jednostki (oddzielnie)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8D0840" w:rsidRPr="00603162" w:rsidTr="00C45FE3">
        <w:trPr>
          <w:trHeight w:val="330"/>
        </w:trPr>
        <w:tc>
          <w:tcPr>
            <w:tcW w:w="3129" w:type="dxa"/>
            <w:gridSpan w:val="4"/>
            <w:shd w:val="clear" w:color="auto" w:fill="FFFFFF"/>
            <w:vAlign w:val="center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b/>
                <w:sz w:val="24"/>
                <w:szCs w:val="24"/>
              </w:rPr>
              <w:t>Wydatki ogółem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8D0840" w:rsidRPr="00CC07D9" w:rsidRDefault="008D0840" w:rsidP="008D0840">
            <w:pPr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8D0840" w:rsidRPr="00CC07D9" w:rsidRDefault="008D0840" w:rsidP="008D0840">
            <w:pPr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8D0840" w:rsidRPr="00CC07D9" w:rsidRDefault="008D0840" w:rsidP="008D0840">
            <w:pPr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8D0840" w:rsidRPr="00603162" w:rsidTr="00C45FE3">
        <w:trPr>
          <w:trHeight w:val="330"/>
        </w:trPr>
        <w:tc>
          <w:tcPr>
            <w:tcW w:w="3129" w:type="dxa"/>
            <w:gridSpan w:val="4"/>
            <w:shd w:val="clear" w:color="auto" w:fill="FFFFFF"/>
            <w:vAlign w:val="center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budżet państwa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8D0840" w:rsidRPr="00CC07D9" w:rsidRDefault="008D0840" w:rsidP="008D0840">
            <w:pPr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8D0840" w:rsidRPr="00CC07D9" w:rsidRDefault="008D0840" w:rsidP="008D0840">
            <w:pPr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8D0840" w:rsidRPr="00CC07D9" w:rsidRDefault="008D0840" w:rsidP="008D0840">
            <w:pPr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8D0840" w:rsidRPr="00603162" w:rsidTr="00C45FE3">
        <w:trPr>
          <w:trHeight w:val="351"/>
        </w:trPr>
        <w:tc>
          <w:tcPr>
            <w:tcW w:w="3129" w:type="dxa"/>
            <w:gridSpan w:val="4"/>
            <w:shd w:val="clear" w:color="auto" w:fill="FFFFFF"/>
            <w:vAlign w:val="center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JST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8D0840" w:rsidRPr="00603162" w:rsidTr="00C45FE3">
        <w:trPr>
          <w:trHeight w:val="351"/>
        </w:trPr>
        <w:tc>
          <w:tcPr>
            <w:tcW w:w="3129" w:type="dxa"/>
            <w:gridSpan w:val="4"/>
            <w:shd w:val="clear" w:color="auto" w:fill="FFFFFF"/>
            <w:vAlign w:val="center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pozostałe jednostki (oddzielnie)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  <w:gridSpan w:val="2"/>
            <w:shd w:val="clear" w:color="auto" w:fill="FFFFFF"/>
            <w:vAlign w:val="center"/>
          </w:tcPr>
          <w:p w:rsidR="008D0840" w:rsidRPr="00CC07D9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52759" w:rsidRPr="00603162" w:rsidTr="00AE4003">
        <w:trPr>
          <w:trHeight w:val="360"/>
        </w:trPr>
        <w:tc>
          <w:tcPr>
            <w:tcW w:w="3129" w:type="dxa"/>
            <w:gridSpan w:val="4"/>
            <w:shd w:val="clear" w:color="auto" w:fill="FFFFFF"/>
            <w:vAlign w:val="center"/>
          </w:tcPr>
          <w:p w:rsidR="00D52759" w:rsidRPr="00603162" w:rsidRDefault="00D52759" w:rsidP="00D527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b/>
                <w:sz w:val="24"/>
                <w:szCs w:val="24"/>
              </w:rPr>
              <w:t>Saldo ogółem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D52759" w:rsidRPr="00C34876" w:rsidRDefault="00D52759" w:rsidP="00D52759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-5000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-5165</w:t>
            </w: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-2888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570" w:type="dxa"/>
            <w:gridSpan w:val="3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1061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1387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1415</w:t>
            </w:r>
          </w:p>
        </w:tc>
        <w:tc>
          <w:tcPr>
            <w:tcW w:w="570" w:type="dxa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1415</w:t>
            </w:r>
          </w:p>
        </w:tc>
        <w:tc>
          <w:tcPr>
            <w:tcW w:w="1554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-6079</w:t>
            </w:r>
          </w:p>
        </w:tc>
      </w:tr>
      <w:tr w:rsidR="00D52759" w:rsidRPr="00603162" w:rsidTr="00AE4003">
        <w:trPr>
          <w:trHeight w:val="360"/>
        </w:trPr>
        <w:tc>
          <w:tcPr>
            <w:tcW w:w="3129" w:type="dxa"/>
            <w:gridSpan w:val="4"/>
            <w:shd w:val="clear" w:color="auto" w:fill="FFFFFF"/>
            <w:vAlign w:val="center"/>
          </w:tcPr>
          <w:p w:rsidR="00D52759" w:rsidRPr="00603162" w:rsidRDefault="00D52759" w:rsidP="00D527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budżet państwa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-3857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-3984</w:t>
            </w: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-2228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570" w:type="dxa"/>
            <w:gridSpan w:val="3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1070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570" w:type="dxa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1554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-4689</w:t>
            </w:r>
          </w:p>
        </w:tc>
      </w:tr>
      <w:tr w:rsidR="00D52759" w:rsidRPr="00603162" w:rsidTr="00AE4003">
        <w:trPr>
          <w:trHeight w:val="357"/>
        </w:trPr>
        <w:tc>
          <w:tcPr>
            <w:tcW w:w="3129" w:type="dxa"/>
            <w:gridSpan w:val="4"/>
            <w:shd w:val="clear" w:color="auto" w:fill="FFFFFF"/>
            <w:vAlign w:val="center"/>
          </w:tcPr>
          <w:p w:rsidR="00D52759" w:rsidRPr="00603162" w:rsidRDefault="00D52759" w:rsidP="00D527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JST</w:t>
            </w:r>
          </w:p>
        </w:tc>
        <w:tc>
          <w:tcPr>
            <w:tcW w:w="569" w:type="dxa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-1143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-1181</w:t>
            </w: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-660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570" w:type="dxa"/>
            <w:gridSpan w:val="3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569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" w:type="dxa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554" w:type="dxa"/>
            <w:gridSpan w:val="2"/>
            <w:shd w:val="clear" w:color="auto" w:fill="FFFFFF"/>
            <w:vAlign w:val="bottom"/>
          </w:tcPr>
          <w:p w:rsidR="00D52759" w:rsidRPr="00C34876" w:rsidRDefault="00D52759" w:rsidP="00D5275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  <w:sz w:val="16"/>
                <w:szCs w:val="16"/>
              </w:rPr>
              <w:t>-1390</w:t>
            </w:r>
          </w:p>
        </w:tc>
      </w:tr>
      <w:tr w:rsidR="008D0840" w:rsidRPr="00603162" w:rsidTr="00003315">
        <w:trPr>
          <w:trHeight w:val="357"/>
        </w:trPr>
        <w:tc>
          <w:tcPr>
            <w:tcW w:w="3129" w:type="dxa"/>
            <w:gridSpan w:val="4"/>
            <w:shd w:val="clear" w:color="auto" w:fill="FFFFFF"/>
            <w:vAlign w:val="center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pozostałe jednostki (oddzielnie)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8D0840" w:rsidRPr="001E6DA1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1E6DA1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1E6DA1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8D0840" w:rsidRPr="001E6DA1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1E6DA1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8D0840" w:rsidRPr="001E6DA1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:rsidR="008D0840" w:rsidRPr="001E6DA1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:rsidR="008D0840" w:rsidRPr="001E6DA1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1E6DA1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:rsidR="008D0840" w:rsidRPr="001E6DA1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8D0840" w:rsidRPr="001E6DA1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shd w:val="clear" w:color="auto" w:fill="FFFFFF"/>
            <w:vAlign w:val="bottom"/>
          </w:tcPr>
          <w:p w:rsidR="008D0840" w:rsidRPr="001E6DA1" w:rsidRDefault="008D0840" w:rsidP="008D0840">
            <w:pPr>
              <w:spacing w:line="240" w:lineRule="auto"/>
              <w:ind w:left="-89" w:right="-125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8D0840" w:rsidRPr="00603162" w:rsidTr="002042C7">
        <w:tblPrEx>
          <w:tblCellMar>
            <w:left w:w="70" w:type="dxa"/>
            <w:right w:w="70" w:type="dxa"/>
          </w:tblCellMar>
        </w:tblPrEx>
        <w:trPr>
          <w:trHeight w:val="348"/>
        </w:trPr>
        <w:tc>
          <w:tcPr>
            <w:tcW w:w="2240" w:type="dxa"/>
            <w:gridSpan w:val="2"/>
            <w:shd w:val="clear" w:color="auto" w:fill="FFFFFF"/>
            <w:vAlign w:val="center"/>
          </w:tcPr>
          <w:p w:rsidR="008D0840" w:rsidRPr="00603162" w:rsidRDefault="008D0840" w:rsidP="002B15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 xml:space="preserve">Źródła finansowania </w:t>
            </w:r>
          </w:p>
        </w:tc>
        <w:tc>
          <w:tcPr>
            <w:tcW w:w="8710" w:type="dxa"/>
            <w:gridSpan w:val="24"/>
            <w:shd w:val="clear" w:color="auto" w:fill="auto"/>
            <w:vAlign w:val="center"/>
          </w:tcPr>
          <w:p w:rsidR="008D0840" w:rsidRPr="00455FC1" w:rsidRDefault="008D0840" w:rsidP="008728E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455FC1">
              <w:rPr>
                <w:rFonts w:ascii="Times New Roman" w:hAnsi="Times New Roman"/>
              </w:rPr>
              <w:t xml:space="preserve">Zaproponowane w projekcie ustawy rozwiązania w ciągu kilku pierwszych lat wpłyną na zmniejszenie dochodów </w:t>
            </w:r>
            <w:r w:rsidR="00D52759">
              <w:rPr>
                <w:rFonts w:ascii="Times New Roman" w:hAnsi="Times New Roman"/>
              </w:rPr>
              <w:t>sektora finansów p</w:t>
            </w:r>
            <w:r w:rsidRPr="00455FC1">
              <w:rPr>
                <w:rFonts w:ascii="Times New Roman" w:hAnsi="Times New Roman"/>
              </w:rPr>
              <w:t>ublicznych, w tym budżetu państwa i jednostek samorządu terytorialnego</w:t>
            </w:r>
            <w:r>
              <w:rPr>
                <w:rFonts w:ascii="Times New Roman" w:hAnsi="Times New Roman"/>
              </w:rPr>
              <w:t xml:space="preserve"> (j.s.t.)</w:t>
            </w:r>
            <w:r w:rsidRPr="00455FC1">
              <w:rPr>
                <w:rFonts w:ascii="Times New Roman" w:hAnsi="Times New Roman"/>
              </w:rPr>
              <w:t xml:space="preserve">. Natomiast w kolejnych latach szacuje się, że </w:t>
            </w:r>
            <w:r w:rsidR="00D52759">
              <w:rPr>
                <w:rFonts w:ascii="Times New Roman" w:hAnsi="Times New Roman"/>
              </w:rPr>
              <w:t>wpłyną na zwiększenie dochodów sektora finansów p</w:t>
            </w:r>
            <w:r w:rsidRPr="00455FC1">
              <w:rPr>
                <w:rFonts w:ascii="Times New Roman" w:hAnsi="Times New Roman"/>
              </w:rPr>
              <w:t>ublicznych, w tym budżetu państwa i j</w:t>
            </w:r>
            <w:r>
              <w:rPr>
                <w:rFonts w:ascii="Times New Roman" w:hAnsi="Times New Roman"/>
              </w:rPr>
              <w:t>.s.t</w:t>
            </w:r>
            <w:r w:rsidRPr="00455FC1">
              <w:rPr>
                <w:rFonts w:ascii="Times New Roman" w:hAnsi="Times New Roman"/>
              </w:rPr>
              <w:t>.</w:t>
            </w:r>
          </w:p>
          <w:p w:rsidR="008728E9" w:rsidRDefault="00F633B4" w:rsidP="008728E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Projektowane rozwiązania pozwolą </w:t>
            </w:r>
            <w:r w:rsidR="000057FA">
              <w:rPr>
                <w:rFonts w:ascii="Times New Roman" w:hAnsi="Times New Roman"/>
              </w:rPr>
              <w:t>podmiotom z sektora małych i średnich przedsiębiorstw</w:t>
            </w:r>
            <w:r>
              <w:rPr>
                <w:rFonts w:ascii="Times New Roman" w:hAnsi="Times New Roman"/>
              </w:rPr>
              <w:t xml:space="preserve"> pokonać </w:t>
            </w:r>
            <w:r w:rsidR="00B502B8">
              <w:rPr>
                <w:rFonts w:ascii="Times New Roman" w:hAnsi="Times New Roman"/>
              </w:rPr>
              <w:t xml:space="preserve">bariery w rozwoju działalności, w szczególności te występujące w obszarze płynności i dostępu do finansowania, a pogłębione jeszcze przez </w:t>
            </w:r>
            <w:r>
              <w:rPr>
                <w:rFonts w:ascii="Times New Roman" w:hAnsi="Times New Roman"/>
              </w:rPr>
              <w:t>negatywne skutki wywołane</w:t>
            </w:r>
            <w:r w:rsidR="002B153E">
              <w:rPr>
                <w:rFonts w:ascii="Times New Roman" w:hAnsi="Times New Roman"/>
              </w:rPr>
              <w:t xml:space="preserve"> </w:t>
            </w:r>
            <w:r w:rsidR="00B502B8">
              <w:rPr>
                <w:rFonts w:ascii="Times New Roman" w:hAnsi="Times New Roman"/>
              </w:rPr>
              <w:t>pandemią</w:t>
            </w:r>
            <w:r w:rsidR="002B153E">
              <w:rPr>
                <w:rFonts w:ascii="Times New Roman" w:hAnsi="Times New Roman"/>
              </w:rPr>
              <w:t xml:space="preserve"> COVID-19.</w:t>
            </w:r>
          </w:p>
          <w:p w:rsidR="00357857" w:rsidRPr="000573CF" w:rsidRDefault="00357857" w:rsidP="00B0495D">
            <w:pPr>
              <w:spacing w:after="120"/>
              <w:jc w:val="both"/>
              <w:rPr>
                <w:rFonts w:ascii="Times New Roman" w:hAnsi="Times New Roman"/>
              </w:rPr>
            </w:pPr>
            <w:r w:rsidRPr="000573CF">
              <w:rPr>
                <w:rFonts w:ascii="Times New Roman" w:hAnsi="Times New Roman"/>
              </w:rPr>
              <w:t>Celem projektowanych rozwiązań jest stworzenie regulacji sprzyjających podmiotom gospodarczym inwestującym w rozwój, poprzez wzrost zatrudnienia oraz wzrost nakładów inwestycyjnych co stanowić będzie impuls dla rozwoju przedsiębiorczości w regionach.</w:t>
            </w:r>
          </w:p>
          <w:p w:rsidR="00357857" w:rsidRDefault="00357857" w:rsidP="00B0495D">
            <w:pPr>
              <w:jc w:val="both"/>
              <w:rPr>
                <w:rFonts w:cs="Calibri"/>
              </w:rPr>
            </w:pPr>
            <w:r w:rsidRPr="000573CF">
              <w:rPr>
                <w:rFonts w:ascii="Times New Roman" w:hAnsi="Times New Roman"/>
              </w:rPr>
              <w:t>Poprzez kierowanie regulacji do podmiotów, które cechują się dużym potencjałem rozwoju i stymulowanie ich wzrostu stworzony zostanie impuls dla rozwoju gospodarki. W perspektywie czasu powinno to przełożyć się na wzrost dochodów zarówno budżetu państwa, jak również dochodów jednostek samorządu terytorialnego, które partycypują we  wpływach z podatków dochodowych, co powinno zrekompensować obniżenie dochodów podatkowych w początkowym okresie, i pozytywnie przełożyć się na funkcjonowanie sektora finansów publicznych w tym jednostek samorządu terytorialnego.</w:t>
            </w:r>
            <w:r>
              <w:rPr>
                <w:rFonts w:ascii="Times New Roman" w:hAnsi="Times New Roman"/>
              </w:rPr>
              <w:t xml:space="preserve">  </w:t>
            </w:r>
          </w:p>
          <w:p w:rsidR="001835B9" w:rsidRPr="002B153E" w:rsidRDefault="001835B9" w:rsidP="001835B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0840" w:rsidRPr="00603162" w:rsidTr="00C92FA1">
        <w:tblPrEx>
          <w:tblCellMar>
            <w:left w:w="70" w:type="dxa"/>
            <w:right w:w="70" w:type="dxa"/>
          </w:tblCellMar>
        </w:tblPrEx>
        <w:trPr>
          <w:trHeight w:val="266"/>
        </w:trPr>
        <w:tc>
          <w:tcPr>
            <w:tcW w:w="2240" w:type="dxa"/>
            <w:gridSpan w:val="2"/>
            <w:shd w:val="clear" w:color="auto" w:fill="FFFFFF"/>
          </w:tcPr>
          <w:p w:rsidR="008D0840" w:rsidRPr="00AF5E74" w:rsidRDefault="008D0840" w:rsidP="002B153E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E74">
              <w:rPr>
                <w:rFonts w:ascii="Times New Roman" w:hAnsi="Times New Roman"/>
                <w:sz w:val="24"/>
                <w:szCs w:val="24"/>
              </w:rPr>
              <w:t>Dodatkowe informacje, w tym wskazanie źródeł danych i przyjętych do obliczeń założeń</w:t>
            </w:r>
          </w:p>
          <w:p w:rsidR="008D0840" w:rsidRPr="00AF5E74" w:rsidRDefault="008D0840" w:rsidP="002B15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0" w:type="dxa"/>
            <w:gridSpan w:val="24"/>
            <w:shd w:val="clear" w:color="auto" w:fill="FFFFFF"/>
          </w:tcPr>
          <w:p w:rsidR="008D0840" w:rsidRDefault="008D0840" w:rsidP="0021612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455FC1">
              <w:rPr>
                <w:rFonts w:ascii="Times New Roman" w:hAnsi="Times New Roman"/>
              </w:rPr>
              <w:t>W celu oszacowania skutków finansowych projektowanych rozwiązań</w:t>
            </w:r>
            <w:r>
              <w:rPr>
                <w:rFonts w:ascii="Times New Roman" w:hAnsi="Times New Roman"/>
              </w:rPr>
              <w:t xml:space="preserve"> w pierwszej kolejności ustalono grupę podatników, która będzie mogła skorzystać z zaproponowanych rozwiązań. </w:t>
            </w:r>
          </w:p>
          <w:p w:rsidR="002A68A9" w:rsidRDefault="008D0840" w:rsidP="0021612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Zgodnie z projektem podatnik może wybrać opodatkowanie </w:t>
            </w:r>
            <w:r w:rsidR="002B153E">
              <w:rPr>
                <w:rFonts w:ascii="Times New Roman" w:hAnsi="Times New Roman"/>
                <w:lang w:eastAsia="pl-PL"/>
              </w:rPr>
              <w:t>na nowych zasadach</w:t>
            </w:r>
            <w:r>
              <w:rPr>
                <w:rFonts w:ascii="Times New Roman" w:hAnsi="Times New Roman"/>
                <w:lang w:eastAsia="pl-PL"/>
              </w:rPr>
              <w:t xml:space="preserve"> jeżeli prowadzi działalność w formie spółki z ograniczoną </w:t>
            </w:r>
            <w:r w:rsidR="002B153E">
              <w:rPr>
                <w:rFonts w:ascii="Times New Roman" w:hAnsi="Times New Roman"/>
                <w:lang w:eastAsia="pl-PL"/>
              </w:rPr>
              <w:t>odpowiedzialnością</w:t>
            </w:r>
            <w:r>
              <w:rPr>
                <w:rFonts w:ascii="Times New Roman" w:hAnsi="Times New Roman"/>
                <w:lang w:eastAsia="pl-PL"/>
              </w:rPr>
              <w:t xml:space="preserve">  lub spółki akcyjnej. Dodatkowym warunkiem jest, aby udziałowcami (akcjonariuszami) spółk</w:t>
            </w:r>
            <w:r w:rsidR="002B153E">
              <w:rPr>
                <w:rFonts w:ascii="Times New Roman" w:hAnsi="Times New Roman"/>
                <w:lang w:eastAsia="pl-PL"/>
              </w:rPr>
              <w:t>i były wyłącznie osoby fizyczne</w:t>
            </w:r>
            <w:r>
              <w:rPr>
                <w:rFonts w:ascii="Times New Roman" w:hAnsi="Times New Roman"/>
                <w:lang w:eastAsia="pl-PL"/>
              </w:rPr>
              <w:t xml:space="preserve">. Listę tych podatników ustalono na podstawie danych </w:t>
            </w:r>
            <w:r w:rsidRPr="005B4D0F">
              <w:rPr>
                <w:rFonts w:ascii="Times New Roman" w:hAnsi="Times New Roman"/>
                <w:lang w:eastAsia="pl-PL"/>
              </w:rPr>
              <w:t xml:space="preserve">z bazy  BISNODE. </w:t>
            </w:r>
          </w:p>
          <w:tbl>
            <w:tblPr>
              <w:tblW w:w="776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89"/>
              <w:gridCol w:w="2589"/>
              <w:gridCol w:w="2589"/>
            </w:tblGrid>
            <w:tr w:rsidR="002A68A9" w:rsidRPr="002A68A9" w:rsidTr="002A68A9">
              <w:trPr>
                <w:trHeight w:val="275"/>
              </w:trPr>
              <w:tc>
                <w:tcPr>
                  <w:tcW w:w="258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2A68A9" w:rsidRPr="002A68A9" w:rsidRDefault="002A68A9" w:rsidP="00216123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2A68A9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Forma organizacyjna</w:t>
                  </w:r>
                </w:p>
              </w:tc>
              <w:tc>
                <w:tcPr>
                  <w:tcW w:w="5178" w:type="dxa"/>
                  <w:gridSpan w:val="2"/>
                  <w:tcBorders>
                    <w:top w:val="nil"/>
                    <w:left w:val="nil"/>
                    <w:bottom w:val="single" w:sz="8" w:space="0" w:color="666666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8A9" w:rsidRPr="002A68A9" w:rsidRDefault="002A68A9" w:rsidP="00216123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2A68A9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Liczba spółek</w:t>
                  </w:r>
                </w:p>
              </w:tc>
            </w:tr>
            <w:tr w:rsidR="002A68A9" w:rsidRPr="002A68A9" w:rsidTr="002A68A9">
              <w:trPr>
                <w:trHeight w:val="261"/>
              </w:trPr>
              <w:tc>
                <w:tcPr>
                  <w:tcW w:w="2589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2A68A9" w:rsidRPr="002A68A9" w:rsidRDefault="002A68A9" w:rsidP="00216123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58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:rsidR="002A68A9" w:rsidRPr="002A68A9" w:rsidRDefault="002A68A9" w:rsidP="00216123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2A68A9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ogółem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:rsidR="002A68A9" w:rsidRPr="002A68A9" w:rsidRDefault="002A68A9" w:rsidP="00216123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2A68A9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w tym:</w:t>
                  </w:r>
                </w:p>
              </w:tc>
            </w:tr>
            <w:tr w:rsidR="002A68A9" w:rsidRPr="002A68A9" w:rsidTr="002A68A9">
              <w:trPr>
                <w:trHeight w:val="536"/>
              </w:trPr>
              <w:tc>
                <w:tcPr>
                  <w:tcW w:w="2589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2A68A9" w:rsidRPr="002A68A9" w:rsidRDefault="002A68A9" w:rsidP="00216123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589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2A68A9" w:rsidRPr="002A68A9" w:rsidRDefault="002A68A9" w:rsidP="00216123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:rsidR="002A68A9" w:rsidRPr="002A68A9" w:rsidRDefault="002A68A9" w:rsidP="00216123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2A68A9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całość udziałów w posiadaniu osób fizycznych</w:t>
                  </w:r>
                </w:p>
              </w:tc>
            </w:tr>
            <w:tr w:rsidR="002A68A9" w:rsidRPr="002A68A9" w:rsidTr="002A68A9">
              <w:trPr>
                <w:trHeight w:val="523"/>
              </w:trPr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8A9" w:rsidRPr="002A68A9" w:rsidRDefault="002A68A9" w:rsidP="00216123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2A68A9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Spółki z ograniczoną odpowiedzialnością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8A9" w:rsidRPr="002A68A9" w:rsidRDefault="002A68A9" w:rsidP="00216123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2A68A9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256 645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8A9" w:rsidRPr="002A68A9" w:rsidRDefault="002A68A9" w:rsidP="00216123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2A68A9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198 070</w:t>
                  </w:r>
                </w:p>
              </w:tc>
            </w:tr>
            <w:tr w:rsidR="002A68A9" w:rsidRPr="002A68A9" w:rsidTr="002A68A9">
              <w:trPr>
                <w:trHeight w:val="261"/>
              </w:trPr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8A9" w:rsidRPr="002A68A9" w:rsidRDefault="002A68A9" w:rsidP="00216123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2A68A9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Spółki akcyjne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8A9" w:rsidRPr="002A68A9" w:rsidRDefault="002A68A9" w:rsidP="00216123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2A68A9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4 219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8A9" w:rsidRPr="002A68A9" w:rsidRDefault="002A68A9" w:rsidP="00216123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2A68A9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1 282</w:t>
                  </w:r>
                </w:p>
              </w:tc>
            </w:tr>
            <w:tr w:rsidR="002A68A9" w:rsidRPr="002A68A9" w:rsidTr="002A68A9">
              <w:trPr>
                <w:trHeight w:val="261"/>
              </w:trPr>
              <w:tc>
                <w:tcPr>
                  <w:tcW w:w="2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:rsidR="002A68A9" w:rsidRPr="002A68A9" w:rsidRDefault="002A68A9" w:rsidP="00216123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</w:pPr>
                  <w:r w:rsidRPr="002A68A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  <w:t>RAZEM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:rsidR="002A68A9" w:rsidRPr="002A68A9" w:rsidRDefault="002A68A9" w:rsidP="00216123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</w:pPr>
                  <w:r w:rsidRPr="002A68A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  <w:t>260 864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:rsidR="002A68A9" w:rsidRPr="002A68A9" w:rsidRDefault="002A68A9" w:rsidP="00216123">
                  <w:pPr>
                    <w:spacing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</w:pPr>
                  <w:r w:rsidRPr="002A68A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pl-PL"/>
                    </w:rPr>
                    <w:t>199 352</w:t>
                  </w:r>
                </w:p>
              </w:tc>
            </w:tr>
          </w:tbl>
          <w:p w:rsidR="00216123" w:rsidRDefault="00216123" w:rsidP="0021612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  <w:p w:rsidR="00216123" w:rsidRDefault="002B153E" w:rsidP="0021612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Dla spółek, których wyłącznym udziałowcem są osoby fizyczne przypisano dane z zeznań podatkowych CIT-8 złożonych za 2018 r. Na tej podstawie ustalono </w:t>
            </w:r>
            <w:r w:rsidR="006A0777">
              <w:rPr>
                <w:rFonts w:ascii="Times New Roman" w:hAnsi="Times New Roman"/>
              </w:rPr>
              <w:t xml:space="preserve">liczbę </w:t>
            </w:r>
            <w:r>
              <w:rPr>
                <w:rFonts w:ascii="Times New Roman" w:hAnsi="Times New Roman"/>
              </w:rPr>
              <w:t>podatników, których przych</w:t>
            </w:r>
            <w:r w:rsidR="00D52759">
              <w:rPr>
                <w:rFonts w:ascii="Times New Roman" w:hAnsi="Times New Roman"/>
              </w:rPr>
              <w:t>ody nie przekraczają 50 mln</w:t>
            </w:r>
            <w:r>
              <w:rPr>
                <w:rFonts w:ascii="Times New Roman" w:hAnsi="Times New Roman"/>
              </w:rPr>
              <w:t xml:space="preserve"> złotych. </w:t>
            </w:r>
            <w:r w:rsidR="002A68A9">
              <w:rPr>
                <w:rFonts w:ascii="Times New Roman" w:hAnsi="Times New Roman"/>
              </w:rPr>
              <w:t>Analiza</w:t>
            </w:r>
            <w:r w:rsidR="008A1364" w:rsidRPr="006A0777">
              <w:rPr>
                <w:rFonts w:ascii="Times New Roman" w:hAnsi="Times New Roman"/>
              </w:rPr>
              <w:t xml:space="preserve"> danych </w:t>
            </w:r>
            <w:r w:rsidR="002A68A9">
              <w:rPr>
                <w:rFonts w:ascii="Times New Roman" w:hAnsi="Times New Roman"/>
              </w:rPr>
              <w:t xml:space="preserve">podatkowych </w:t>
            </w:r>
            <w:r w:rsidR="008A1364" w:rsidRPr="006A0777">
              <w:rPr>
                <w:rFonts w:ascii="Times New Roman" w:hAnsi="Times New Roman"/>
              </w:rPr>
              <w:t>wykazała, że około 97% spółek</w:t>
            </w:r>
            <w:r w:rsidR="008A1364">
              <w:rPr>
                <w:rFonts w:ascii="Times New Roman" w:hAnsi="Times New Roman"/>
              </w:rPr>
              <w:t xml:space="preserve"> znajduje się poniżej limitu p</w:t>
            </w:r>
            <w:r w:rsidR="002A68A9">
              <w:rPr>
                <w:rFonts w:ascii="Times New Roman" w:hAnsi="Times New Roman"/>
              </w:rPr>
              <w:t>rzychodu w wysokości 50 mln zł.</w:t>
            </w:r>
          </w:p>
          <w:p w:rsidR="008D0840" w:rsidRPr="00087E53" w:rsidRDefault="00545A9E" w:rsidP="0021612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 te</w:t>
            </w:r>
            <w:r w:rsidR="00FE301B">
              <w:rPr>
                <w:rFonts w:ascii="Times New Roman" w:hAnsi="Times New Roman"/>
              </w:rPr>
              <w:t>j grupy</w:t>
            </w:r>
            <w:r>
              <w:rPr>
                <w:rFonts w:ascii="Times New Roman" w:hAnsi="Times New Roman"/>
              </w:rPr>
              <w:t xml:space="preserve"> wyodrębniono podatników, którzy zatrudniają minimum 3 pracowników i ustalono, że </w:t>
            </w:r>
            <w:r w:rsidR="002A68A9">
              <w:rPr>
                <w:rFonts w:ascii="Times New Roman" w:hAnsi="Times New Roman"/>
              </w:rPr>
              <w:t xml:space="preserve">z nowego rozwiązania może skorzystać około </w:t>
            </w:r>
            <w:r w:rsidR="008A1364" w:rsidRPr="008A1364">
              <w:rPr>
                <w:rFonts w:ascii="Times New Roman" w:hAnsi="Times New Roman"/>
              </w:rPr>
              <w:t>34</w:t>
            </w:r>
            <w:r w:rsidR="002A68A9">
              <w:rPr>
                <w:rFonts w:ascii="Times New Roman" w:hAnsi="Times New Roman"/>
              </w:rPr>
              <w:t>,4</w:t>
            </w:r>
            <w:r w:rsidRPr="008A1364">
              <w:rPr>
                <w:rFonts w:ascii="Times New Roman" w:hAnsi="Times New Roman"/>
              </w:rPr>
              <w:t xml:space="preserve"> tys. podatników</w:t>
            </w:r>
            <w:r w:rsidR="008D0840">
              <w:rPr>
                <w:rFonts w:ascii="Times New Roman" w:hAnsi="Times New Roman"/>
              </w:rPr>
              <w:t>. Podatek należny tej grupy podatników</w:t>
            </w:r>
            <w:r w:rsidR="002A68A9">
              <w:rPr>
                <w:rFonts w:ascii="Times New Roman" w:hAnsi="Times New Roman"/>
              </w:rPr>
              <w:t>, zgodnie z zeznaniami za 2018 r.</w:t>
            </w:r>
            <w:r w:rsidR="008D0840">
              <w:rPr>
                <w:rFonts w:ascii="Times New Roman" w:hAnsi="Times New Roman"/>
              </w:rPr>
              <w:t xml:space="preserve"> wyniósł </w:t>
            </w:r>
            <w:r w:rsidR="00960035">
              <w:rPr>
                <w:rFonts w:ascii="Times New Roman" w:hAnsi="Times New Roman"/>
              </w:rPr>
              <w:t>3</w:t>
            </w:r>
            <w:r w:rsidR="008A1364" w:rsidRPr="008A1364">
              <w:rPr>
                <w:rFonts w:ascii="Times New Roman" w:hAnsi="Times New Roman"/>
              </w:rPr>
              <w:t xml:space="preserve"> </w:t>
            </w:r>
            <w:r w:rsidR="008D0840" w:rsidRPr="008A1364">
              <w:rPr>
                <w:rFonts w:ascii="Times New Roman" w:hAnsi="Times New Roman"/>
              </w:rPr>
              <w:t xml:space="preserve">mld zł. </w:t>
            </w:r>
            <w:r w:rsidR="008D0840" w:rsidRPr="008A1364">
              <w:rPr>
                <w:rFonts w:ascii="Times New Roman" w:hAnsi="Times New Roman"/>
                <w:lang w:eastAsia="pl-PL"/>
              </w:rPr>
              <w:t>Wynik</w:t>
            </w:r>
            <w:r w:rsidR="008D0840" w:rsidRPr="00087E53">
              <w:rPr>
                <w:rFonts w:ascii="Times New Roman" w:hAnsi="Times New Roman"/>
                <w:lang w:eastAsia="pl-PL"/>
              </w:rPr>
              <w:t xml:space="preserve"> ten zwaloryzowano do 2021 r. współczynnikiem 1,</w:t>
            </w:r>
            <w:r w:rsidR="00960035">
              <w:rPr>
                <w:rFonts w:ascii="Times New Roman" w:hAnsi="Times New Roman"/>
                <w:lang w:eastAsia="pl-PL"/>
              </w:rPr>
              <w:t>4</w:t>
            </w:r>
            <w:r w:rsidR="008D0840" w:rsidRPr="00087E53">
              <w:rPr>
                <w:rFonts w:ascii="Times New Roman" w:hAnsi="Times New Roman"/>
                <w:lang w:eastAsia="pl-PL"/>
              </w:rPr>
              <w:t xml:space="preserve"> (</w:t>
            </w:r>
            <w:r w:rsidR="008D0840" w:rsidRPr="0077529E">
              <w:rPr>
                <w:rFonts w:ascii="Times New Roman" w:hAnsi="Times New Roman"/>
                <w:i/>
                <w:lang w:eastAsia="pl-PL"/>
              </w:rPr>
              <w:t xml:space="preserve">współczynnik waloryzacji obliczony jest jako dynamika wzrostu podatku CIT w latach 2019-2021. W latach 2020 i 2021 jako roczną dynamikę przyjęto średnią roczną dynamikę wzrostu podatku CIT w latach 2015-2019. </w:t>
            </w:r>
          </w:p>
          <w:p w:rsidR="008D0840" w:rsidRDefault="006F2FAF" w:rsidP="0021612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8D0840">
              <w:rPr>
                <w:rFonts w:ascii="Times New Roman" w:hAnsi="Times New Roman"/>
              </w:rPr>
              <w:t xml:space="preserve">azując na doświadczeniach Estonii, która </w:t>
            </w:r>
            <w:r w:rsidR="00FE301B">
              <w:rPr>
                <w:rFonts w:ascii="Times New Roman" w:hAnsi="Times New Roman"/>
              </w:rPr>
              <w:t>wprowadziła podobne rozwiązanie w 2000 </w:t>
            </w:r>
            <w:r w:rsidR="008D0840">
              <w:rPr>
                <w:rFonts w:ascii="Times New Roman" w:hAnsi="Times New Roman"/>
              </w:rPr>
              <w:t xml:space="preserve">r., można zauważyć, że spadek dochodów z tytułu podatku CIT w porównaniu do 1999 r.  obserwowany był tylko w pierwszych trzech latach (z tym, że </w:t>
            </w:r>
            <w:r w:rsidR="00FE301B">
              <w:rPr>
                <w:rFonts w:ascii="Times New Roman" w:hAnsi="Times New Roman"/>
              </w:rPr>
              <w:t>w trzecim roku spadek ten był o </w:t>
            </w:r>
            <w:r w:rsidR="008D0840">
              <w:rPr>
                <w:rFonts w:ascii="Times New Roman" w:hAnsi="Times New Roman"/>
              </w:rPr>
              <w:t xml:space="preserve">połowę mniejszy niż w drugim roku obowiązywania regulacji), natomiast w czwartym roku obowiązywania przedmiotowych rozwiązań, dochody z CIT były już na poziomie sprzed </w:t>
            </w:r>
            <w:r w:rsidR="00FE301B">
              <w:rPr>
                <w:rFonts w:ascii="Times New Roman" w:hAnsi="Times New Roman"/>
              </w:rPr>
              <w:t>reformy</w:t>
            </w:r>
            <w:r w:rsidR="008D0840">
              <w:rPr>
                <w:rFonts w:ascii="Times New Roman" w:hAnsi="Times New Roman"/>
              </w:rPr>
              <w:t xml:space="preserve">. </w:t>
            </w:r>
            <w:r w:rsidR="00FE301B">
              <w:rPr>
                <w:rFonts w:ascii="Times New Roman" w:hAnsi="Times New Roman"/>
              </w:rPr>
              <w:t>W kolejnych latach wpływy z CIT systematycznie wzrastały.</w:t>
            </w:r>
          </w:p>
          <w:p w:rsidR="008D0840" w:rsidRPr="002B5DA0" w:rsidRDefault="008D0840" w:rsidP="00216123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2B5DA0">
              <w:rPr>
                <w:rFonts w:ascii="Times New Roman" w:hAnsi="Times New Roman"/>
                <w:b/>
                <w:spacing w:val="-2"/>
              </w:rPr>
              <w:t xml:space="preserve">Rys. </w:t>
            </w:r>
            <w:r w:rsidR="00FE301B" w:rsidRPr="002B5DA0">
              <w:rPr>
                <w:rFonts w:ascii="Times New Roman" w:hAnsi="Times New Roman"/>
                <w:b/>
                <w:spacing w:val="-2"/>
              </w:rPr>
              <w:t>1</w:t>
            </w:r>
            <w:r w:rsidRPr="002B5DA0">
              <w:rPr>
                <w:rFonts w:ascii="Times New Roman" w:hAnsi="Times New Roman"/>
                <w:b/>
                <w:spacing w:val="-2"/>
              </w:rPr>
              <w:t xml:space="preserve">. </w:t>
            </w:r>
            <w:r w:rsidRPr="002B5DA0">
              <w:rPr>
                <w:rFonts w:ascii="Times New Roman" w:hAnsi="Times New Roman"/>
                <w:b/>
              </w:rPr>
              <w:t xml:space="preserve">Wpływy z CIT </w:t>
            </w:r>
            <w:r w:rsidR="00FE301B" w:rsidRPr="002B5DA0">
              <w:rPr>
                <w:rFonts w:ascii="Times New Roman" w:hAnsi="Times New Roman"/>
                <w:b/>
              </w:rPr>
              <w:t xml:space="preserve">w </w:t>
            </w:r>
            <w:r w:rsidRPr="002B5DA0">
              <w:rPr>
                <w:rFonts w:ascii="Times New Roman" w:hAnsi="Times New Roman"/>
                <w:b/>
              </w:rPr>
              <w:t>Estonii</w:t>
            </w:r>
            <w:r w:rsidR="00FE301B" w:rsidRPr="002B5DA0">
              <w:rPr>
                <w:rFonts w:ascii="Times New Roman" w:hAnsi="Times New Roman"/>
                <w:b/>
              </w:rPr>
              <w:t xml:space="preserve"> w milionach EUR</w:t>
            </w:r>
          </w:p>
          <w:p w:rsidR="008D0840" w:rsidRDefault="00FE301B" w:rsidP="0021612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25C71B05" wp14:editId="01E7C233">
                  <wp:extent cx="5381291" cy="25812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942" cy="25825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0840" w:rsidRPr="00694466" w:rsidRDefault="008D0840" w:rsidP="00216123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94466">
              <w:rPr>
                <w:rFonts w:ascii="Times New Roman" w:hAnsi="Times New Roman"/>
                <w:i/>
                <w:sz w:val="20"/>
                <w:szCs w:val="20"/>
              </w:rPr>
              <w:t>Źródło: Ministerstwo Finansów Estonii</w:t>
            </w:r>
          </w:p>
          <w:p w:rsidR="008D0840" w:rsidRPr="00455FC1" w:rsidRDefault="008D0840" w:rsidP="0021612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455FC1">
              <w:rPr>
                <w:rFonts w:ascii="Times New Roman" w:hAnsi="Times New Roman"/>
              </w:rPr>
              <w:t xml:space="preserve">Podziału efektów finansowych z tytułu proponowanych rozwiązań na dochody budżetu państwa oraz dochody jednostek samorządu terytorialnego dokonano  z uwzględnieniem udziału w 2020 r. jednostek samorządu  terytorialnego we wpływach z tytułu podatku dochodowego od osób prawnych (22,86%).    </w:t>
            </w:r>
          </w:p>
        </w:tc>
      </w:tr>
      <w:tr w:rsidR="008D0840" w:rsidRPr="00603162" w:rsidTr="001D2286">
        <w:trPr>
          <w:trHeight w:val="345"/>
        </w:trPr>
        <w:tc>
          <w:tcPr>
            <w:tcW w:w="10950" w:type="dxa"/>
            <w:gridSpan w:val="26"/>
            <w:shd w:val="clear" w:color="auto" w:fill="99CCFF"/>
          </w:tcPr>
          <w:p w:rsidR="008D0840" w:rsidRPr="00AF5E74" w:rsidRDefault="008D0840" w:rsidP="008D0840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F5E7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Wpływ na </w:t>
            </w:r>
            <w:r w:rsidRPr="00AF5E74">
              <w:rPr>
                <w:rFonts w:ascii="Times New Roman" w:hAnsi="Times New Roman"/>
                <w:b/>
                <w:sz w:val="24"/>
                <w:szCs w:val="24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8D0840" w:rsidRPr="00603162" w:rsidTr="001D2286">
        <w:trPr>
          <w:trHeight w:val="142"/>
        </w:trPr>
        <w:tc>
          <w:tcPr>
            <w:tcW w:w="10950" w:type="dxa"/>
            <w:gridSpan w:val="26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pacing w:val="-2"/>
                <w:sz w:val="24"/>
                <w:szCs w:val="24"/>
              </w:rPr>
              <w:t>Skutki</w:t>
            </w:r>
          </w:p>
        </w:tc>
      </w:tr>
      <w:tr w:rsidR="008D0840" w:rsidRPr="00603162" w:rsidTr="001D2286">
        <w:trPr>
          <w:trHeight w:val="142"/>
        </w:trPr>
        <w:tc>
          <w:tcPr>
            <w:tcW w:w="3828" w:type="dxa"/>
            <w:gridSpan w:val="6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Czas w latach od wejścia w życie zmian</w:t>
            </w:r>
          </w:p>
        </w:tc>
        <w:tc>
          <w:tcPr>
            <w:tcW w:w="999" w:type="dxa"/>
            <w:gridSpan w:val="2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4" w:type="dxa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Łącznie</w:t>
            </w:r>
            <w:r w:rsidRPr="00603162" w:rsidDel="0073273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603162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(0-10)</w:t>
            </w:r>
          </w:p>
        </w:tc>
      </w:tr>
      <w:tr w:rsidR="008D0840" w:rsidRPr="00603162" w:rsidTr="00D85C10">
        <w:trPr>
          <w:trHeight w:val="493"/>
        </w:trPr>
        <w:tc>
          <w:tcPr>
            <w:tcW w:w="1872" w:type="dxa"/>
            <w:vMerge w:val="restart"/>
            <w:shd w:val="clear" w:color="auto" w:fill="FFFFFF"/>
          </w:tcPr>
          <w:p w:rsidR="008D0840" w:rsidRPr="00603162" w:rsidRDefault="008D0840" w:rsidP="00C859C2">
            <w:pPr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W ujęciu pieniężnym</w:t>
            </w:r>
          </w:p>
          <w:p w:rsidR="008D0840" w:rsidRPr="00603162" w:rsidRDefault="008D0840" w:rsidP="00C859C2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(w mln zł, </w:t>
            </w:r>
          </w:p>
          <w:p w:rsidR="008D0840" w:rsidRPr="00603162" w:rsidRDefault="008D0840" w:rsidP="00C859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pacing w:val="-2"/>
                <w:sz w:val="24"/>
                <w:szCs w:val="24"/>
              </w:rPr>
              <w:t>ceny stałe z 2016 r.)</w:t>
            </w:r>
          </w:p>
        </w:tc>
        <w:tc>
          <w:tcPr>
            <w:tcW w:w="1956" w:type="dxa"/>
            <w:gridSpan w:val="5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duże przedsiębiorstwa</w:t>
            </w:r>
          </w:p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D49" w:rsidRPr="00603162" w:rsidTr="00216123">
        <w:trPr>
          <w:trHeight w:val="142"/>
        </w:trPr>
        <w:tc>
          <w:tcPr>
            <w:tcW w:w="1872" w:type="dxa"/>
            <w:vMerge/>
            <w:shd w:val="clear" w:color="auto" w:fill="FFFFFF"/>
          </w:tcPr>
          <w:p w:rsidR="001D0D49" w:rsidRPr="00603162" w:rsidRDefault="001D0D49" w:rsidP="001D0D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5"/>
            <w:shd w:val="clear" w:color="auto" w:fill="FFFFFF"/>
            <w:vAlign w:val="center"/>
          </w:tcPr>
          <w:p w:rsidR="001D0D49" w:rsidRPr="00603162" w:rsidRDefault="001D0D49" w:rsidP="001D0D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sektor mikro-, małych i średnich przedsiębiorstw</w:t>
            </w: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1D0D49" w:rsidRPr="00B93EE2" w:rsidRDefault="001D0D49" w:rsidP="001D0D49">
            <w:pPr>
              <w:spacing w:line="240" w:lineRule="auto"/>
              <w:jc w:val="right"/>
              <w:rPr>
                <w:rFonts w:cs="Calibri"/>
                <w:color w:val="000000"/>
                <w:highlight w:val="yellow"/>
                <w:lang w:eastAsia="pl-PL"/>
              </w:rPr>
            </w:pPr>
            <w:r w:rsidRPr="00F907CF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  <w:vAlign w:val="center"/>
          </w:tcPr>
          <w:p w:rsidR="001D0D49" w:rsidRPr="00B93EE2" w:rsidRDefault="001D0D49" w:rsidP="001D0D49">
            <w:pPr>
              <w:jc w:val="right"/>
              <w:rPr>
                <w:rFonts w:cs="Calibri"/>
                <w:color w:val="000000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</w:rPr>
              <w:t>5000</w:t>
            </w:r>
          </w:p>
        </w:tc>
        <w:tc>
          <w:tcPr>
            <w:tcW w:w="938" w:type="dxa"/>
            <w:gridSpan w:val="4"/>
            <w:shd w:val="clear" w:color="auto" w:fill="FFFFFF"/>
            <w:vAlign w:val="center"/>
          </w:tcPr>
          <w:p w:rsidR="001D0D49" w:rsidRPr="00B93EE2" w:rsidRDefault="001D0D49" w:rsidP="001D0D49">
            <w:pPr>
              <w:jc w:val="right"/>
              <w:rPr>
                <w:rFonts w:cs="Calibri"/>
                <w:color w:val="000000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</w:rPr>
              <w:t>5165</w:t>
            </w:r>
          </w:p>
        </w:tc>
        <w:tc>
          <w:tcPr>
            <w:tcW w:w="937" w:type="dxa"/>
            <w:gridSpan w:val="2"/>
            <w:shd w:val="clear" w:color="auto" w:fill="FFFFFF"/>
            <w:vAlign w:val="center"/>
          </w:tcPr>
          <w:p w:rsidR="001D0D49" w:rsidRPr="00B93EE2" w:rsidRDefault="001D0D49" w:rsidP="001D0D49">
            <w:pPr>
              <w:jc w:val="right"/>
              <w:rPr>
                <w:rFonts w:cs="Calibri"/>
                <w:color w:val="000000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</w:rPr>
              <w:t>2888</w:t>
            </w:r>
          </w:p>
        </w:tc>
        <w:tc>
          <w:tcPr>
            <w:tcW w:w="938" w:type="dxa"/>
            <w:gridSpan w:val="4"/>
            <w:shd w:val="clear" w:color="auto" w:fill="FFFFFF"/>
            <w:vAlign w:val="center"/>
          </w:tcPr>
          <w:p w:rsidR="001D0D49" w:rsidRPr="00B93EE2" w:rsidRDefault="001D0D49" w:rsidP="001D0D49">
            <w:pPr>
              <w:jc w:val="right"/>
              <w:rPr>
                <w:rFonts w:cs="Calibri"/>
                <w:color w:val="000000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</w:rPr>
              <w:t>-848</w:t>
            </w:r>
          </w:p>
        </w:tc>
        <w:tc>
          <w:tcPr>
            <w:tcW w:w="938" w:type="dxa"/>
            <w:gridSpan w:val="3"/>
            <w:shd w:val="clear" w:color="auto" w:fill="FFFFFF"/>
            <w:vAlign w:val="center"/>
          </w:tcPr>
          <w:p w:rsidR="001D0D49" w:rsidRPr="00B93EE2" w:rsidRDefault="001D0D49" w:rsidP="001D0D49">
            <w:pPr>
              <w:jc w:val="right"/>
              <w:rPr>
                <w:rFonts w:cs="Calibri"/>
                <w:color w:val="000000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</w:rPr>
              <w:t>-1415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1D0D49" w:rsidRPr="00B93EE2" w:rsidRDefault="001D0D49" w:rsidP="001D0D49">
            <w:pPr>
              <w:jc w:val="right"/>
              <w:rPr>
                <w:rFonts w:cs="Calibri"/>
                <w:color w:val="000000"/>
                <w:highlight w:val="yellow"/>
              </w:rPr>
            </w:pPr>
            <w:r w:rsidRPr="00F907CF">
              <w:rPr>
                <w:rFonts w:ascii="Arial Narrow" w:hAnsi="Arial Narrow" w:cs="Calibri"/>
                <w:color w:val="000000"/>
              </w:rPr>
              <w:t>6079</w:t>
            </w:r>
          </w:p>
        </w:tc>
      </w:tr>
      <w:tr w:rsidR="008D0840" w:rsidRPr="00603162" w:rsidTr="00D85C10">
        <w:trPr>
          <w:trHeight w:val="142"/>
        </w:trPr>
        <w:tc>
          <w:tcPr>
            <w:tcW w:w="1872" w:type="dxa"/>
            <w:vMerge/>
            <w:shd w:val="clear" w:color="auto" w:fill="FFFFFF"/>
          </w:tcPr>
          <w:p w:rsidR="008D0840" w:rsidRPr="00603162" w:rsidRDefault="008D0840" w:rsidP="00C859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5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rodzina, obywatele oraz gospodarstwa domowe</w:t>
            </w:r>
          </w:p>
        </w:tc>
        <w:tc>
          <w:tcPr>
            <w:tcW w:w="999" w:type="dxa"/>
            <w:gridSpan w:val="2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840" w:rsidRPr="00603162" w:rsidTr="00D85C10">
        <w:trPr>
          <w:trHeight w:val="142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840" w:rsidRPr="00603162" w:rsidRDefault="008D0840" w:rsidP="00C859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W ujęciu niepieniężnym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duże przedsiębiorstwa</w:t>
            </w:r>
          </w:p>
        </w:tc>
        <w:tc>
          <w:tcPr>
            <w:tcW w:w="71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840" w:rsidRPr="00603162" w:rsidRDefault="008D0840" w:rsidP="00D85C1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D0840" w:rsidRPr="00603162" w:rsidTr="00D85C10">
        <w:trPr>
          <w:trHeight w:val="142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40" w:rsidRPr="00603162" w:rsidRDefault="008D0840" w:rsidP="00C859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sektor mikro-, małych i średnich przedsiębiorstw</w:t>
            </w:r>
          </w:p>
        </w:tc>
        <w:tc>
          <w:tcPr>
            <w:tcW w:w="71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840" w:rsidRPr="00603162" w:rsidRDefault="004D6C27" w:rsidP="008D084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85C10">
              <w:rPr>
                <w:rFonts w:ascii="Times New Roman" w:hAnsi="Times New Roman"/>
                <w:spacing w:val="-2"/>
                <w:sz w:val="24"/>
                <w:szCs w:val="24"/>
              </w:rPr>
              <w:t>Uproszczenie  prawa  podatkowego  w  zakresie  podatków dochodowych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dla tych podatników, którzy wybrali opodatkowanie na zasadach wzorowanych na rozwiązaniu estońskim, </w:t>
            </w:r>
            <w:r w:rsidRPr="00D85C10">
              <w:rPr>
                <w:rFonts w:ascii="Times New Roman" w:hAnsi="Times New Roman"/>
                <w:spacing w:val="-2"/>
                <w:sz w:val="24"/>
                <w:szCs w:val="24"/>
              </w:rPr>
              <w:t>przyczyni  się do  zwiększenia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pewności prawa i będzie stanowiło zachętę do prowadzenia działalności gospodarczej. Można również oczekiwać wzrostu nakładów inwestycyjnych w gospodarce oraz utworzenia nowych miejsc pracy, jednakże z uwagi na nadchodzące załamanie gospodarcze efekt ten może być trudny do oszacowania.</w:t>
            </w:r>
          </w:p>
        </w:tc>
      </w:tr>
      <w:tr w:rsidR="008D0840" w:rsidRPr="00603162" w:rsidTr="00D85C10">
        <w:trPr>
          <w:trHeight w:val="596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40" w:rsidRPr="00603162" w:rsidRDefault="008D0840" w:rsidP="00C859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840" w:rsidRPr="00603162" w:rsidRDefault="008D0840" w:rsidP="008D0840">
            <w:pPr>
              <w:tabs>
                <w:tab w:val="right" w:pos="1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 xml:space="preserve">rodzina, obywatele oraz gospodarstwa domowe </w:t>
            </w:r>
          </w:p>
        </w:tc>
        <w:tc>
          <w:tcPr>
            <w:tcW w:w="71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4D6C27" w:rsidRPr="00603162" w:rsidTr="004D6C27">
        <w:trPr>
          <w:trHeight w:val="825"/>
        </w:trPr>
        <w:tc>
          <w:tcPr>
            <w:tcW w:w="1872" w:type="dxa"/>
            <w:vMerge w:val="restart"/>
            <w:shd w:val="clear" w:color="auto" w:fill="FFFFFF"/>
          </w:tcPr>
          <w:p w:rsidR="004D6C27" w:rsidRPr="00603162" w:rsidRDefault="004D6C27" w:rsidP="00C859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Niemierzalne</w:t>
            </w:r>
          </w:p>
        </w:tc>
        <w:tc>
          <w:tcPr>
            <w:tcW w:w="1956" w:type="dxa"/>
            <w:gridSpan w:val="5"/>
            <w:shd w:val="clear" w:color="auto" w:fill="FFFFFF"/>
          </w:tcPr>
          <w:p w:rsidR="004D6C27" w:rsidRPr="00603162" w:rsidRDefault="004D6C27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duże przedsiębiorstwa</w:t>
            </w:r>
          </w:p>
        </w:tc>
        <w:tc>
          <w:tcPr>
            <w:tcW w:w="7122" w:type="dxa"/>
            <w:gridSpan w:val="20"/>
            <w:shd w:val="clear" w:color="auto" w:fill="FFFFFF"/>
          </w:tcPr>
          <w:p w:rsidR="004D6C27" w:rsidRPr="00603162" w:rsidRDefault="004D6C27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C27" w:rsidRPr="00603162" w:rsidTr="00D85C10">
        <w:trPr>
          <w:trHeight w:val="825"/>
        </w:trPr>
        <w:tc>
          <w:tcPr>
            <w:tcW w:w="1872" w:type="dxa"/>
            <w:vMerge/>
            <w:shd w:val="clear" w:color="auto" w:fill="FFFFFF"/>
          </w:tcPr>
          <w:p w:rsidR="004D6C27" w:rsidRPr="00603162" w:rsidRDefault="004D6C27" w:rsidP="00C859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5"/>
            <w:shd w:val="clear" w:color="auto" w:fill="FFFFFF"/>
          </w:tcPr>
          <w:p w:rsidR="004D6C27" w:rsidRPr="00603162" w:rsidRDefault="004D6C27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sektor mikro-, małych i średnich przedsiębiorstw</w:t>
            </w:r>
          </w:p>
        </w:tc>
        <w:tc>
          <w:tcPr>
            <w:tcW w:w="7122" w:type="dxa"/>
            <w:gridSpan w:val="20"/>
            <w:shd w:val="clear" w:color="auto" w:fill="FFFFFF"/>
          </w:tcPr>
          <w:p w:rsidR="004D6C27" w:rsidRPr="00603162" w:rsidRDefault="004D6C27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C27">
              <w:rPr>
                <w:rFonts w:ascii="Times New Roman" w:hAnsi="Times New Roman"/>
                <w:spacing w:val="-2"/>
                <w:sz w:val="24"/>
                <w:szCs w:val="24"/>
              </w:rPr>
              <w:t>Zachęty podatkowe skierowane do przedsiębiorców oraz obniżenie obciążeń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D6C27">
              <w:rPr>
                <w:rFonts w:ascii="Times New Roman" w:hAnsi="Times New Roman"/>
                <w:spacing w:val="-2"/>
                <w:sz w:val="24"/>
                <w:szCs w:val="24"/>
              </w:rPr>
              <w:t>admini</w:t>
            </w:r>
            <w:r w:rsidR="001D0D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stracyjnych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pozytywnie wpłyną</w:t>
            </w:r>
            <w:r w:rsidRPr="004D6C2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na  otoczenie prowadzenia działalności gospodarcz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ej.</w:t>
            </w:r>
          </w:p>
        </w:tc>
      </w:tr>
      <w:tr w:rsidR="004D6C27" w:rsidRPr="00603162" w:rsidTr="00D85C10">
        <w:trPr>
          <w:trHeight w:val="142"/>
        </w:trPr>
        <w:tc>
          <w:tcPr>
            <w:tcW w:w="1872" w:type="dxa"/>
            <w:vMerge/>
            <w:shd w:val="clear" w:color="auto" w:fill="FFFFFF"/>
          </w:tcPr>
          <w:p w:rsidR="004D6C27" w:rsidRPr="00603162" w:rsidRDefault="004D6C27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5"/>
            <w:shd w:val="clear" w:color="auto" w:fill="FFFFFF"/>
          </w:tcPr>
          <w:p w:rsidR="004D6C27" w:rsidRPr="00603162" w:rsidRDefault="004D6C27" w:rsidP="008D0840">
            <w:pPr>
              <w:tabs>
                <w:tab w:val="right" w:pos="193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 xml:space="preserve">rodzina, obywatele oraz gospodarstwa domowe </w:t>
            </w:r>
          </w:p>
        </w:tc>
        <w:tc>
          <w:tcPr>
            <w:tcW w:w="7122" w:type="dxa"/>
            <w:gridSpan w:val="20"/>
            <w:shd w:val="clear" w:color="auto" w:fill="FFFFFF"/>
          </w:tcPr>
          <w:p w:rsidR="004D6C27" w:rsidRPr="00603162" w:rsidRDefault="004D6C27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840" w:rsidRPr="00603162" w:rsidTr="001D2286">
        <w:trPr>
          <w:trHeight w:val="1643"/>
        </w:trPr>
        <w:tc>
          <w:tcPr>
            <w:tcW w:w="2240" w:type="dxa"/>
            <w:gridSpan w:val="2"/>
            <w:shd w:val="clear" w:color="auto" w:fill="FFFFFF"/>
          </w:tcPr>
          <w:p w:rsidR="008D0840" w:rsidRPr="00603162" w:rsidRDefault="008D0840" w:rsidP="00C859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 xml:space="preserve">Dodatkowe informacje, w tym wskazanie źródeł danych i przyjętych do obliczeń założeń </w:t>
            </w:r>
          </w:p>
        </w:tc>
        <w:tc>
          <w:tcPr>
            <w:tcW w:w="8710" w:type="dxa"/>
            <w:gridSpan w:val="24"/>
            <w:shd w:val="clear" w:color="auto" w:fill="FFFFFF"/>
            <w:vAlign w:val="center"/>
          </w:tcPr>
          <w:p w:rsidR="00CC5E65" w:rsidRPr="00CC5E65" w:rsidRDefault="00CC5E65" w:rsidP="00CC5E65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Założenie: </w:t>
            </w:r>
            <w:r w:rsidRPr="00CC5E65">
              <w:rPr>
                <w:rFonts w:ascii="Times New Roman" w:hAnsi="Times New Roman"/>
                <w:sz w:val="24"/>
                <w:szCs w:val="24"/>
              </w:rPr>
              <w:t>lista spółek dotyczy roku 2018 i moż</w:t>
            </w:r>
            <w:r>
              <w:rPr>
                <w:rFonts w:ascii="Times New Roman" w:hAnsi="Times New Roman"/>
                <w:sz w:val="24"/>
                <w:szCs w:val="24"/>
              </w:rPr>
              <w:t>e nie odzwierciedlać warunków w 2021 </w:t>
            </w:r>
            <w:r w:rsidRPr="00CC5E65">
              <w:rPr>
                <w:rFonts w:ascii="Times New Roman" w:hAnsi="Times New Roman"/>
                <w:sz w:val="24"/>
                <w:szCs w:val="24"/>
              </w:rPr>
              <w:t>r. (np. na skutek zmiany struktury właścicielskiej, poziomu przychodów, stanu zatrudnienia).</w:t>
            </w:r>
          </w:p>
          <w:p w:rsidR="008D0840" w:rsidRPr="00603162" w:rsidRDefault="00CC5E65" w:rsidP="00CC5E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Pozostałe i</w:t>
            </w:r>
            <w:r w:rsidR="008D0840">
              <w:rPr>
                <w:rFonts w:ascii="Times New Roman" w:hAnsi="Times New Roman"/>
                <w:sz w:val="24"/>
                <w:szCs w:val="24"/>
              </w:rPr>
              <w:t>nformacje w tym zakresie opisano w pkt 6</w:t>
            </w:r>
            <w:r w:rsidR="00FE6A1B">
              <w:rPr>
                <w:rFonts w:ascii="Times New Roman" w:hAnsi="Times New Roman"/>
                <w:sz w:val="24"/>
                <w:szCs w:val="24"/>
              </w:rPr>
              <w:t>.</w:t>
            </w:r>
            <w:r w:rsidR="004D6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9C2" w:rsidRDefault="00C859C2">
      <w:r>
        <w:br w:type="page"/>
      </w:r>
    </w:p>
    <w:tbl>
      <w:tblPr>
        <w:tblW w:w="109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0"/>
        <w:gridCol w:w="1303"/>
        <w:gridCol w:w="1564"/>
        <w:gridCol w:w="2123"/>
        <w:gridCol w:w="3720"/>
      </w:tblGrid>
      <w:tr w:rsidR="008D0840" w:rsidRPr="00603162" w:rsidTr="001D2286">
        <w:trPr>
          <w:trHeight w:val="342"/>
        </w:trPr>
        <w:tc>
          <w:tcPr>
            <w:tcW w:w="10950" w:type="dxa"/>
            <w:gridSpan w:val="5"/>
            <w:shd w:val="clear" w:color="auto" w:fill="99CCFF"/>
            <w:vAlign w:val="center"/>
          </w:tcPr>
          <w:p w:rsidR="008D0840" w:rsidRPr="00603162" w:rsidRDefault="008D0840" w:rsidP="008D0840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3162">
              <w:rPr>
                <w:rFonts w:ascii="Times New Roman" w:hAnsi="Times New Roman"/>
                <w:b/>
                <w:sz w:val="24"/>
                <w:szCs w:val="24"/>
              </w:rPr>
              <w:t xml:space="preserve"> Zmiana obciążeń regulacyjnych (w tym obowiązków informacyjnych) wynikających z projektu</w:t>
            </w:r>
          </w:p>
        </w:tc>
      </w:tr>
      <w:tr w:rsidR="008D0840" w:rsidRPr="00603162" w:rsidTr="001D2286">
        <w:trPr>
          <w:trHeight w:val="151"/>
        </w:trPr>
        <w:tc>
          <w:tcPr>
            <w:tcW w:w="10950" w:type="dxa"/>
            <w:gridSpan w:val="5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16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54E9">
              <w:rPr>
                <w:rFonts w:ascii="Times New Roman" w:hAnsi="Times New Roman"/>
                <w:sz w:val="24"/>
                <w:szCs w:val="24"/>
              </w:rPr>
            </w:r>
            <w:r w:rsidR="00B954E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0316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03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162">
              <w:rPr>
                <w:rFonts w:ascii="Times New Roman" w:hAnsi="Times New Roman"/>
                <w:spacing w:val="-2"/>
                <w:sz w:val="24"/>
                <w:szCs w:val="24"/>
              </w:rPr>
              <w:t>nie dotyczy</w:t>
            </w:r>
          </w:p>
        </w:tc>
      </w:tr>
      <w:tr w:rsidR="008D0840" w:rsidRPr="00603162" w:rsidTr="001D2286">
        <w:trPr>
          <w:trHeight w:val="946"/>
        </w:trPr>
        <w:tc>
          <w:tcPr>
            <w:tcW w:w="5107" w:type="dxa"/>
            <w:gridSpan w:val="3"/>
            <w:shd w:val="clear" w:color="auto" w:fill="FFFFFF"/>
          </w:tcPr>
          <w:p w:rsidR="008D0840" w:rsidRPr="00603162" w:rsidRDefault="008D0840" w:rsidP="008D0840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Wprowadzane są obciążenia poza bezwzględnie wymaganymi przez UE </w:t>
            </w:r>
            <w:r w:rsidRPr="00603162">
              <w:rPr>
                <w:rFonts w:ascii="Times New Roman" w:hAnsi="Times New Roman"/>
                <w:sz w:val="24"/>
                <w:szCs w:val="24"/>
              </w:rPr>
              <w:t>(szczegóły w odwróconej tabeli zgodności).</w:t>
            </w:r>
          </w:p>
        </w:tc>
        <w:tc>
          <w:tcPr>
            <w:tcW w:w="5843" w:type="dxa"/>
            <w:gridSpan w:val="2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16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54E9">
              <w:rPr>
                <w:rFonts w:ascii="Times New Roman" w:hAnsi="Times New Roman"/>
                <w:sz w:val="24"/>
                <w:szCs w:val="24"/>
              </w:rPr>
            </w:r>
            <w:r w:rsidR="00B954E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0316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03162">
              <w:rPr>
                <w:rFonts w:ascii="Times New Roman" w:hAnsi="Times New Roman"/>
                <w:sz w:val="24"/>
                <w:szCs w:val="24"/>
              </w:rPr>
              <w:t xml:space="preserve"> tak</w:t>
            </w:r>
          </w:p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16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54E9">
              <w:rPr>
                <w:rFonts w:ascii="Times New Roman" w:hAnsi="Times New Roman"/>
                <w:sz w:val="24"/>
                <w:szCs w:val="24"/>
              </w:rPr>
            </w:r>
            <w:r w:rsidR="00B954E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0316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03162">
              <w:rPr>
                <w:rFonts w:ascii="Times New Roman" w:hAnsi="Times New Roman"/>
                <w:sz w:val="24"/>
                <w:szCs w:val="24"/>
              </w:rPr>
              <w:t xml:space="preserve"> nie</w:t>
            </w:r>
          </w:p>
          <w:p w:rsidR="008D0840" w:rsidRPr="00603162" w:rsidRDefault="008D0840" w:rsidP="008D08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316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54E9">
              <w:rPr>
                <w:rFonts w:ascii="Times New Roman" w:hAnsi="Times New Roman"/>
                <w:sz w:val="24"/>
                <w:szCs w:val="24"/>
              </w:rPr>
            </w:r>
            <w:r w:rsidR="00B954E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0316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03162">
              <w:rPr>
                <w:rFonts w:ascii="Times New Roman" w:hAnsi="Times New Roman"/>
                <w:sz w:val="24"/>
                <w:szCs w:val="24"/>
              </w:rPr>
              <w:t xml:space="preserve"> nie dotyczy</w:t>
            </w:r>
          </w:p>
        </w:tc>
      </w:tr>
      <w:tr w:rsidR="008D0840" w:rsidRPr="00603162" w:rsidTr="001D2286">
        <w:trPr>
          <w:trHeight w:val="1245"/>
        </w:trPr>
        <w:tc>
          <w:tcPr>
            <w:tcW w:w="5107" w:type="dxa"/>
            <w:gridSpan w:val="3"/>
            <w:shd w:val="clear" w:color="auto" w:fill="FFFFFF"/>
          </w:tcPr>
          <w:p w:rsidR="008D0840" w:rsidRPr="00603162" w:rsidRDefault="00387CA2" w:rsidP="008D084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316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54E9">
              <w:rPr>
                <w:rFonts w:ascii="Times New Roman" w:hAnsi="Times New Roman"/>
                <w:sz w:val="24"/>
                <w:szCs w:val="24"/>
              </w:rPr>
            </w:r>
            <w:r w:rsidR="00B954E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0316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D0840" w:rsidRPr="00603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840" w:rsidRPr="0060316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zmniejszenie liczby dokumentów </w:t>
            </w:r>
          </w:p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16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54E9">
              <w:rPr>
                <w:rFonts w:ascii="Times New Roman" w:hAnsi="Times New Roman"/>
                <w:sz w:val="24"/>
                <w:szCs w:val="24"/>
              </w:rPr>
            </w:r>
            <w:r w:rsidR="00B954E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0316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03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162">
              <w:rPr>
                <w:rFonts w:ascii="Times New Roman" w:hAnsi="Times New Roman"/>
                <w:spacing w:val="-2"/>
                <w:sz w:val="24"/>
                <w:szCs w:val="24"/>
              </w:rPr>
              <w:t>zmniejszenie liczby procedur</w:t>
            </w:r>
          </w:p>
          <w:p w:rsidR="008D0840" w:rsidRPr="00603162" w:rsidRDefault="00D350D1" w:rsidP="008D084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16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54E9">
              <w:rPr>
                <w:rFonts w:ascii="Times New Roman" w:hAnsi="Times New Roman"/>
                <w:sz w:val="24"/>
                <w:szCs w:val="24"/>
              </w:rPr>
            </w:r>
            <w:r w:rsidR="00B954E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0316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D0840" w:rsidRPr="00603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840" w:rsidRPr="00603162">
              <w:rPr>
                <w:rFonts w:ascii="Times New Roman" w:hAnsi="Times New Roman"/>
                <w:spacing w:val="-2"/>
                <w:sz w:val="24"/>
                <w:szCs w:val="24"/>
              </w:rPr>
              <w:t>skrócenie czasu na załatwienie sprawy</w:t>
            </w:r>
          </w:p>
          <w:p w:rsidR="008D0840" w:rsidRPr="00603162" w:rsidRDefault="008D0840" w:rsidP="008D0840">
            <w:pPr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16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54E9">
              <w:rPr>
                <w:rFonts w:ascii="Times New Roman" w:hAnsi="Times New Roman"/>
                <w:sz w:val="24"/>
                <w:szCs w:val="24"/>
              </w:rPr>
            </w:r>
            <w:r w:rsidR="00B954E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0316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03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162">
              <w:rPr>
                <w:rFonts w:ascii="Times New Roman" w:hAnsi="Times New Roman"/>
                <w:spacing w:val="-2"/>
                <w:sz w:val="24"/>
                <w:szCs w:val="24"/>
              </w:rPr>
              <w:t>inne:</w:t>
            </w:r>
            <w:r w:rsidRPr="00603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16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603162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03162">
              <w:rPr>
                <w:rFonts w:ascii="Times New Roman" w:hAnsi="Times New Roman"/>
                <w:sz w:val="24"/>
                <w:szCs w:val="24"/>
              </w:rPr>
            </w:r>
            <w:r w:rsidRPr="0060316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0316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0316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0316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0316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0316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0316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43" w:type="dxa"/>
            <w:gridSpan w:val="2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16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54E9">
              <w:rPr>
                <w:rFonts w:ascii="Times New Roman" w:hAnsi="Times New Roman"/>
                <w:sz w:val="24"/>
                <w:szCs w:val="24"/>
              </w:rPr>
            </w:r>
            <w:r w:rsidR="00B954E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0316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03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162">
              <w:rPr>
                <w:rFonts w:ascii="Times New Roman" w:hAnsi="Times New Roman"/>
                <w:spacing w:val="-2"/>
                <w:sz w:val="24"/>
                <w:szCs w:val="24"/>
              </w:rPr>
              <w:t>zwiększenie liczby dokumentów</w:t>
            </w:r>
          </w:p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16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54E9">
              <w:rPr>
                <w:rFonts w:ascii="Times New Roman" w:hAnsi="Times New Roman"/>
                <w:sz w:val="24"/>
                <w:szCs w:val="24"/>
              </w:rPr>
            </w:r>
            <w:r w:rsidR="00B954E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0316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03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162">
              <w:rPr>
                <w:rFonts w:ascii="Times New Roman" w:hAnsi="Times New Roman"/>
                <w:spacing w:val="-2"/>
                <w:sz w:val="24"/>
                <w:szCs w:val="24"/>
              </w:rPr>
              <w:t>zwiększenie liczby procedur</w:t>
            </w:r>
          </w:p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16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54E9">
              <w:rPr>
                <w:rFonts w:ascii="Times New Roman" w:hAnsi="Times New Roman"/>
                <w:sz w:val="24"/>
                <w:szCs w:val="24"/>
              </w:rPr>
            </w:r>
            <w:r w:rsidR="00B954E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0316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03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162">
              <w:rPr>
                <w:rFonts w:ascii="Times New Roman" w:hAnsi="Times New Roman"/>
                <w:spacing w:val="-2"/>
                <w:sz w:val="24"/>
                <w:szCs w:val="24"/>
              </w:rPr>
              <w:t>wydłużenie czasu na załatwienie sprawy</w:t>
            </w:r>
          </w:p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16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54E9">
              <w:rPr>
                <w:rFonts w:ascii="Times New Roman" w:hAnsi="Times New Roman"/>
                <w:sz w:val="24"/>
                <w:szCs w:val="24"/>
              </w:rPr>
            </w:r>
            <w:r w:rsidR="00B954E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0316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03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162">
              <w:rPr>
                <w:rFonts w:ascii="Times New Roman" w:hAnsi="Times New Roman"/>
                <w:spacing w:val="-2"/>
                <w:sz w:val="24"/>
                <w:szCs w:val="24"/>
              </w:rPr>
              <w:t>inne:</w:t>
            </w:r>
            <w:r w:rsidRPr="00603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16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603162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03162">
              <w:rPr>
                <w:rFonts w:ascii="Times New Roman" w:hAnsi="Times New Roman"/>
                <w:sz w:val="24"/>
                <w:szCs w:val="24"/>
              </w:rPr>
            </w:r>
            <w:r w:rsidRPr="0060316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0316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0316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0316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0316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0316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0316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840" w:rsidRPr="00603162" w:rsidTr="001D2286">
        <w:trPr>
          <w:trHeight w:val="870"/>
        </w:trPr>
        <w:tc>
          <w:tcPr>
            <w:tcW w:w="5107" w:type="dxa"/>
            <w:gridSpan w:val="3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Wprowadzane obciążenia są przystosowane do ich elektronizacji. </w:t>
            </w:r>
          </w:p>
        </w:tc>
        <w:tc>
          <w:tcPr>
            <w:tcW w:w="5843" w:type="dxa"/>
            <w:gridSpan w:val="2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316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54E9">
              <w:rPr>
                <w:rFonts w:ascii="Times New Roman" w:hAnsi="Times New Roman"/>
                <w:sz w:val="24"/>
                <w:szCs w:val="24"/>
              </w:rPr>
            </w:r>
            <w:r w:rsidR="00B954E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0316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03162">
              <w:rPr>
                <w:rFonts w:ascii="Times New Roman" w:hAnsi="Times New Roman"/>
                <w:sz w:val="24"/>
                <w:szCs w:val="24"/>
              </w:rPr>
              <w:t xml:space="preserve"> tak</w:t>
            </w:r>
          </w:p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16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54E9">
              <w:rPr>
                <w:rFonts w:ascii="Times New Roman" w:hAnsi="Times New Roman"/>
                <w:sz w:val="24"/>
                <w:szCs w:val="24"/>
              </w:rPr>
            </w:r>
            <w:r w:rsidR="00B954E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0316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03162">
              <w:rPr>
                <w:rFonts w:ascii="Times New Roman" w:hAnsi="Times New Roman"/>
                <w:sz w:val="24"/>
                <w:szCs w:val="24"/>
              </w:rPr>
              <w:t xml:space="preserve"> nie</w:t>
            </w:r>
          </w:p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16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54E9">
              <w:rPr>
                <w:rFonts w:ascii="Times New Roman" w:hAnsi="Times New Roman"/>
                <w:sz w:val="24"/>
                <w:szCs w:val="24"/>
              </w:rPr>
            </w:r>
            <w:r w:rsidR="00B954E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0316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03162">
              <w:rPr>
                <w:rFonts w:ascii="Times New Roman" w:hAnsi="Times New Roman"/>
                <w:sz w:val="24"/>
                <w:szCs w:val="24"/>
              </w:rPr>
              <w:t xml:space="preserve"> nie dotyczy</w:t>
            </w:r>
          </w:p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840" w:rsidRPr="00603162" w:rsidTr="001D2286">
        <w:trPr>
          <w:trHeight w:val="630"/>
        </w:trPr>
        <w:tc>
          <w:tcPr>
            <w:tcW w:w="10950" w:type="dxa"/>
            <w:gridSpan w:val="5"/>
            <w:shd w:val="clear" w:color="auto" w:fill="FFFFFF"/>
          </w:tcPr>
          <w:p w:rsidR="008D0840" w:rsidRPr="000573CF" w:rsidRDefault="008728E9" w:rsidP="00387CA2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573CF">
              <w:rPr>
                <w:rFonts w:ascii="Times New Roman" w:hAnsi="Times New Roman"/>
                <w:bCs/>
              </w:rPr>
              <w:t>Wybór opodatkowania na nowych zasadach jest fakultatywny, a pozostałe instrumenty podatkowe (np. w zakresie wspierania innowacyjności czy niższej 9-procentowej stawki CIT) pozostają dostępne dla podmiotów nieobjętych ryczałtem</w:t>
            </w:r>
            <w:r w:rsidR="00387CA2" w:rsidRPr="000573CF">
              <w:rPr>
                <w:rFonts w:ascii="Times New Roman" w:hAnsi="Times New Roman"/>
                <w:bCs/>
              </w:rPr>
              <w:t xml:space="preserve">. </w:t>
            </w:r>
            <w:r w:rsidR="00357857" w:rsidRPr="000573CF">
              <w:rPr>
                <w:rFonts w:ascii="Times New Roman" w:hAnsi="Times New Roman"/>
                <w:bCs/>
              </w:rPr>
              <w:t xml:space="preserve">Podatnik posiada swobodę wyboru </w:t>
            </w:r>
            <w:r w:rsidRPr="000573CF">
              <w:rPr>
                <w:rFonts w:ascii="Times New Roman" w:hAnsi="Times New Roman"/>
                <w:bCs/>
              </w:rPr>
              <w:t>z jakim systemem opodatkowania zamierza dokonywać rozliczeń</w:t>
            </w:r>
            <w:r w:rsidR="00387CA2" w:rsidRPr="000573CF">
              <w:rPr>
                <w:rFonts w:ascii="Times New Roman" w:hAnsi="Times New Roman"/>
                <w:bCs/>
              </w:rPr>
              <w:t xml:space="preserve">. </w:t>
            </w:r>
            <w:r w:rsidR="00357857" w:rsidRPr="000573CF">
              <w:rPr>
                <w:rFonts w:ascii="Times New Roman" w:hAnsi="Times New Roman"/>
                <w:bCs/>
              </w:rPr>
              <w:t>Proponowany system</w:t>
            </w:r>
            <w:r w:rsidR="00387CA2" w:rsidRPr="000573CF">
              <w:rPr>
                <w:rFonts w:ascii="Times New Roman" w:hAnsi="Times New Roman"/>
                <w:bCs/>
              </w:rPr>
              <w:t xml:space="preserve"> przyczyni się do ograniczenia kosztów ponoszonych przez przedsiębiorców</w:t>
            </w:r>
            <w:r w:rsidR="00387CA2" w:rsidRPr="000573CF">
              <w:rPr>
                <w:rFonts w:ascii="Times New Roman" w:hAnsi="Times New Roman"/>
                <w:bCs/>
                <w:i/>
              </w:rPr>
              <w:t xml:space="preserve">, </w:t>
            </w:r>
            <w:r w:rsidR="00387CA2" w:rsidRPr="000573CF">
              <w:rPr>
                <w:rFonts w:ascii="Times New Roman" w:hAnsi="Times New Roman"/>
                <w:bCs/>
              </w:rPr>
              <w:t>w szczególności poprzez zniesienie obowiązku prowadzenia podwójnej ewidencji – oddzielnej dla celów podatkowych i księgowych.</w:t>
            </w:r>
          </w:p>
          <w:p w:rsidR="00387CA2" w:rsidRPr="000573CF" w:rsidRDefault="00357857" w:rsidP="00357857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573CF">
              <w:rPr>
                <w:rFonts w:ascii="Times New Roman" w:hAnsi="Times New Roman"/>
              </w:rPr>
              <w:t xml:space="preserve">W zakresie administracji skarbowej nastąpią  </w:t>
            </w:r>
            <w:r w:rsidRPr="000573C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zmiany dostosowawcze związane z wdrożeniem rozwiązań przewidzianych w projekcie ustawy.  </w:t>
            </w:r>
            <w:r w:rsidR="00E3069A" w:rsidRPr="000573CF">
              <w:rPr>
                <w:rFonts w:ascii="Times New Roman" w:hAnsi="Times New Roman"/>
              </w:rPr>
              <w:t>Nie ulegnie natomiast zmianie l</w:t>
            </w:r>
            <w:r w:rsidR="00387CA2" w:rsidRPr="000573CF">
              <w:rPr>
                <w:rFonts w:ascii="Times New Roman" w:hAnsi="Times New Roman"/>
              </w:rPr>
              <w:t>iczba podatników</w:t>
            </w:r>
            <w:r w:rsidRPr="000573CF">
              <w:rPr>
                <w:rFonts w:ascii="Times New Roman" w:hAnsi="Times New Roman"/>
              </w:rPr>
              <w:t xml:space="preserve">, których należy obsłużyć a jedynie </w:t>
            </w:r>
            <w:r w:rsidR="00387CA2" w:rsidRPr="000573CF">
              <w:rPr>
                <w:rFonts w:ascii="Times New Roman" w:hAnsi="Times New Roman"/>
              </w:rPr>
              <w:t xml:space="preserve">forma </w:t>
            </w:r>
            <w:r w:rsidRPr="000573CF">
              <w:rPr>
                <w:rFonts w:ascii="Times New Roman" w:hAnsi="Times New Roman"/>
              </w:rPr>
              <w:t xml:space="preserve">ich </w:t>
            </w:r>
            <w:r w:rsidR="00387CA2" w:rsidRPr="000573CF">
              <w:rPr>
                <w:rFonts w:ascii="Times New Roman" w:hAnsi="Times New Roman"/>
              </w:rPr>
              <w:t>opodatkowania</w:t>
            </w:r>
            <w:r w:rsidR="00E3069A" w:rsidRPr="000573CF">
              <w:rPr>
                <w:rFonts w:ascii="Times New Roman" w:hAnsi="Times New Roman"/>
              </w:rPr>
              <w:t>.</w:t>
            </w:r>
            <w:r w:rsidR="00387CA2" w:rsidRPr="000573CF">
              <w:rPr>
                <w:rFonts w:ascii="Times New Roman" w:hAnsi="Times New Roman"/>
              </w:rPr>
              <w:t xml:space="preserve"> </w:t>
            </w:r>
          </w:p>
          <w:p w:rsidR="00387CA2" w:rsidRDefault="00387CA2" w:rsidP="00387CA2">
            <w:pPr>
              <w:spacing w:line="240" w:lineRule="auto"/>
              <w:jc w:val="both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  <w:p w:rsidR="00387CA2" w:rsidRPr="00603162" w:rsidRDefault="00387CA2" w:rsidP="00387C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840" w:rsidRPr="00603162" w:rsidTr="001D2286">
        <w:trPr>
          <w:trHeight w:val="142"/>
        </w:trPr>
        <w:tc>
          <w:tcPr>
            <w:tcW w:w="10950" w:type="dxa"/>
            <w:gridSpan w:val="5"/>
            <w:shd w:val="clear" w:color="auto" w:fill="99CCFF"/>
          </w:tcPr>
          <w:p w:rsidR="008D0840" w:rsidRPr="00603162" w:rsidRDefault="008D0840" w:rsidP="008D0840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3162">
              <w:rPr>
                <w:rFonts w:ascii="Times New Roman" w:hAnsi="Times New Roman"/>
                <w:b/>
                <w:sz w:val="24"/>
                <w:szCs w:val="24"/>
              </w:rPr>
              <w:t xml:space="preserve">Wpływ na rynek pracy </w:t>
            </w:r>
          </w:p>
        </w:tc>
      </w:tr>
      <w:tr w:rsidR="008D0840" w:rsidRPr="00603162" w:rsidTr="001D2286">
        <w:trPr>
          <w:trHeight w:val="142"/>
        </w:trPr>
        <w:tc>
          <w:tcPr>
            <w:tcW w:w="10950" w:type="dxa"/>
            <w:gridSpan w:val="5"/>
            <w:shd w:val="clear" w:color="auto" w:fill="auto"/>
          </w:tcPr>
          <w:p w:rsidR="008D0840" w:rsidRDefault="00925CFE" w:rsidP="00550F20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związku </w:t>
            </w:r>
            <w:r w:rsidR="00550F20">
              <w:rPr>
                <w:rFonts w:ascii="Times New Roman" w:hAnsi="Times New Roman"/>
                <w:sz w:val="24"/>
                <w:szCs w:val="24"/>
              </w:rPr>
              <w:t>z wprowadzeniem warunku utrzymywania stanu zatrudnienia na minimalnym</w:t>
            </w:r>
            <w:r w:rsidR="0081229E">
              <w:rPr>
                <w:rFonts w:ascii="Times New Roman" w:hAnsi="Times New Roman"/>
                <w:sz w:val="24"/>
                <w:szCs w:val="24"/>
              </w:rPr>
              <w:t xml:space="preserve"> poziomie trzech</w:t>
            </w:r>
            <w:r w:rsidR="00550F20">
              <w:rPr>
                <w:rFonts w:ascii="Times New Roman" w:hAnsi="Times New Roman"/>
                <w:sz w:val="24"/>
                <w:szCs w:val="24"/>
              </w:rPr>
              <w:t xml:space="preserve"> pracowników (zatrudnionych w oparciu o umowę o pracę) można oczekiwać, że </w:t>
            </w:r>
            <w:r w:rsidR="0081229E">
              <w:rPr>
                <w:rFonts w:ascii="Times New Roman" w:hAnsi="Times New Roman"/>
                <w:sz w:val="24"/>
                <w:szCs w:val="24"/>
              </w:rPr>
              <w:t>projektowane zmiany przyczynią się do wzrostu zatrudnienia w gospodarce narodowej.</w:t>
            </w:r>
          </w:p>
          <w:p w:rsidR="00925CFE" w:rsidRPr="00603162" w:rsidRDefault="00925CFE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840" w:rsidRPr="00603162" w:rsidTr="001D2286">
        <w:trPr>
          <w:trHeight w:val="142"/>
        </w:trPr>
        <w:tc>
          <w:tcPr>
            <w:tcW w:w="10950" w:type="dxa"/>
            <w:gridSpan w:val="5"/>
            <w:shd w:val="clear" w:color="auto" w:fill="99CCFF"/>
          </w:tcPr>
          <w:p w:rsidR="008D0840" w:rsidRPr="00603162" w:rsidRDefault="008D0840" w:rsidP="008D0840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3162">
              <w:rPr>
                <w:rFonts w:ascii="Times New Roman" w:hAnsi="Times New Roman"/>
                <w:b/>
                <w:sz w:val="24"/>
                <w:szCs w:val="24"/>
              </w:rPr>
              <w:t>Wpływ na pozostałe obszary</w:t>
            </w:r>
          </w:p>
        </w:tc>
      </w:tr>
      <w:tr w:rsidR="008D0840" w:rsidRPr="00603162" w:rsidTr="001D2286">
        <w:trPr>
          <w:trHeight w:val="1031"/>
        </w:trPr>
        <w:tc>
          <w:tcPr>
            <w:tcW w:w="3543" w:type="dxa"/>
            <w:gridSpan w:val="2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0840" w:rsidRPr="00603162" w:rsidRDefault="00B93EE2" w:rsidP="008D084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54E9">
              <w:rPr>
                <w:rFonts w:ascii="Times New Roman" w:hAnsi="Times New Roman"/>
                <w:sz w:val="24"/>
                <w:szCs w:val="24"/>
              </w:rPr>
            </w:r>
            <w:r w:rsidR="00B954E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D0840" w:rsidRPr="00603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840" w:rsidRPr="00603162">
              <w:rPr>
                <w:rFonts w:ascii="Times New Roman" w:hAnsi="Times New Roman"/>
                <w:spacing w:val="-2"/>
                <w:sz w:val="24"/>
                <w:szCs w:val="24"/>
              </w:rPr>
              <w:t>środowisko naturalne</w:t>
            </w:r>
          </w:p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16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54E9">
              <w:rPr>
                <w:rFonts w:ascii="Times New Roman" w:hAnsi="Times New Roman"/>
                <w:sz w:val="24"/>
                <w:szCs w:val="24"/>
              </w:rPr>
            </w:r>
            <w:r w:rsidR="00B954E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0316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03162">
              <w:rPr>
                <w:rFonts w:ascii="Times New Roman" w:hAnsi="Times New Roman"/>
                <w:sz w:val="24"/>
                <w:szCs w:val="24"/>
              </w:rPr>
              <w:t xml:space="preserve"> sytuacja i rozwój regionalny</w:t>
            </w:r>
          </w:p>
          <w:p w:rsidR="008D0840" w:rsidRPr="00603162" w:rsidRDefault="00550F20" w:rsidP="008D084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54E9">
              <w:rPr>
                <w:rFonts w:ascii="Times New Roman" w:hAnsi="Times New Roman"/>
                <w:sz w:val="24"/>
                <w:szCs w:val="24"/>
              </w:rPr>
            </w:r>
            <w:r w:rsidR="00B954E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D0840" w:rsidRPr="00603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840" w:rsidRPr="0060316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inne: </w:t>
            </w:r>
            <w:r w:rsidR="00925CFE">
              <w:rPr>
                <w:rFonts w:ascii="Times New Roman" w:hAnsi="Times New Roman"/>
                <w:spacing w:val="-2"/>
                <w:sz w:val="24"/>
                <w:szCs w:val="24"/>
              </w:rPr>
              <w:t>inwestycje</w:t>
            </w:r>
            <w:r w:rsidR="008D0840" w:rsidRPr="0060316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8D0840" w:rsidRPr="00603162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D0840" w:rsidRPr="00603162">
              <w:rPr>
                <w:rFonts w:ascii="Times New Roman" w:hAnsi="Times New Roman"/>
                <w:sz w:val="24"/>
                <w:szCs w:val="24"/>
              </w:rPr>
            </w:r>
            <w:r w:rsidR="008D0840" w:rsidRPr="0060316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D0840" w:rsidRPr="0060316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0840" w:rsidRPr="0060316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0840" w:rsidRPr="0060316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0840" w:rsidRPr="0060316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0840" w:rsidRPr="00603162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D0840" w:rsidRPr="0060316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687" w:type="dxa"/>
            <w:gridSpan w:val="2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16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54E9">
              <w:rPr>
                <w:rFonts w:ascii="Times New Roman" w:hAnsi="Times New Roman"/>
                <w:sz w:val="24"/>
                <w:szCs w:val="24"/>
              </w:rPr>
            </w:r>
            <w:r w:rsidR="00B954E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0316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03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162">
              <w:rPr>
                <w:rFonts w:ascii="Times New Roman" w:hAnsi="Times New Roman"/>
                <w:spacing w:val="-2"/>
                <w:sz w:val="24"/>
                <w:szCs w:val="24"/>
              </w:rPr>
              <w:t>demografia</w:t>
            </w:r>
          </w:p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16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54E9">
              <w:rPr>
                <w:rFonts w:ascii="Times New Roman" w:hAnsi="Times New Roman"/>
                <w:sz w:val="24"/>
                <w:szCs w:val="24"/>
              </w:rPr>
            </w:r>
            <w:r w:rsidR="00B954E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0316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03162">
              <w:rPr>
                <w:rFonts w:ascii="Times New Roman" w:hAnsi="Times New Roman"/>
                <w:sz w:val="24"/>
                <w:szCs w:val="24"/>
              </w:rPr>
              <w:t xml:space="preserve"> mienie państwowe</w:t>
            </w:r>
          </w:p>
        </w:tc>
        <w:tc>
          <w:tcPr>
            <w:tcW w:w="3720" w:type="dxa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0840" w:rsidRPr="00603162" w:rsidRDefault="00B93EE2" w:rsidP="008D084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54E9">
              <w:rPr>
                <w:rFonts w:ascii="Times New Roman" w:hAnsi="Times New Roman"/>
                <w:sz w:val="24"/>
                <w:szCs w:val="24"/>
              </w:rPr>
            </w:r>
            <w:r w:rsidR="00B954E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D0840" w:rsidRPr="00603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840" w:rsidRPr="00603162">
              <w:rPr>
                <w:rFonts w:ascii="Times New Roman" w:hAnsi="Times New Roman"/>
                <w:spacing w:val="-2"/>
                <w:sz w:val="24"/>
                <w:szCs w:val="24"/>
              </w:rPr>
              <w:t>informatyzacja</w:t>
            </w:r>
          </w:p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16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954E9">
              <w:rPr>
                <w:rFonts w:ascii="Times New Roman" w:hAnsi="Times New Roman"/>
                <w:sz w:val="24"/>
                <w:szCs w:val="24"/>
              </w:rPr>
            </w:r>
            <w:r w:rsidR="00B954E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0316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03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162">
              <w:rPr>
                <w:rFonts w:ascii="Times New Roman" w:hAnsi="Times New Roman"/>
                <w:spacing w:val="-2"/>
                <w:sz w:val="24"/>
                <w:szCs w:val="24"/>
              </w:rPr>
              <w:t>zdrowie</w:t>
            </w:r>
          </w:p>
        </w:tc>
      </w:tr>
      <w:tr w:rsidR="008D0840" w:rsidRPr="00603162" w:rsidTr="001D2286">
        <w:trPr>
          <w:trHeight w:val="712"/>
        </w:trPr>
        <w:tc>
          <w:tcPr>
            <w:tcW w:w="2240" w:type="dxa"/>
            <w:shd w:val="clear" w:color="auto" w:fill="FFFFFF"/>
            <w:vAlign w:val="center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sz w:val="24"/>
                <w:szCs w:val="24"/>
              </w:rPr>
              <w:t>Omówienie wpływu</w:t>
            </w:r>
          </w:p>
        </w:tc>
        <w:tc>
          <w:tcPr>
            <w:tcW w:w="8710" w:type="dxa"/>
            <w:gridSpan w:val="4"/>
            <w:shd w:val="clear" w:color="auto" w:fill="FFFFFF"/>
            <w:vAlign w:val="center"/>
          </w:tcPr>
          <w:p w:rsidR="008D0840" w:rsidRPr="00603162" w:rsidRDefault="0081229E" w:rsidP="0081229E">
            <w:pPr>
              <w:spacing w:before="240" w:after="24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Wprowadzenie podobnego rozwiązania w Estonii przyczyniło się do podwojenia</w:t>
            </w:r>
            <w:r w:rsidRPr="0081229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wielkości stopy inwestycji między 1999 a 2002 r.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W Polsce efekt ten może zostać zwiększony dzięki wprowadzonemu warunkowi systematycznego zwieszania nakładów inwestycyjnych, jednakże będzie on także silnie podlegał wpływom załamania koniunktury.</w:t>
            </w:r>
          </w:p>
        </w:tc>
      </w:tr>
      <w:tr w:rsidR="008D0840" w:rsidRPr="00603162" w:rsidTr="001D2286">
        <w:trPr>
          <w:trHeight w:val="142"/>
        </w:trPr>
        <w:tc>
          <w:tcPr>
            <w:tcW w:w="10950" w:type="dxa"/>
            <w:gridSpan w:val="5"/>
            <w:shd w:val="clear" w:color="auto" w:fill="99CCFF"/>
          </w:tcPr>
          <w:p w:rsidR="008D0840" w:rsidRPr="00603162" w:rsidRDefault="008D0840" w:rsidP="008D0840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316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Planowane wykonanie przepisów aktu prawnego</w:t>
            </w:r>
          </w:p>
        </w:tc>
      </w:tr>
      <w:tr w:rsidR="008D0840" w:rsidRPr="00603162" w:rsidTr="001D2286">
        <w:trPr>
          <w:trHeight w:val="142"/>
        </w:trPr>
        <w:tc>
          <w:tcPr>
            <w:tcW w:w="10950" w:type="dxa"/>
            <w:gridSpan w:val="5"/>
            <w:shd w:val="clear" w:color="auto" w:fill="FFFFFF"/>
          </w:tcPr>
          <w:p w:rsidR="008D0840" w:rsidRPr="00603162" w:rsidRDefault="00B93EE2" w:rsidP="00B93EE2">
            <w:pPr>
              <w:spacing w:before="240" w:after="24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93EE2">
              <w:rPr>
                <w:rFonts w:ascii="Times New Roman" w:hAnsi="Times New Roman"/>
                <w:lang w:eastAsia="pl-PL"/>
              </w:rPr>
              <w:t>Wykonanie przepisów aktu prawnego nastąpi w dniu wejścia w życie ustawy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D0840" w:rsidRPr="00603162" w:rsidTr="001D2286">
        <w:trPr>
          <w:trHeight w:val="142"/>
        </w:trPr>
        <w:tc>
          <w:tcPr>
            <w:tcW w:w="10950" w:type="dxa"/>
            <w:gridSpan w:val="5"/>
            <w:shd w:val="clear" w:color="auto" w:fill="99CCFF"/>
          </w:tcPr>
          <w:p w:rsidR="008D0840" w:rsidRPr="00603162" w:rsidRDefault="008D0840" w:rsidP="008D0840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31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316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W jaki sposób i kiedy nastąpi ewaluacja efektów projektu oraz jakie mierniki zostaną zastosowane?</w:t>
            </w:r>
          </w:p>
        </w:tc>
      </w:tr>
      <w:tr w:rsidR="008D0840" w:rsidRPr="00603162" w:rsidTr="001D2286">
        <w:trPr>
          <w:trHeight w:val="142"/>
        </w:trPr>
        <w:tc>
          <w:tcPr>
            <w:tcW w:w="10950" w:type="dxa"/>
            <w:gridSpan w:val="5"/>
            <w:shd w:val="clear" w:color="auto" w:fill="FFFFFF"/>
          </w:tcPr>
          <w:p w:rsidR="00B93EE2" w:rsidRDefault="00B93EE2" w:rsidP="008D0840">
            <w:p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8D0840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Ewaluacja projektu nastąpi po 3 latach od dnia wejścia w życie projektowanej ustawy. </w:t>
            </w:r>
          </w:p>
          <w:p w:rsidR="008D0840" w:rsidRDefault="008D0840" w:rsidP="008D0840">
            <w:pPr>
              <w:spacing w:after="6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Mierniki:</w:t>
            </w:r>
          </w:p>
          <w:p w:rsidR="00D350D1" w:rsidRDefault="00D350D1" w:rsidP="008D0840">
            <w:pPr>
              <w:numPr>
                <w:ilvl w:val="0"/>
                <w:numId w:val="40"/>
              </w:numPr>
              <w:spacing w:after="60" w:line="240" w:lineRule="auto"/>
              <w:ind w:left="347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Liczba podatników korzystających z nowej formy opodatkowania</w:t>
            </w:r>
          </w:p>
          <w:p w:rsidR="008D0840" w:rsidRPr="00D350D1" w:rsidRDefault="008D0840" w:rsidP="008D0840">
            <w:pPr>
              <w:numPr>
                <w:ilvl w:val="0"/>
                <w:numId w:val="40"/>
              </w:numPr>
              <w:spacing w:after="60" w:line="240" w:lineRule="auto"/>
              <w:ind w:left="347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Wpływy z podatku dochodowego od osób prawnych </w:t>
            </w:r>
          </w:p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D0840" w:rsidRPr="00603162" w:rsidTr="001D2286">
        <w:trPr>
          <w:trHeight w:val="142"/>
        </w:trPr>
        <w:tc>
          <w:tcPr>
            <w:tcW w:w="10950" w:type="dxa"/>
            <w:gridSpan w:val="5"/>
            <w:shd w:val="clear" w:color="auto" w:fill="99CCFF"/>
          </w:tcPr>
          <w:p w:rsidR="008D0840" w:rsidRPr="00603162" w:rsidRDefault="008D0840" w:rsidP="008D0840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60316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Załączniki (istotne dokumenty źródłowe, badania, analizy itp.) </w:t>
            </w:r>
          </w:p>
        </w:tc>
      </w:tr>
      <w:tr w:rsidR="008D0840" w:rsidRPr="00603162" w:rsidTr="001D2286">
        <w:trPr>
          <w:trHeight w:val="142"/>
        </w:trPr>
        <w:tc>
          <w:tcPr>
            <w:tcW w:w="10950" w:type="dxa"/>
            <w:gridSpan w:val="5"/>
            <w:shd w:val="clear" w:color="auto" w:fill="FFFFFF"/>
          </w:tcPr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8D0840" w:rsidRPr="00603162" w:rsidRDefault="008D0840" w:rsidP="008D084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6176ED" w:rsidRPr="00603162" w:rsidRDefault="009D0655" w:rsidP="00E61AA6">
      <w:pPr>
        <w:pStyle w:val="Nagwek1"/>
        <w:jc w:val="both"/>
        <w:rPr>
          <w:rFonts w:ascii="Times New Roman" w:hAnsi="Times New Roman" w:cs="Times New Roman"/>
          <w:sz w:val="24"/>
          <w:szCs w:val="24"/>
        </w:rPr>
      </w:pPr>
      <w:r w:rsidRPr="0060316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76ED" w:rsidRPr="00603162" w:rsidSect="00725DE7">
      <w:footerReference w:type="default" r:id="rId10"/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EB3" w:rsidRDefault="009B4EB3" w:rsidP="00044739">
      <w:pPr>
        <w:spacing w:line="240" w:lineRule="auto"/>
      </w:pPr>
      <w:r>
        <w:separator/>
      </w:r>
    </w:p>
  </w:endnote>
  <w:endnote w:type="continuationSeparator" w:id="0">
    <w:p w:rsidR="009B4EB3" w:rsidRDefault="009B4EB3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921664"/>
      <w:docPartObj>
        <w:docPartGallery w:val="Page Numbers (Bottom of Page)"/>
        <w:docPartUnique/>
      </w:docPartObj>
    </w:sdtPr>
    <w:sdtEndPr/>
    <w:sdtContent>
      <w:p w:rsidR="006C442D" w:rsidRDefault="006C44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4E9" w:rsidRPr="00B954E9">
          <w:rPr>
            <w:noProof/>
            <w:lang w:val="pl-PL"/>
          </w:rPr>
          <w:t>1</w:t>
        </w:r>
        <w:r>
          <w:fldChar w:fldCharType="end"/>
        </w:r>
      </w:p>
    </w:sdtContent>
  </w:sdt>
  <w:p w:rsidR="006C442D" w:rsidRDefault="006C44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EB3" w:rsidRDefault="009B4EB3" w:rsidP="00044739">
      <w:pPr>
        <w:spacing w:line="240" w:lineRule="auto"/>
      </w:pPr>
      <w:r>
        <w:separator/>
      </w:r>
    </w:p>
  </w:footnote>
  <w:footnote w:type="continuationSeparator" w:id="0">
    <w:p w:rsidR="009B4EB3" w:rsidRDefault="009B4EB3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3" w15:restartNumberingAfterBreak="0">
    <w:nsid w:val="16F43DAD"/>
    <w:multiLevelType w:val="hybridMultilevel"/>
    <w:tmpl w:val="A3AA1BB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DE93ACB"/>
    <w:multiLevelType w:val="hybridMultilevel"/>
    <w:tmpl w:val="6B169584"/>
    <w:lvl w:ilvl="0" w:tplc="7E68C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74A6E"/>
    <w:multiLevelType w:val="hybridMultilevel"/>
    <w:tmpl w:val="5FF80ACE"/>
    <w:lvl w:ilvl="0" w:tplc="7E68C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DC1F36"/>
    <w:multiLevelType w:val="hybridMultilevel"/>
    <w:tmpl w:val="0AEC5F9C"/>
    <w:lvl w:ilvl="0" w:tplc="7E68C3E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1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D5443"/>
    <w:multiLevelType w:val="hybridMultilevel"/>
    <w:tmpl w:val="86C6D0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26D36"/>
    <w:multiLevelType w:val="hybridMultilevel"/>
    <w:tmpl w:val="04DA6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6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DE52E09"/>
    <w:multiLevelType w:val="hybridMultilevel"/>
    <w:tmpl w:val="D5D01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D7264"/>
    <w:multiLevelType w:val="hybridMultilevel"/>
    <w:tmpl w:val="66CABCC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53F9E"/>
    <w:multiLevelType w:val="hybridMultilevel"/>
    <w:tmpl w:val="C35AD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2" w15:restartNumberingAfterBreak="0">
    <w:nsid w:val="4B943BCD"/>
    <w:multiLevelType w:val="hybridMultilevel"/>
    <w:tmpl w:val="D0D05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63578"/>
    <w:multiLevelType w:val="hybridMultilevel"/>
    <w:tmpl w:val="1792AAC0"/>
    <w:lvl w:ilvl="0" w:tplc="1E0A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0A20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207FAA">
      <w:start w:val="489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CCBD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0FF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84E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4EC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0ED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4937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26A7E53"/>
    <w:multiLevelType w:val="hybridMultilevel"/>
    <w:tmpl w:val="244A8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2A2E"/>
    <w:multiLevelType w:val="hybridMultilevel"/>
    <w:tmpl w:val="DEDC230C"/>
    <w:lvl w:ilvl="0" w:tplc="1A7EA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691AD4"/>
    <w:multiLevelType w:val="hybridMultilevel"/>
    <w:tmpl w:val="B9661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A4A48"/>
    <w:multiLevelType w:val="hybridMultilevel"/>
    <w:tmpl w:val="EDC8A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4" w15:restartNumberingAfterBreak="0">
    <w:nsid w:val="644B529F"/>
    <w:multiLevelType w:val="hybridMultilevel"/>
    <w:tmpl w:val="C6AC6426"/>
    <w:lvl w:ilvl="0" w:tplc="69624922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67A0271C"/>
    <w:multiLevelType w:val="hybridMultilevel"/>
    <w:tmpl w:val="2782EFCC"/>
    <w:lvl w:ilvl="0" w:tplc="7E68C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403C7E"/>
    <w:multiLevelType w:val="hybridMultilevel"/>
    <w:tmpl w:val="9842A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36BF9"/>
    <w:multiLevelType w:val="hybridMultilevel"/>
    <w:tmpl w:val="74DCA346"/>
    <w:lvl w:ilvl="0" w:tplc="C6564A72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A45484"/>
    <w:multiLevelType w:val="hybridMultilevel"/>
    <w:tmpl w:val="1AA6C5C6"/>
    <w:lvl w:ilvl="0" w:tplc="7E68C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32"/>
  </w:num>
  <w:num w:numId="5">
    <w:abstractNumId w:val="1"/>
  </w:num>
  <w:num w:numId="6">
    <w:abstractNumId w:val="11"/>
  </w:num>
  <w:num w:numId="7">
    <w:abstractNumId w:val="19"/>
  </w:num>
  <w:num w:numId="8">
    <w:abstractNumId w:val="7"/>
  </w:num>
  <w:num w:numId="9">
    <w:abstractNumId w:val="24"/>
  </w:num>
  <w:num w:numId="10">
    <w:abstractNumId w:val="16"/>
  </w:num>
  <w:num w:numId="11">
    <w:abstractNumId w:val="21"/>
  </w:num>
  <w:num w:numId="12">
    <w:abstractNumId w:val="2"/>
  </w:num>
  <w:num w:numId="13">
    <w:abstractNumId w:val="15"/>
  </w:num>
  <w:num w:numId="14">
    <w:abstractNumId w:val="33"/>
  </w:num>
  <w:num w:numId="15">
    <w:abstractNumId w:val="27"/>
  </w:num>
  <w:num w:numId="16">
    <w:abstractNumId w:val="31"/>
  </w:num>
  <w:num w:numId="17">
    <w:abstractNumId w:val="8"/>
  </w:num>
  <w:num w:numId="18">
    <w:abstractNumId w:val="38"/>
  </w:num>
  <w:num w:numId="19">
    <w:abstractNumId w:val="39"/>
  </w:num>
  <w:num w:numId="20">
    <w:abstractNumId w:val="28"/>
  </w:num>
  <w:num w:numId="21">
    <w:abstractNumId w:val="10"/>
  </w:num>
  <w:num w:numId="22">
    <w:abstractNumId w:val="34"/>
  </w:num>
  <w:num w:numId="23">
    <w:abstractNumId w:val="37"/>
  </w:num>
  <w:num w:numId="24">
    <w:abstractNumId w:val="23"/>
  </w:num>
  <w:num w:numId="25">
    <w:abstractNumId w:val="36"/>
  </w:num>
  <w:num w:numId="26">
    <w:abstractNumId w:val="5"/>
  </w:num>
  <w:num w:numId="27">
    <w:abstractNumId w:val="30"/>
  </w:num>
  <w:num w:numId="28">
    <w:abstractNumId w:val="29"/>
  </w:num>
  <w:num w:numId="29">
    <w:abstractNumId w:val="13"/>
  </w:num>
  <w:num w:numId="30">
    <w:abstractNumId w:val="25"/>
  </w:num>
  <w:num w:numId="31">
    <w:abstractNumId w:val="20"/>
  </w:num>
  <w:num w:numId="32">
    <w:abstractNumId w:val="4"/>
  </w:num>
  <w:num w:numId="33">
    <w:abstractNumId w:val="40"/>
  </w:num>
  <w:num w:numId="34">
    <w:abstractNumId w:val="35"/>
  </w:num>
  <w:num w:numId="35">
    <w:abstractNumId w:val="9"/>
  </w:num>
  <w:num w:numId="36">
    <w:abstractNumId w:val="22"/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8"/>
  </w:num>
  <w:num w:numId="40">
    <w:abstractNumId w:val="17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doNotDisplayPageBoundaries/>
  <w:revisionView w:inkAnnotations="0"/>
  <w:trackRevisions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21A5"/>
    <w:rsid w:val="000022D5"/>
    <w:rsid w:val="00003315"/>
    <w:rsid w:val="0000388F"/>
    <w:rsid w:val="00004C6A"/>
    <w:rsid w:val="00004E29"/>
    <w:rsid w:val="000055E8"/>
    <w:rsid w:val="000057FA"/>
    <w:rsid w:val="00012D11"/>
    <w:rsid w:val="00013EB5"/>
    <w:rsid w:val="0001733A"/>
    <w:rsid w:val="000201D0"/>
    <w:rsid w:val="00020ACA"/>
    <w:rsid w:val="0002198C"/>
    <w:rsid w:val="00021DF1"/>
    <w:rsid w:val="000227D3"/>
    <w:rsid w:val="00022F4D"/>
    <w:rsid w:val="00023836"/>
    <w:rsid w:val="00024F89"/>
    <w:rsid w:val="00030768"/>
    <w:rsid w:val="000328BF"/>
    <w:rsid w:val="00032F5A"/>
    <w:rsid w:val="00033FC7"/>
    <w:rsid w:val="000356A9"/>
    <w:rsid w:val="000371E4"/>
    <w:rsid w:val="00037206"/>
    <w:rsid w:val="00037D27"/>
    <w:rsid w:val="00043284"/>
    <w:rsid w:val="00043BA3"/>
    <w:rsid w:val="00044138"/>
    <w:rsid w:val="00044739"/>
    <w:rsid w:val="000478B7"/>
    <w:rsid w:val="00050935"/>
    <w:rsid w:val="00050AB2"/>
    <w:rsid w:val="00051637"/>
    <w:rsid w:val="00054586"/>
    <w:rsid w:val="00056681"/>
    <w:rsid w:val="000573CF"/>
    <w:rsid w:val="00062E76"/>
    <w:rsid w:val="00064075"/>
    <w:rsid w:val="000648A7"/>
    <w:rsid w:val="0006618B"/>
    <w:rsid w:val="00066A05"/>
    <w:rsid w:val="000670C0"/>
    <w:rsid w:val="00071B99"/>
    <w:rsid w:val="00074364"/>
    <w:rsid w:val="000756E5"/>
    <w:rsid w:val="00075D1F"/>
    <w:rsid w:val="00076026"/>
    <w:rsid w:val="0007704E"/>
    <w:rsid w:val="00077127"/>
    <w:rsid w:val="00080151"/>
    <w:rsid w:val="00080166"/>
    <w:rsid w:val="00080EC8"/>
    <w:rsid w:val="00081312"/>
    <w:rsid w:val="00085881"/>
    <w:rsid w:val="00087E53"/>
    <w:rsid w:val="000900CF"/>
    <w:rsid w:val="000944AC"/>
    <w:rsid w:val="00094CB9"/>
    <w:rsid w:val="00095059"/>
    <w:rsid w:val="000956B2"/>
    <w:rsid w:val="00096287"/>
    <w:rsid w:val="000969E7"/>
    <w:rsid w:val="00096C5B"/>
    <w:rsid w:val="000A23DE"/>
    <w:rsid w:val="000A4020"/>
    <w:rsid w:val="000A6ED6"/>
    <w:rsid w:val="000B1316"/>
    <w:rsid w:val="000B4713"/>
    <w:rsid w:val="000B54FB"/>
    <w:rsid w:val="000B5A7C"/>
    <w:rsid w:val="000C29B0"/>
    <w:rsid w:val="000C476B"/>
    <w:rsid w:val="000C4FC5"/>
    <w:rsid w:val="000C5C62"/>
    <w:rsid w:val="000C5CE4"/>
    <w:rsid w:val="000C5F68"/>
    <w:rsid w:val="000C76FC"/>
    <w:rsid w:val="000D0535"/>
    <w:rsid w:val="000D38FC"/>
    <w:rsid w:val="000D4C88"/>
    <w:rsid w:val="000D4D90"/>
    <w:rsid w:val="000D73DA"/>
    <w:rsid w:val="000D7BED"/>
    <w:rsid w:val="000E0CD2"/>
    <w:rsid w:val="000E151C"/>
    <w:rsid w:val="000E1F29"/>
    <w:rsid w:val="000E2D10"/>
    <w:rsid w:val="000E51A0"/>
    <w:rsid w:val="000F3204"/>
    <w:rsid w:val="000F7EA3"/>
    <w:rsid w:val="000F7F56"/>
    <w:rsid w:val="001026FE"/>
    <w:rsid w:val="0010548B"/>
    <w:rsid w:val="001072D1"/>
    <w:rsid w:val="00107302"/>
    <w:rsid w:val="00112090"/>
    <w:rsid w:val="00113CAB"/>
    <w:rsid w:val="00114051"/>
    <w:rsid w:val="00115573"/>
    <w:rsid w:val="00117017"/>
    <w:rsid w:val="00126223"/>
    <w:rsid w:val="00130E8E"/>
    <w:rsid w:val="0013216E"/>
    <w:rsid w:val="00134F43"/>
    <w:rsid w:val="00136EA5"/>
    <w:rsid w:val="001401B5"/>
    <w:rsid w:val="001422B9"/>
    <w:rsid w:val="0014665F"/>
    <w:rsid w:val="001469E9"/>
    <w:rsid w:val="00150C96"/>
    <w:rsid w:val="00153464"/>
    <w:rsid w:val="001541B3"/>
    <w:rsid w:val="001553DB"/>
    <w:rsid w:val="00155B15"/>
    <w:rsid w:val="00155FE7"/>
    <w:rsid w:val="00157885"/>
    <w:rsid w:val="001625BE"/>
    <w:rsid w:val="00162C33"/>
    <w:rsid w:val="00162FAB"/>
    <w:rsid w:val="001643A4"/>
    <w:rsid w:val="001727BB"/>
    <w:rsid w:val="00172D8D"/>
    <w:rsid w:val="00174676"/>
    <w:rsid w:val="00180D25"/>
    <w:rsid w:val="0018270A"/>
    <w:rsid w:val="0018318D"/>
    <w:rsid w:val="001835B9"/>
    <w:rsid w:val="0018445B"/>
    <w:rsid w:val="00184BB0"/>
    <w:rsid w:val="0018572C"/>
    <w:rsid w:val="00187E79"/>
    <w:rsid w:val="00187F0D"/>
    <w:rsid w:val="00190974"/>
    <w:rsid w:val="00192748"/>
    <w:rsid w:val="00192CC5"/>
    <w:rsid w:val="001956A7"/>
    <w:rsid w:val="00196565"/>
    <w:rsid w:val="001A118A"/>
    <w:rsid w:val="001A27F4"/>
    <w:rsid w:val="001A2BEA"/>
    <w:rsid w:val="001A2D95"/>
    <w:rsid w:val="001A4B46"/>
    <w:rsid w:val="001A6309"/>
    <w:rsid w:val="001A65A2"/>
    <w:rsid w:val="001A7E54"/>
    <w:rsid w:val="001B00C1"/>
    <w:rsid w:val="001B2F81"/>
    <w:rsid w:val="001B3460"/>
    <w:rsid w:val="001B4CA1"/>
    <w:rsid w:val="001B519A"/>
    <w:rsid w:val="001B5C5E"/>
    <w:rsid w:val="001B5E27"/>
    <w:rsid w:val="001B7358"/>
    <w:rsid w:val="001B75D8"/>
    <w:rsid w:val="001B7894"/>
    <w:rsid w:val="001C1060"/>
    <w:rsid w:val="001C1164"/>
    <w:rsid w:val="001C3C63"/>
    <w:rsid w:val="001C7AC8"/>
    <w:rsid w:val="001D0D49"/>
    <w:rsid w:val="001D2286"/>
    <w:rsid w:val="001D306F"/>
    <w:rsid w:val="001D46D7"/>
    <w:rsid w:val="001D4732"/>
    <w:rsid w:val="001D5D2B"/>
    <w:rsid w:val="001D5D2C"/>
    <w:rsid w:val="001D6A3C"/>
    <w:rsid w:val="001D6D51"/>
    <w:rsid w:val="001E6DA1"/>
    <w:rsid w:val="001E6E26"/>
    <w:rsid w:val="001F18E6"/>
    <w:rsid w:val="001F59AA"/>
    <w:rsid w:val="001F653A"/>
    <w:rsid w:val="001F6979"/>
    <w:rsid w:val="001F7FA7"/>
    <w:rsid w:val="002002AF"/>
    <w:rsid w:val="0020202D"/>
    <w:rsid w:val="00202BC6"/>
    <w:rsid w:val="00203A82"/>
    <w:rsid w:val="002042C7"/>
    <w:rsid w:val="00205141"/>
    <w:rsid w:val="0020516B"/>
    <w:rsid w:val="00205D8A"/>
    <w:rsid w:val="00207451"/>
    <w:rsid w:val="0021090E"/>
    <w:rsid w:val="00213453"/>
    <w:rsid w:val="00213559"/>
    <w:rsid w:val="00213A04"/>
    <w:rsid w:val="00213EFD"/>
    <w:rsid w:val="002149FF"/>
    <w:rsid w:val="00216096"/>
    <w:rsid w:val="00216123"/>
    <w:rsid w:val="002167E9"/>
    <w:rsid w:val="002172F1"/>
    <w:rsid w:val="00217A6F"/>
    <w:rsid w:val="002223F1"/>
    <w:rsid w:val="002228D7"/>
    <w:rsid w:val="00223C7B"/>
    <w:rsid w:val="00224AB1"/>
    <w:rsid w:val="0022509F"/>
    <w:rsid w:val="0022687A"/>
    <w:rsid w:val="00230728"/>
    <w:rsid w:val="00234040"/>
    <w:rsid w:val="0023489D"/>
    <w:rsid w:val="00235455"/>
    <w:rsid w:val="002358EA"/>
    <w:rsid w:val="00235CD2"/>
    <w:rsid w:val="00237B0F"/>
    <w:rsid w:val="002401FA"/>
    <w:rsid w:val="002432E5"/>
    <w:rsid w:val="00245597"/>
    <w:rsid w:val="002457A1"/>
    <w:rsid w:val="0025206A"/>
    <w:rsid w:val="00252221"/>
    <w:rsid w:val="0025273D"/>
    <w:rsid w:val="00254DED"/>
    <w:rsid w:val="00255619"/>
    <w:rsid w:val="00255DAD"/>
    <w:rsid w:val="00256108"/>
    <w:rsid w:val="00260F33"/>
    <w:rsid w:val="002613BD"/>
    <w:rsid w:val="00262384"/>
    <w:rsid w:val="002624F1"/>
    <w:rsid w:val="002639AD"/>
    <w:rsid w:val="00266F85"/>
    <w:rsid w:val="00267271"/>
    <w:rsid w:val="00270A92"/>
    <w:rsid w:val="00270C81"/>
    <w:rsid w:val="00271558"/>
    <w:rsid w:val="0027295E"/>
    <w:rsid w:val="00274862"/>
    <w:rsid w:val="00275B87"/>
    <w:rsid w:val="002777C4"/>
    <w:rsid w:val="00282D72"/>
    <w:rsid w:val="00283010"/>
    <w:rsid w:val="00283148"/>
    <w:rsid w:val="00283402"/>
    <w:rsid w:val="00290960"/>
    <w:rsid w:val="00290FD6"/>
    <w:rsid w:val="00292477"/>
    <w:rsid w:val="00292526"/>
    <w:rsid w:val="00294259"/>
    <w:rsid w:val="002942D2"/>
    <w:rsid w:val="002958BD"/>
    <w:rsid w:val="002A0CC9"/>
    <w:rsid w:val="002A12E8"/>
    <w:rsid w:val="002A168C"/>
    <w:rsid w:val="002A2C81"/>
    <w:rsid w:val="002A3485"/>
    <w:rsid w:val="002A55AC"/>
    <w:rsid w:val="002A68A9"/>
    <w:rsid w:val="002A7549"/>
    <w:rsid w:val="002B153E"/>
    <w:rsid w:val="002B1A2C"/>
    <w:rsid w:val="002B3D1A"/>
    <w:rsid w:val="002B4042"/>
    <w:rsid w:val="002B5DA0"/>
    <w:rsid w:val="002C27D0"/>
    <w:rsid w:val="002C2C9B"/>
    <w:rsid w:val="002D17D6"/>
    <w:rsid w:val="002D18D7"/>
    <w:rsid w:val="002D21CE"/>
    <w:rsid w:val="002D2F1E"/>
    <w:rsid w:val="002D3E57"/>
    <w:rsid w:val="002E17F4"/>
    <w:rsid w:val="002E3DA3"/>
    <w:rsid w:val="002E450F"/>
    <w:rsid w:val="002E55B9"/>
    <w:rsid w:val="002E5B4B"/>
    <w:rsid w:val="002E6B38"/>
    <w:rsid w:val="002E6D63"/>
    <w:rsid w:val="002E6E2B"/>
    <w:rsid w:val="002E7A42"/>
    <w:rsid w:val="002E7B51"/>
    <w:rsid w:val="002F2245"/>
    <w:rsid w:val="002F2A56"/>
    <w:rsid w:val="002F500B"/>
    <w:rsid w:val="002F5652"/>
    <w:rsid w:val="00300991"/>
    <w:rsid w:val="00301417"/>
    <w:rsid w:val="00301959"/>
    <w:rsid w:val="00301BF9"/>
    <w:rsid w:val="00303AF7"/>
    <w:rsid w:val="00305B8A"/>
    <w:rsid w:val="003061F6"/>
    <w:rsid w:val="00310802"/>
    <w:rsid w:val="00311104"/>
    <w:rsid w:val="00315D89"/>
    <w:rsid w:val="003240F6"/>
    <w:rsid w:val="003245E6"/>
    <w:rsid w:val="00327B02"/>
    <w:rsid w:val="00331BF9"/>
    <w:rsid w:val="00332121"/>
    <w:rsid w:val="00332574"/>
    <w:rsid w:val="0033495E"/>
    <w:rsid w:val="00334A79"/>
    <w:rsid w:val="00334D8D"/>
    <w:rsid w:val="00337345"/>
    <w:rsid w:val="00337982"/>
    <w:rsid w:val="00337DD2"/>
    <w:rsid w:val="003404D1"/>
    <w:rsid w:val="00340778"/>
    <w:rsid w:val="003443FF"/>
    <w:rsid w:val="00346EC4"/>
    <w:rsid w:val="00347EF6"/>
    <w:rsid w:val="00351070"/>
    <w:rsid w:val="00351CB1"/>
    <w:rsid w:val="00355808"/>
    <w:rsid w:val="00357857"/>
    <w:rsid w:val="00357F9E"/>
    <w:rsid w:val="00362848"/>
    <w:rsid w:val="00362C7E"/>
    <w:rsid w:val="00362CBB"/>
    <w:rsid w:val="00363309"/>
    <w:rsid w:val="00363601"/>
    <w:rsid w:val="00365B13"/>
    <w:rsid w:val="00376AC9"/>
    <w:rsid w:val="003831F0"/>
    <w:rsid w:val="00385D36"/>
    <w:rsid w:val="00387CA2"/>
    <w:rsid w:val="00387CE4"/>
    <w:rsid w:val="0039073B"/>
    <w:rsid w:val="00391BE7"/>
    <w:rsid w:val="00393032"/>
    <w:rsid w:val="00394908"/>
    <w:rsid w:val="00394B69"/>
    <w:rsid w:val="00397078"/>
    <w:rsid w:val="003971CE"/>
    <w:rsid w:val="003A284E"/>
    <w:rsid w:val="003A4E96"/>
    <w:rsid w:val="003A6953"/>
    <w:rsid w:val="003B4335"/>
    <w:rsid w:val="003B6083"/>
    <w:rsid w:val="003C3838"/>
    <w:rsid w:val="003C5847"/>
    <w:rsid w:val="003C5CFC"/>
    <w:rsid w:val="003C7C00"/>
    <w:rsid w:val="003D00F7"/>
    <w:rsid w:val="003D0681"/>
    <w:rsid w:val="003D12F6"/>
    <w:rsid w:val="003D1426"/>
    <w:rsid w:val="003D6F87"/>
    <w:rsid w:val="003E0024"/>
    <w:rsid w:val="003E16EC"/>
    <w:rsid w:val="003E2677"/>
    <w:rsid w:val="003E2F4E"/>
    <w:rsid w:val="003E5684"/>
    <w:rsid w:val="003E720A"/>
    <w:rsid w:val="003F0C57"/>
    <w:rsid w:val="003F0E10"/>
    <w:rsid w:val="003F104D"/>
    <w:rsid w:val="004019A6"/>
    <w:rsid w:val="004024EB"/>
    <w:rsid w:val="00403E6E"/>
    <w:rsid w:val="004129B4"/>
    <w:rsid w:val="00417EF0"/>
    <w:rsid w:val="0042048A"/>
    <w:rsid w:val="00422181"/>
    <w:rsid w:val="00423A1D"/>
    <w:rsid w:val="004244A8"/>
    <w:rsid w:val="00425265"/>
    <w:rsid w:val="00425CAF"/>
    <w:rsid w:val="00425F72"/>
    <w:rsid w:val="004268C2"/>
    <w:rsid w:val="00427736"/>
    <w:rsid w:val="00430F8A"/>
    <w:rsid w:val="004348F9"/>
    <w:rsid w:val="00436C84"/>
    <w:rsid w:val="00441787"/>
    <w:rsid w:val="00442B6D"/>
    <w:rsid w:val="00442E95"/>
    <w:rsid w:val="00444483"/>
    <w:rsid w:val="00444F2D"/>
    <w:rsid w:val="00445549"/>
    <w:rsid w:val="00452034"/>
    <w:rsid w:val="00452701"/>
    <w:rsid w:val="004535C5"/>
    <w:rsid w:val="00454D11"/>
    <w:rsid w:val="00455D00"/>
    <w:rsid w:val="00455FA6"/>
    <w:rsid w:val="00455FC1"/>
    <w:rsid w:val="00457252"/>
    <w:rsid w:val="00466C70"/>
    <w:rsid w:val="004702C9"/>
    <w:rsid w:val="00472E45"/>
    <w:rsid w:val="00473FEA"/>
    <w:rsid w:val="00474E9C"/>
    <w:rsid w:val="0047579D"/>
    <w:rsid w:val="0047580D"/>
    <w:rsid w:val="004804FA"/>
    <w:rsid w:val="00483262"/>
    <w:rsid w:val="00483B60"/>
    <w:rsid w:val="00484107"/>
    <w:rsid w:val="004857B1"/>
    <w:rsid w:val="00485CC5"/>
    <w:rsid w:val="0048710A"/>
    <w:rsid w:val="0049343F"/>
    <w:rsid w:val="004964FC"/>
    <w:rsid w:val="004976D9"/>
    <w:rsid w:val="004A145E"/>
    <w:rsid w:val="004A1F15"/>
    <w:rsid w:val="004A2A81"/>
    <w:rsid w:val="004A44C8"/>
    <w:rsid w:val="004A5A14"/>
    <w:rsid w:val="004A7BD7"/>
    <w:rsid w:val="004C15C2"/>
    <w:rsid w:val="004C36D8"/>
    <w:rsid w:val="004D1248"/>
    <w:rsid w:val="004D1E3C"/>
    <w:rsid w:val="004D4169"/>
    <w:rsid w:val="004D4AD1"/>
    <w:rsid w:val="004D5146"/>
    <w:rsid w:val="004D6C27"/>
    <w:rsid w:val="004D6E14"/>
    <w:rsid w:val="004D74A0"/>
    <w:rsid w:val="004E51AC"/>
    <w:rsid w:val="004E712E"/>
    <w:rsid w:val="004F1664"/>
    <w:rsid w:val="004F4E17"/>
    <w:rsid w:val="0050082F"/>
    <w:rsid w:val="00500C56"/>
    <w:rsid w:val="00500F59"/>
    <w:rsid w:val="00501713"/>
    <w:rsid w:val="0050209B"/>
    <w:rsid w:val="00504653"/>
    <w:rsid w:val="00506568"/>
    <w:rsid w:val="00513B74"/>
    <w:rsid w:val="00514A2B"/>
    <w:rsid w:val="0051551B"/>
    <w:rsid w:val="00520C57"/>
    <w:rsid w:val="00522D94"/>
    <w:rsid w:val="00533D89"/>
    <w:rsid w:val="005346FD"/>
    <w:rsid w:val="00536564"/>
    <w:rsid w:val="00540C86"/>
    <w:rsid w:val="00540D87"/>
    <w:rsid w:val="00540DA7"/>
    <w:rsid w:val="005432FE"/>
    <w:rsid w:val="005433D9"/>
    <w:rsid w:val="00544597"/>
    <w:rsid w:val="00544FFE"/>
    <w:rsid w:val="00545A9E"/>
    <w:rsid w:val="005473F5"/>
    <w:rsid w:val="005477E7"/>
    <w:rsid w:val="00550F20"/>
    <w:rsid w:val="00552794"/>
    <w:rsid w:val="00552DA2"/>
    <w:rsid w:val="00553CCD"/>
    <w:rsid w:val="00556133"/>
    <w:rsid w:val="00561FE4"/>
    <w:rsid w:val="0056216F"/>
    <w:rsid w:val="00563199"/>
    <w:rsid w:val="00564874"/>
    <w:rsid w:val="005655D6"/>
    <w:rsid w:val="00567963"/>
    <w:rsid w:val="0057009A"/>
    <w:rsid w:val="00571260"/>
    <w:rsid w:val="0057189C"/>
    <w:rsid w:val="00573362"/>
    <w:rsid w:val="00573883"/>
    <w:rsid w:val="00573FC1"/>
    <w:rsid w:val="005741EE"/>
    <w:rsid w:val="00575B2A"/>
    <w:rsid w:val="0057646E"/>
    <w:rsid w:val="0057668E"/>
    <w:rsid w:val="00577536"/>
    <w:rsid w:val="005804AE"/>
    <w:rsid w:val="00582B51"/>
    <w:rsid w:val="00586268"/>
    <w:rsid w:val="00587DCC"/>
    <w:rsid w:val="00590A85"/>
    <w:rsid w:val="00595E83"/>
    <w:rsid w:val="00596530"/>
    <w:rsid w:val="005967F3"/>
    <w:rsid w:val="005A06DF"/>
    <w:rsid w:val="005A4F40"/>
    <w:rsid w:val="005A5227"/>
    <w:rsid w:val="005A5527"/>
    <w:rsid w:val="005A5AE6"/>
    <w:rsid w:val="005A7213"/>
    <w:rsid w:val="005A7B36"/>
    <w:rsid w:val="005B1206"/>
    <w:rsid w:val="005B1A52"/>
    <w:rsid w:val="005B3486"/>
    <w:rsid w:val="005B37E8"/>
    <w:rsid w:val="005B38BA"/>
    <w:rsid w:val="005B4BE4"/>
    <w:rsid w:val="005B4D0F"/>
    <w:rsid w:val="005B4E99"/>
    <w:rsid w:val="005C0056"/>
    <w:rsid w:val="005C4828"/>
    <w:rsid w:val="005C4CB9"/>
    <w:rsid w:val="005C4FC7"/>
    <w:rsid w:val="005C59FC"/>
    <w:rsid w:val="005D097C"/>
    <w:rsid w:val="005D0D9A"/>
    <w:rsid w:val="005D1BC0"/>
    <w:rsid w:val="005D3425"/>
    <w:rsid w:val="005D5F98"/>
    <w:rsid w:val="005D61D6"/>
    <w:rsid w:val="005E0D13"/>
    <w:rsid w:val="005E5047"/>
    <w:rsid w:val="005E7205"/>
    <w:rsid w:val="005E7371"/>
    <w:rsid w:val="005F116C"/>
    <w:rsid w:val="005F2131"/>
    <w:rsid w:val="005F5AAD"/>
    <w:rsid w:val="005F5CC4"/>
    <w:rsid w:val="005F5E62"/>
    <w:rsid w:val="00603162"/>
    <w:rsid w:val="00605A6A"/>
    <w:rsid w:val="00605EF6"/>
    <w:rsid w:val="00606455"/>
    <w:rsid w:val="00614929"/>
    <w:rsid w:val="006162AB"/>
    <w:rsid w:val="00616511"/>
    <w:rsid w:val="006176ED"/>
    <w:rsid w:val="00617877"/>
    <w:rsid w:val="006202F3"/>
    <w:rsid w:val="0062097A"/>
    <w:rsid w:val="00621D8C"/>
    <w:rsid w:val="00621DA6"/>
    <w:rsid w:val="00623CFE"/>
    <w:rsid w:val="006258C3"/>
    <w:rsid w:val="00626E18"/>
    <w:rsid w:val="00627221"/>
    <w:rsid w:val="00627EE8"/>
    <w:rsid w:val="006316FA"/>
    <w:rsid w:val="00631CAA"/>
    <w:rsid w:val="006336CD"/>
    <w:rsid w:val="00636C08"/>
    <w:rsid w:val="006370D2"/>
    <w:rsid w:val="0064074F"/>
    <w:rsid w:val="00641F55"/>
    <w:rsid w:val="00645E4A"/>
    <w:rsid w:val="0065236D"/>
    <w:rsid w:val="00653406"/>
    <w:rsid w:val="00653688"/>
    <w:rsid w:val="0066091B"/>
    <w:rsid w:val="006611C9"/>
    <w:rsid w:val="00662D50"/>
    <w:rsid w:val="006660E9"/>
    <w:rsid w:val="00667249"/>
    <w:rsid w:val="00667558"/>
    <w:rsid w:val="006708A0"/>
    <w:rsid w:val="00671523"/>
    <w:rsid w:val="0067399C"/>
    <w:rsid w:val="006754EF"/>
    <w:rsid w:val="00676C8D"/>
    <w:rsid w:val="00676F1F"/>
    <w:rsid w:val="00677035"/>
    <w:rsid w:val="00677381"/>
    <w:rsid w:val="00677414"/>
    <w:rsid w:val="006810D9"/>
    <w:rsid w:val="00681F1D"/>
    <w:rsid w:val="00682687"/>
    <w:rsid w:val="00682873"/>
    <w:rsid w:val="006832CF"/>
    <w:rsid w:val="0068601E"/>
    <w:rsid w:val="00691FD8"/>
    <w:rsid w:val="006926E0"/>
    <w:rsid w:val="00694466"/>
    <w:rsid w:val="0069486B"/>
    <w:rsid w:val="00694DDD"/>
    <w:rsid w:val="006A0777"/>
    <w:rsid w:val="006A0E33"/>
    <w:rsid w:val="006A20EB"/>
    <w:rsid w:val="006A4904"/>
    <w:rsid w:val="006A548F"/>
    <w:rsid w:val="006A701A"/>
    <w:rsid w:val="006B19BD"/>
    <w:rsid w:val="006B352A"/>
    <w:rsid w:val="006B64DC"/>
    <w:rsid w:val="006B6D09"/>
    <w:rsid w:val="006B7A91"/>
    <w:rsid w:val="006C3B05"/>
    <w:rsid w:val="006C442D"/>
    <w:rsid w:val="006D4704"/>
    <w:rsid w:val="006D690E"/>
    <w:rsid w:val="006D6A2D"/>
    <w:rsid w:val="006E1E18"/>
    <w:rsid w:val="006E31CE"/>
    <w:rsid w:val="006E34D3"/>
    <w:rsid w:val="006E5193"/>
    <w:rsid w:val="006E5CBC"/>
    <w:rsid w:val="006F02AD"/>
    <w:rsid w:val="006F1218"/>
    <w:rsid w:val="006F1435"/>
    <w:rsid w:val="006F289E"/>
    <w:rsid w:val="006F2F1E"/>
    <w:rsid w:val="006F2FAF"/>
    <w:rsid w:val="006F5BEA"/>
    <w:rsid w:val="006F6A85"/>
    <w:rsid w:val="006F78C4"/>
    <w:rsid w:val="00702500"/>
    <w:rsid w:val="007031A0"/>
    <w:rsid w:val="00703730"/>
    <w:rsid w:val="007038C5"/>
    <w:rsid w:val="00705A29"/>
    <w:rsid w:val="00707498"/>
    <w:rsid w:val="00711A65"/>
    <w:rsid w:val="00714133"/>
    <w:rsid w:val="00714DA4"/>
    <w:rsid w:val="007158B2"/>
    <w:rsid w:val="00715E24"/>
    <w:rsid w:val="00716081"/>
    <w:rsid w:val="00716E09"/>
    <w:rsid w:val="00722B48"/>
    <w:rsid w:val="00722D9E"/>
    <w:rsid w:val="00723400"/>
    <w:rsid w:val="00724164"/>
    <w:rsid w:val="00725DE7"/>
    <w:rsid w:val="007262BB"/>
    <w:rsid w:val="0072636A"/>
    <w:rsid w:val="00726425"/>
    <w:rsid w:val="00726B44"/>
    <w:rsid w:val="00726DCC"/>
    <w:rsid w:val="007318DD"/>
    <w:rsid w:val="0073206F"/>
    <w:rsid w:val="00733167"/>
    <w:rsid w:val="007335CF"/>
    <w:rsid w:val="00740D2C"/>
    <w:rsid w:val="00742300"/>
    <w:rsid w:val="007443F0"/>
    <w:rsid w:val="00744BF9"/>
    <w:rsid w:val="00747BE2"/>
    <w:rsid w:val="00751D33"/>
    <w:rsid w:val="00752623"/>
    <w:rsid w:val="00754343"/>
    <w:rsid w:val="00755923"/>
    <w:rsid w:val="00756BD3"/>
    <w:rsid w:val="007579A5"/>
    <w:rsid w:val="00760F1F"/>
    <w:rsid w:val="0076423E"/>
    <w:rsid w:val="007646CB"/>
    <w:rsid w:val="0076658F"/>
    <w:rsid w:val="0076751F"/>
    <w:rsid w:val="0077040A"/>
    <w:rsid w:val="00772D64"/>
    <w:rsid w:val="007751C7"/>
    <w:rsid w:val="0077529E"/>
    <w:rsid w:val="00777D08"/>
    <w:rsid w:val="00783652"/>
    <w:rsid w:val="0078601E"/>
    <w:rsid w:val="007912F2"/>
    <w:rsid w:val="00792417"/>
    <w:rsid w:val="00792609"/>
    <w:rsid w:val="00792887"/>
    <w:rsid w:val="007936A5"/>
    <w:rsid w:val="007943E2"/>
    <w:rsid w:val="00794F2C"/>
    <w:rsid w:val="007A0D11"/>
    <w:rsid w:val="007A1CFF"/>
    <w:rsid w:val="007A27AA"/>
    <w:rsid w:val="007A3BC7"/>
    <w:rsid w:val="007A5AC4"/>
    <w:rsid w:val="007B0FDD"/>
    <w:rsid w:val="007B4802"/>
    <w:rsid w:val="007B60E1"/>
    <w:rsid w:val="007B6668"/>
    <w:rsid w:val="007B6B33"/>
    <w:rsid w:val="007C1532"/>
    <w:rsid w:val="007C2701"/>
    <w:rsid w:val="007C2AEA"/>
    <w:rsid w:val="007D2192"/>
    <w:rsid w:val="007D2D5A"/>
    <w:rsid w:val="007D4020"/>
    <w:rsid w:val="007E2EAD"/>
    <w:rsid w:val="007E6445"/>
    <w:rsid w:val="007E67A4"/>
    <w:rsid w:val="007E711B"/>
    <w:rsid w:val="007F0021"/>
    <w:rsid w:val="007F1381"/>
    <w:rsid w:val="007F2F52"/>
    <w:rsid w:val="007F3AA2"/>
    <w:rsid w:val="00800E57"/>
    <w:rsid w:val="00801F71"/>
    <w:rsid w:val="00803434"/>
    <w:rsid w:val="008047B0"/>
    <w:rsid w:val="00805F28"/>
    <w:rsid w:val="00806FE7"/>
    <w:rsid w:val="0080749F"/>
    <w:rsid w:val="00811D46"/>
    <w:rsid w:val="0081229E"/>
    <w:rsid w:val="008125B0"/>
    <w:rsid w:val="008144CB"/>
    <w:rsid w:val="00821717"/>
    <w:rsid w:val="0082396C"/>
    <w:rsid w:val="00824210"/>
    <w:rsid w:val="0082503E"/>
    <w:rsid w:val="008263C0"/>
    <w:rsid w:val="00830BD0"/>
    <w:rsid w:val="00831D7E"/>
    <w:rsid w:val="008363EE"/>
    <w:rsid w:val="00841422"/>
    <w:rsid w:val="00841D3B"/>
    <w:rsid w:val="0084314C"/>
    <w:rsid w:val="00843171"/>
    <w:rsid w:val="008433B7"/>
    <w:rsid w:val="008575C3"/>
    <w:rsid w:val="00862026"/>
    <w:rsid w:val="00863D28"/>
    <w:rsid w:val="008648C3"/>
    <w:rsid w:val="008728E9"/>
    <w:rsid w:val="00872965"/>
    <w:rsid w:val="00872D85"/>
    <w:rsid w:val="00880757"/>
    <w:rsid w:val="00880F26"/>
    <w:rsid w:val="00882CAE"/>
    <w:rsid w:val="00884784"/>
    <w:rsid w:val="00891536"/>
    <w:rsid w:val="008935D7"/>
    <w:rsid w:val="00896C2E"/>
    <w:rsid w:val="0089717A"/>
    <w:rsid w:val="008A0472"/>
    <w:rsid w:val="008A0910"/>
    <w:rsid w:val="008A1364"/>
    <w:rsid w:val="008A209B"/>
    <w:rsid w:val="008A5095"/>
    <w:rsid w:val="008A51FC"/>
    <w:rsid w:val="008A608F"/>
    <w:rsid w:val="008A63F3"/>
    <w:rsid w:val="008A6CB3"/>
    <w:rsid w:val="008B05D3"/>
    <w:rsid w:val="008B1A9A"/>
    <w:rsid w:val="008B4FE6"/>
    <w:rsid w:val="008B6C37"/>
    <w:rsid w:val="008C00CE"/>
    <w:rsid w:val="008C152A"/>
    <w:rsid w:val="008C3590"/>
    <w:rsid w:val="008C50D6"/>
    <w:rsid w:val="008C6C37"/>
    <w:rsid w:val="008D02A2"/>
    <w:rsid w:val="008D0840"/>
    <w:rsid w:val="008D7CCA"/>
    <w:rsid w:val="008E13F8"/>
    <w:rsid w:val="008E168F"/>
    <w:rsid w:val="008E18F7"/>
    <w:rsid w:val="008E1E10"/>
    <w:rsid w:val="008E291B"/>
    <w:rsid w:val="008E4F2F"/>
    <w:rsid w:val="008E5D3A"/>
    <w:rsid w:val="008E74B0"/>
    <w:rsid w:val="008F2F2A"/>
    <w:rsid w:val="008F435D"/>
    <w:rsid w:val="00900160"/>
    <w:rsid w:val="009008A8"/>
    <w:rsid w:val="00901187"/>
    <w:rsid w:val="009063B0"/>
    <w:rsid w:val="00907106"/>
    <w:rsid w:val="009107FD"/>
    <w:rsid w:val="0091088F"/>
    <w:rsid w:val="0091137C"/>
    <w:rsid w:val="00911567"/>
    <w:rsid w:val="00915BAD"/>
    <w:rsid w:val="00915DF8"/>
    <w:rsid w:val="0091716F"/>
    <w:rsid w:val="00917AAE"/>
    <w:rsid w:val="00920C93"/>
    <w:rsid w:val="009224DF"/>
    <w:rsid w:val="009251A9"/>
    <w:rsid w:val="00925CFE"/>
    <w:rsid w:val="00930699"/>
    <w:rsid w:val="00931F69"/>
    <w:rsid w:val="00934123"/>
    <w:rsid w:val="00934C60"/>
    <w:rsid w:val="0093645D"/>
    <w:rsid w:val="009377AA"/>
    <w:rsid w:val="009379FB"/>
    <w:rsid w:val="009426C3"/>
    <w:rsid w:val="00951271"/>
    <w:rsid w:val="00955774"/>
    <w:rsid w:val="00955A01"/>
    <w:rsid w:val="009560B5"/>
    <w:rsid w:val="00956D68"/>
    <w:rsid w:val="00960035"/>
    <w:rsid w:val="00960068"/>
    <w:rsid w:val="00961689"/>
    <w:rsid w:val="00964D24"/>
    <w:rsid w:val="00965466"/>
    <w:rsid w:val="009703D6"/>
    <w:rsid w:val="009711D3"/>
    <w:rsid w:val="0097181B"/>
    <w:rsid w:val="0097631F"/>
    <w:rsid w:val="00976DC5"/>
    <w:rsid w:val="0097721B"/>
    <w:rsid w:val="009818C7"/>
    <w:rsid w:val="00982DD4"/>
    <w:rsid w:val="009841E5"/>
    <w:rsid w:val="0098479F"/>
    <w:rsid w:val="00984A8A"/>
    <w:rsid w:val="009857B6"/>
    <w:rsid w:val="00985A8D"/>
    <w:rsid w:val="00986610"/>
    <w:rsid w:val="009877DC"/>
    <w:rsid w:val="00991F96"/>
    <w:rsid w:val="009940A1"/>
    <w:rsid w:val="0099500F"/>
    <w:rsid w:val="00996F0A"/>
    <w:rsid w:val="00997EA3"/>
    <w:rsid w:val="009A1D86"/>
    <w:rsid w:val="009A370D"/>
    <w:rsid w:val="009A3A4A"/>
    <w:rsid w:val="009A657D"/>
    <w:rsid w:val="009A7A81"/>
    <w:rsid w:val="009B049C"/>
    <w:rsid w:val="009B11C8"/>
    <w:rsid w:val="009B243F"/>
    <w:rsid w:val="009B2BCF"/>
    <w:rsid w:val="009B2FF8"/>
    <w:rsid w:val="009B4EB3"/>
    <w:rsid w:val="009B5BA3"/>
    <w:rsid w:val="009B6CC4"/>
    <w:rsid w:val="009C2865"/>
    <w:rsid w:val="009C6CE5"/>
    <w:rsid w:val="009D0027"/>
    <w:rsid w:val="009D0655"/>
    <w:rsid w:val="009E1C7E"/>
    <w:rsid w:val="009E1E98"/>
    <w:rsid w:val="009E3ABE"/>
    <w:rsid w:val="009E3C4B"/>
    <w:rsid w:val="009E53F4"/>
    <w:rsid w:val="009E59C7"/>
    <w:rsid w:val="009F0637"/>
    <w:rsid w:val="009F62A6"/>
    <w:rsid w:val="009F674F"/>
    <w:rsid w:val="009F799E"/>
    <w:rsid w:val="00A02020"/>
    <w:rsid w:val="00A0371B"/>
    <w:rsid w:val="00A056CB"/>
    <w:rsid w:val="00A07A29"/>
    <w:rsid w:val="00A10268"/>
    <w:rsid w:val="00A10FF1"/>
    <w:rsid w:val="00A1506B"/>
    <w:rsid w:val="00A15207"/>
    <w:rsid w:val="00A16136"/>
    <w:rsid w:val="00A17CB2"/>
    <w:rsid w:val="00A2084E"/>
    <w:rsid w:val="00A22BF8"/>
    <w:rsid w:val="00A23191"/>
    <w:rsid w:val="00A23397"/>
    <w:rsid w:val="00A2480E"/>
    <w:rsid w:val="00A30809"/>
    <w:rsid w:val="00A30C32"/>
    <w:rsid w:val="00A30E32"/>
    <w:rsid w:val="00A319C0"/>
    <w:rsid w:val="00A32D24"/>
    <w:rsid w:val="00A33560"/>
    <w:rsid w:val="00A33C7E"/>
    <w:rsid w:val="00A34195"/>
    <w:rsid w:val="00A3473D"/>
    <w:rsid w:val="00A364E4"/>
    <w:rsid w:val="00A371A5"/>
    <w:rsid w:val="00A41687"/>
    <w:rsid w:val="00A44658"/>
    <w:rsid w:val="00A44761"/>
    <w:rsid w:val="00A47BDF"/>
    <w:rsid w:val="00A51CD7"/>
    <w:rsid w:val="00A52135"/>
    <w:rsid w:val="00A52ADB"/>
    <w:rsid w:val="00A533E8"/>
    <w:rsid w:val="00A542D9"/>
    <w:rsid w:val="00A5476A"/>
    <w:rsid w:val="00A54C84"/>
    <w:rsid w:val="00A56E64"/>
    <w:rsid w:val="00A624C3"/>
    <w:rsid w:val="00A6641C"/>
    <w:rsid w:val="00A767D2"/>
    <w:rsid w:val="00A77616"/>
    <w:rsid w:val="00A805DA"/>
    <w:rsid w:val="00A811B4"/>
    <w:rsid w:val="00A8328C"/>
    <w:rsid w:val="00A84AD5"/>
    <w:rsid w:val="00A85E66"/>
    <w:rsid w:val="00A87CDE"/>
    <w:rsid w:val="00A90A79"/>
    <w:rsid w:val="00A92106"/>
    <w:rsid w:val="00A92BAF"/>
    <w:rsid w:val="00A92F1C"/>
    <w:rsid w:val="00A94737"/>
    <w:rsid w:val="00A94BA3"/>
    <w:rsid w:val="00A95F50"/>
    <w:rsid w:val="00A96CBA"/>
    <w:rsid w:val="00A97428"/>
    <w:rsid w:val="00AA3106"/>
    <w:rsid w:val="00AB0EC4"/>
    <w:rsid w:val="00AB149E"/>
    <w:rsid w:val="00AB1ACD"/>
    <w:rsid w:val="00AB277F"/>
    <w:rsid w:val="00AB4099"/>
    <w:rsid w:val="00AB449A"/>
    <w:rsid w:val="00AB6803"/>
    <w:rsid w:val="00AB7ADA"/>
    <w:rsid w:val="00AC0D9C"/>
    <w:rsid w:val="00AC13C3"/>
    <w:rsid w:val="00AC17AE"/>
    <w:rsid w:val="00AC5E42"/>
    <w:rsid w:val="00AC6229"/>
    <w:rsid w:val="00AC7258"/>
    <w:rsid w:val="00AD031F"/>
    <w:rsid w:val="00AD14F9"/>
    <w:rsid w:val="00AD30A1"/>
    <w:rsid w:val="00AD35D6"/>
    <w:rsid w:val="00AD58C5"/>
    <w:rsid w:val="00AD6FDB"/>
    <w:rsid w:val="00AE36C4"/>
    <w:rsid w:val="00AE4003"/>
    <w:rsid w:val="00AE472C"/>
    <w:rsid w:val="00AE5375"/>
    <w:rsid w:val="00AE6CF8"/>
    <w:rsid w:val="00AF08E3"/>
    <w:rsid w:val="00AF4197"/>
    <w:rsid w:val="00AF4CAC"/>
    <w:rsid w:val="00AF4E12"/>
    <w:rsid w:val="00AF5E74"/>
    <w:rsid w:val="00B01242"/>
    <w:rsid w:val="00B03E0D"/>
    <w:rsid w:val="00B042FF"/>
    <w:rsid w:val="00B0495D"/>
    <w:rsid w:val="00B054F8"/>
    <w:rsid w:val="00B06252"/>
    <w:rsid w:val="00B2219A"/>
    <w:rsid w:val="00B231CE"/>
    <w:rsid w:val="00B24A59"/>
    <w:rsid w:val="00B3581B"/>
    <w:rsid w:val="00B36B81"/>
    <w:rsid w:val="00B36FEE"/>
    <w:rsid w:val="00B37C80"/>
    <w:rsid w:val="00B40E1E"/>
    <w:rsid w:val="00B42993"/>
    <w:rsid w:val="00B45444"/>
    <w:rsid w:val="00B465FF"/>
    <w:rsid w:val="00B47938"/>
    <w:rsid w:val="00B47D7B"/>
    <w:rsid w:val="00B502B8"/>
    <w:rsid w:val="00B5092B"/>
    <w:rsid w:val="00B5194E"/>
    <w:rsid w:val="00B51AF5"/>
    <w:rsid w:val="00B52CE9"/>
    <w:rsid w:val="00B531FC"/>
    <w:rsid w:val="00B55347"/>
    <w:rsid w:val="00B57E5E"/>
    <w:rsid w:val="00B61F37"/>
    <w:rsid w:val="00B62D56"/>
    <w:rsid w:val="00B7657D"/>
    <w:rsid w:val="00B7770F"/>
    <w:rsid w:val="00B77A89"/>
    <w:rsid w:val="00B77B27"/>
    <w:rsid w:val="00B81307"/>
    <w:rsid w:val="00B8134E"/>
    <w:rsid w:val="00B81B55"/>
    <w:rsid w:val="00B8354D"/>
    <w:rsid w:val="00B84613"/>
    <w:rsid w:val="00B8533C"/>
    <w:rsid w:val="00B8608A"/>
    <w:rsid w:val="00B87AF0"/>
    <w:rsid w:val="00B9037B"/>
    <w:rsid w:val="00B90C26"/>
    <w:rsid w:val="00B910BD"/>
    <w:rsid w:val="00B9302B"/>
    <w:rsid w:val="00B93130"/>
    <w:rsid w:val="00B93834"/>
    <w:rsid w:val="00B93EE2"/>
    <w:rsid w:val="00B954E9"/>
    <w:rsid w:val="00B96469"/>
    <w:rsid w:val="00BA0DA2"/>
    <w:rsid w:val="00BA2981"/>
    <w:rsid w:val="00BA42EE"/>
    <w:rsid w:val="00BA48F9"/>
    <w:rsid w:val="00BA6B69"/>
    <w:rsid w:val="00BB0DCA"/>
    <w:rsid w:val="00BB168E"/>
    <w:rsid w:val="00BB2666"/>
    <w:rsid w:val="00BB48E5"/>
    <w:rsid w:val="00BB6B80"/>
    <w:rsid w:val="00BC00A0"/>
    <w:rsid w:val="00BC00F6"/>
    <w:rsid w:val="00BC0CC0"/>
    <w:rsid w:val="00BC326F"/>
    <w:rsid w:val="00BC3773"/>
    <w:rsid w:val="00BC381A"/>
    <w:rsid w:val="00BC796E"/>
    <w:rsid w:val="00BD0962"/>
    <w:rsid w:val="00BD1EED"/>
    <w:rsid w:val="00BD59CB"/>
    <w:rsid w:val="00BD68A4"/>
    <w:rsid w:val="00BD6C69"/>
    <w:rsid w:val="00BE01AA"/>
    <w:rsid w:val="00BE17D9"/>
    <w:rsid w:val="00BF0DA2"/>
    <w:rsid w:val="00BF109C"/>
    <w:rsid w:val="00BF34FA"/>
    <w:rsid w:val="00BF5CC2"/>
    <w:rsid w:val="00C004B6"/>
    <w:rsid w:val="00C02983"/>
    <w:rsid w:val="00C02DFD"/>
    <w:rsid w:val="00C047A7"/>
    <w:rsid w:val="00C05DE5"/>
    <w:rsid w:val="00C05EAD"/>
    <w:rsid w:val="00C06081"/>
    <w:rsid w:val="00C06B60"/>
    <w:rsid w:val="00C11358"/>
    <w:rsid w:val="00C12362"/>
    <w:rsid w:val="00C14864"/>
    <w:rsid w:val="00C16CB5"/>
    <w:rsid w:val="00C16ECB"/>
    <w:rsid w:val="00C176F6"/>
    <w:rsid w:val="00C1791C"/>
    <w:rsid w:val="00C21BFB"/>
    <w:rsid w:val="00C249CE"/>
    <w:rsid w:val="00C24CD6"/>
    <w:rsid w:val="00C30C57"/>
    <w:rsid w:val="00C32907"/>
    <w:rsid w:val="00C33027"/>
    <w:rsid w:val="00C34876"/>
    <w:rsid w:val="00C37667"/>
    <w:rsid w:val="00C37DE1"/>
    <w:rsid w:val="00C435DB"/>
    <w:rsid w:val="00C44D73"/>
    <w:rsid w:val="00C459D5"/>
    <w:rsid w:val="00C45FE3"/>
    <w:rsid w:val="00C477B9"/>
    <w:rsid w:val="00C50B42"/>
    <w:rsid w:val="00C516FF"/>
    <w:rsid w:val="00C52BFA"/>
    <w:rsid w:val="00C53575"/>
    <w:rsid w:val="00C53D1D"/>
    <w:rsid w:val="00C53F26"/>
    <w:rsid w:val="00C540BC"/>
    <w:rsid w:val="00C57A4C"/>
    <w:rsid w:val="00C64F7D"/>
    <w:rsid w:val="00C67309"/>
    <w:rsid w:val="00C70C9F"/>
    <w:rsid w:val="00C73328"/>
    <w:rsid w:val="00C75ECB"/>
    <w:rsid w:val="00C7614E"/>
    <w:rsid w:val="00C76BE7"/>
    <w:rsid w:val="00C77BF1"/>
    <w:rsid w:val="00C80D60"/>
    <w:rsid w:val="00C81871"/>
    <w:rsid w:val="00C82EAC"/>
    <w:rsid w:val="00C82FBD"/>
    <w:rsid w:val="00C84BB2"/>
    <w:rsid w:val="00C85267"/>
    <w:rsid w:val="00C859C2"/>
    <w:rsid w:val="00C86EFD"/>
    <w:rsid w:val="00C86F32"/>
    <w:rsid w:val="00C8721B"/>
    <w:rsid w:val="00C87621"/>
    <w:rsid w:val="00C901F0"/>
    <w:rsid w:val="00C92FA1"/>
    <w:rsid w:val="00C9372C"/>
    <w:rsid w:val="00C9470E"/>
    <w:rsid w:val="00C95CEB"/>
    <w:rsid w:val="00CA1054"/>
    <w:rsid w:val="00CA4F00"/>
    <w:rsid w:val="00CA63EB"/>
    <w:rsid w:val="00CA6759"/>
    <w:rsid w:val="00CA69F1"/>
    <w:rsid w:val="00CA7733"/>
    <w:rsid w:val="00CB333C"/>
    <w:rsid w:val="00CB372F"/>
    <w:rsid w:val="00CB6991"/>
    <w:rsid w:val="00CB6B3D"/>
    <w:rsid w:val="00CB791F"/>
    <w:rsid w:val="00CC07D9"/>
    <w:rsid w:val="00CC3C8C"/>
    <w:rsid w:val="00CC5326"/>
    <w:rsid w:val="00CC5E65"/>
    <w:rsid w:val="00CC6194"/>
    <w:rsid w:val="00CC6305"/>
    <w:rsid w:val="00CC78A5"/>
    <w:rsid w:val="00CD0516"/>
    <w:rsid w:val="00CD1636"/>
    <w:rsid w:val="00CD1BE9"/>
    <w:rsid w:val="00CD2020"/>
    <w:rsid w:val="00CD379E"/>
    <w:rsid w:val="00CD478F"/>
    <w:rsid w:val="00CD4CBE"/>
    <w:rsid w:val="00CD6F06"/>
    <w:rsid w:val="00CD756B"/>
    <w:rsid w:val="00CE2D18"/>
    <w:rsid w:val="00CE734F"/>
    <w:rsid w:val="00CF112E"/>
    <w:rsid w:val="00CF4EB7"/>
    <w:rsid w:val="00CF5F4F"/>
    <w:rsid w:val="00CF65E8"/>
    <w:rsid w:val="00D01F2F"/>
    <w:rsid w:val="00D02702"/>
    <w:rsid w:val="00D05162"/>
    <w:rsid w:val="00D06BF5"/>
    <w:rsid w:val="00D21624"/>
    <w:rsid w:val="00D218DC"/>
    <w:rsid w:val="00D24E56"/>
    <w:rsid w:val="00D31153"/>
    <w:rsid w:val="00D31643"/>
    <w:rsid w:val="00D31AEB"/>
    <w:rsid w:val="00D32ECD"/>
    <w:rsid w:val="00D350D1"/>
    <w:rsid w:val="00D35BB7"/>
    <w:rsid w:val="00D35EEF"/>
    <w:rsid w:val="00D361E4"/>
    <w:rsid w:val="00D42A8F"/>
    <w:rsid w:val="00D439F6"/>
    <w:rsid w:val="00D45436"/>
    <w:rsid w:val="00D459C6"/>
    <w:rsid w:val="00D4785E"/>
    <w:rsid w:val="00D50729"/>
    <w:rsid w:val="00D50C19"/>
    <w:rsid w:val="00D52759"/>
    <w:rsid w:val="00D5379E"/>
    <w:rsid w:val="00D540F9"/>
    <w:rsid w:val="00D54850"/>
    <w:rsid w:val="00D56831"/>
    <w:rsid w:val="00D56A22"/>
    <w:rsid w:val="00D56D93"/>
    <w:rsid w:val="00D62643"/>
    <w:rsid w:val="00D636D4"/>
    <w:rsid w:val="00D64C0F"/>
    <w:rsid w:val="00D72B79"/>
    <w:rsid w:val="00D72EFE"/>
    <w:rsid w:val="00D752F7"/>
    <w:rsid w:val="00D75C04"/>
    <w:rsid w:val="00D76227"/>
    <w:rsid w:val="00D77DF1"/>
    <w:rsid w:val="00D804A3"/>
    <w:rsid w:val="00D83EAB"/>
    <w:rsid w:val="00D8530C"/>
    <w:rsid w:val="00D85C10"/>
    <w:rsid w:val="00D86AFF"/>
    <w:rsid w:val="00D86E3D"/>
    <w:rsid w:val="00D92880"/>
    <w:rsid w:val="00D946AA"/>
    <w:rsid w:val="00D94784"/>
    <w:rsid w:val="00D95A44"/>
    <w:rsid w:val="00D95D16"/>
    <w:rsid w:val="00D975B2"/>
    <w:rsid w:val="00D97C76"/>
    <w:rsid w:val="00DA199C"/>
    <w:rsid w:val="00DA58B8"/>
    <w:rsid w:val="00DB02B4"/>
    <w:rsid w:val="00DB1780"/>
    <w:rsid w:val="00DB1EAF"/>
    <w:rsid w:val="00DB4D74"/>
    <w:rsid w:val="00DB538D"/>
    <w:rsid w:val="00DB6942"/>
    <w:rsid w:val="00DB7516"/>
    <w:rsid w:val="00DC275C"/>
    <w:rsid w:val="00DC2B98"/>
    <w:rsid w:val="00DC4B0D"/>
    <w:rsid w:val="00DC721B"/>
    <w:rsid w:val="00DC7FE1"/>
    <w:rsid w:val="00DD1AE1"/>
    <w:rsid w:val="00DD3F3F"/>
    <w:rsid w:val="00DD4712"/>
    <w:rsid w:val="00DD5572"/>
    <w:rsid w:val="00DD5B2B"/>
    <w:rsid w:val="00DE04FA"/>
    <w:rsid w:val="00DE067D"/>
    <w:rsid w:val="00DE10C0"/>
    <w:rsid w:val="00DE5D80"/>
    <w:rsid w:val="00DE641E"/>
    <w:rsid w:val="00DF0344"/>
    <w:rsid w:val="00DF0ED9"/>
    <w:rsid w:val="00DF58CD"/>
    <w:rsid w:val="00DF65DE"/>
    <w:rsid w:val="00DF70EB"/>
    <w:rsid w:val="00DF7F3A"/>
    <w:rsid w:val="00E019A5"/>
    <w:rsid w:val="00E02EC8"/>
    <w:rsid w:val="00E02F3C"/>
    <w:rsid w:val="00E037F5"/>
    <w:rsid w:val="00E04ECB"/>
    <w:rsid w:val="00E04F1C"/>
    <w:rsid w:val="00E05A09"/>
    <w:rsid w:val="00E06CA1"/>
    <w:rsid w:val="00E07DBD"/>
    <w:rsid w:val="00E14AA9"/>
    <w:rsid w:val="00E172B8"/>
    <w:rsid w:val="00E17FB4"/>
    <w:rsid w:val="00E20B75"/>
    <w:rsid w:val="00E214F2"/>
    <w:rsid w:val="00E2371E"/>
    <w:rsid w:val="00E24BD7"/>
    <w:rsid w:val="00E26523"/>
    <w:rsid w:val="00E26644"/>
    <w:rsid w:val="00E26809"/>
    <w:rsid w:val="00E3069A"/>
    <w:rsid w:val="00E3103A"/>
    <w:rsid w:val="00E31E72"/>
    <w:rsid w:val="00E3412D"/>
    <w:rsid w:val="00E348C9"/>
    <w:rsid w:val="00E41741"/>
    <w:rsid w:val="00E423CA"/>
    <w:rsid w:val="00E472D8"/>
    <w:rsid w:val="00E518C8"/>
    <w:rsid w:val="00E524CC"/>
    <w:rsid w:val="00E52899"/>
    <w:rsid w:val="00E57322"/>
    <w:rsid w:val="00E61AA6"/>
    <w:rsid w:val="00E61BF7"/>
    <w:rsid w:val="00E628CB"/>
    <w:rsid w:val="00E62AD9"/>
    <w:rsid w:val="00E638C8"/>
    <w:rsid w:val="00E649BB"/>
    <w:rsid w:val="00E73DD3"/>
    <w:rsid w:val="00E7509B"/>
    <w:rsid w:val="00E7578C"/>
    <w:rsid w:val="00E75A51"/>
    <w:rsid w:val="00E77DDC"/>
    <w:rsid w:val="00E80D33"/>
    <w:rsid w:val="00E82549"/>
    <w:rsid w:val="00E84036"/>
    <w:rsid w:val="00E86590"/>
    <w:rsid w:val="00E86839"/>
    <w:rsid w:val="00E907FF"/>
    <w:rsid w:val="00E95C01"/>
    <w:rsid w:val="00E96DAF"/>
    <w:rsid w:val="00E972A6"/>
    <w:rsid w:val="00E97E81"/>
    <w:rsid w:val="00EA42D1"/>
    <w:rsid w:val="00EA42EF"/>
    <w:rsid w:val="00EA5E5B"/>
    <w:rsid w:val="00EA74DB"/>
    <w:rsid w:val="00EB03CB"/>
    <w:rsid w:val="00EB054F"/>
    <w:rsid w:val="00EB2DD1"/>
    <w:rsid w:val="00EB3506"/>
    <w:rsid w:val="00EB39A8"/>
    <w:rsid w:val="00EB5809"/>
    <w:rsid w:val="00EB6AA4"/>
    <w:rsid w:val="00EB6B37"/>
    <w:rsid w:val="00EC2692"/>
    <w:rsid w:val="00EC29FE"/>
    <w:rsid w:val="00EC3470"/>
    <w:rsid w:val="00EC3C70"/>
    <w:rsid w:val="00EC3DFD"/>
    <w:rsid w:val="00EC6618"/>
    <w:rsid w:val="00EC6B7B"/>
    <w:rsid w:val="00ED1FF9"/>
    <w:rsid w:val="00ED3A3D"/>
    <w:rsid w:val="00ED538A"/>
    <w:rsid w:val="00ED6FBC"/>
    <w:rsid w:val="00EE2F16"/>
    <w:rsid w:val="00EE3861"/>
    <w:rsid w:val="00EF14C6"/>
    <w:rsid w:val="00EF2E73"/>
    <w:rsid w:val="00EF7683"/>
    <w:rsid w:val="00EF7A2D"/>
    <w:rsid w:val="00F0101D"/>
    <w:rsid w:val="00F04A53"/>
    <w:rsid w:val="00F04F8D"/>
    <w:rsid w:val="00F07BEF"/>
    <w:rsid w:val="00F1032F"/>
    <w:rsid w:val="00F10AD0"/>
    <w:rsid w:val="00F112CE"/>
    <w:rsid w:val="00F116CC"/>
    <w:rsid w:val="00F12BD1"/>
    <w:rsid w:val="00F15327"/>
    <w:rsid w:val="00F168CF"/>
    <w:rsid w:val="00F2555C"/>
    <w:rsid w:val="00F25822"/>
    <w:rsid w:val="00F269C3"/>
    <w:rsid w:val="00F31DF3"/>
    <w:rsid w:val="00F32288"/>
    <w:rsid w:val="00F33AE5"/>
    <w:rsid w:val="00F3597D"/>
    <w:rsid w:val="00F4376D"/>
    <w:rsid w:val="00F4435C"/>
    <w:rsid w:val="00F45399"/>
    <w:rsid w:val="00F465EA"/>
    <w:rsid w:val="00F47C46"/>
    <w:rsid w:val="00F47F20"/>
    <w:rsid w:val="00F54E7B"/>
    <w:rsid w:val="00F55A88"/>
    <w:rsid w:val="00F55C7F"/>
    <w:rsid w:val="00F56345"/>
    <w:rsid w:val="00F571F5"/>
    <w:rsid w:val="00F6050C"/>
    <w:rsid w:val="00F633B4"/>
    <w:rsid w:val="00F65A85"/>
    <w:rsid w:val="00F6701E"/>
    <w:rsid w:val="00F707E8"/>
    <w:rsid w:val="00F734DF"/>
    <w:rsid w:val="00F74005"/>
    <w:rsid w:val="00F76884"/>
    <w:rsid w:val="00F82FF1"/>
    <w:rsid w:val="00F83D24"/>
    <w:rsid w:val="00F83DD9"/>
    <w:rsid w:val="00F83F40"/>
    <w:rsid w:val="00F84F7B"/>
    <w:rsid w:val="00F91272"/>
    <w:rsid w:val="00F96F18"/>
    <w:rsid w:val="00FA117A"/>
    <w:rsid w:val="00FB386A"/>
    <w:rsid w:val="00FB7348"/>
    <w:rsid w:val="00FC0786"/>
    <w:rsid w:val="00FC3AFA"/>
    <w:rsid w:val="00FC49EF"/>
    <w:rsid w:val="00FC5EBB"/>
    <w:rsid w:val="00FD5252"/>
    <w:rsid w:val="00FD5F69"/>
    <w:rsid w:val="00FD689C"/>
    <w:rsid w:val="00FE09B1"/>
    <w:rsid w:val="00FE16D2"/>
    <w:rsid w:val="00FE192C"/>
    <w:rsid w:val="00FE301B"/>
    <w:rsid w:val="00FE36E2"/>
    <w:rsid w:val="00FE5719"/>
    <w:rsid w:val="00FE6A1B"/>
    <w:rsid w:val="00FF11AD"/>
    <w:rsid w:val="00FF2971"/>
    <w:rsid w:val="00FF34D4"/>
    <w:rsid w:val="00FF5AF5"/>
    <w:rsid w:val="00FF613F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72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17C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047A7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0328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1780"/>
    <w:rPr>
      <w:color w:val="808080"/>
      <w:shd w:val="clear" w:color="auto" w:fill="E6E6E6"/>
    </w:rPr>
  </w:style>
  <w:style w:type="character" w:customStyle="1" w:styleId="nostyle">
    <w:name w:val="nostyle"/>
    <w:basedOn w:val="Domylnaczcionkaakapitu"/>
    <w:rsid w:val="00003315"/>
  </w:style>
  <w:style w:type="table" w:styleId="Tabelasiatki3">
    <w:name w:val="Grid Table 3"/>
    <w:basedOn w:val="Standardowy"/>
    <w:uiPriority w:val="48"/>
    <w:rsid w:val="0068268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Zwykatabela1">
    <w:name w:val="Plain Table 1"/>
    <w:basedOn w:val="Standardowy"/>
    <w:uiPriority w:val="41"/>
    <w:rsid w:val="005D342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USTustnpkodeksu">
    <w:name w:val="UST(§) – ust. (§ np. kodeksu)"/>
    <w:basedOn w:val="Normalny"/>
    <w:uiPriority w:val="12"/>
    <w:qFormat/>
    <w:rsid w:val="004348F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55FC1"/>
    <w:rPr>
      <w:b/>
      <w:bCs/>
    </w:rPr>
  </w:style>
  <w:style w:type="table" w:styleId="Zwykatabela3">
    <w:name w:val="Plain Table 3"/>
    <w:basedOn w:val="Standardowy"/>
    <w:uiPriority w:val="43"/>
    <w:rsid w:val="00F6701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F6701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1jasna">
    <w:name w:val="List Table 1 Light"/>
    <w:basedOn w:val="Standardowy"/>
    <w:uiPriority w:val="46"/>
    <w:rsid w:val="00385D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669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472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37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1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465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061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77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74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57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22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ir.gov.pl/strony/strategia-na-rzecz-odpowiedzialnego-rozwoju/informacje-o-strateg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AC315-FFBF-4936-8113-9E2C9B83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2967</Words>
  <Characters>20134</Characters>
  <Application>Microsoft Office Word</Application>
  <DocSecurity>4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23055</CharactersWithSpaces>
  <SharedDoc>false</SharedDoc>
  <HLinks>
    <vt:vector size="6" baseType="variant">
      <vt:variant>
        <vt:i4>3997725</vt:i4>
      </vt:variant>
      <vt:variant>
        <vt:i4>0</vt:i4>
      </vt:variant>
      <vt:variant>
        <vt:i4>0</vt:i4>
      </vt:variant>
      <vt:variant>
        <vt:i4>5</vt:i4>
      </vt:variant>
      <vt:variant>
        <vt:lpwstr>mailto:marianna.sidoroff@mr.gov.pl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2020-08-12T14:19:00Z</dcterms:created>
  <dcterms:modified xsi:type="dcterms:W3CDTF">2020-08-12T14:19:00Z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-1230230865</vt:i4>
  </property>
</Properties>
</file>