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61"/>
        <w:gridCol w:w="66"/>
        <w:gridCol w:w="628"/>
        <w:gridCol w:w="339"/>
        <w:gridCol w:w="683"/>
        <w:gridCol w:w="683"/>
        <w:gridCol w:w="683"/>
        <w:gridCol w:w="683"/>
        <w:gridCol w:w="683"/>
        <w:gridCol w:w="683"/>
        <w:gridCol w:w="683"/>
        <w:gridCol w:w="683"/>
        <w:gridCol w:w="683"/>
        <w:gridCol w:w="683"/>
        <w:gridCol w:w="1133"/>
      </w:tblGrid>
      <w:tr w:rsidR="006A701A" w:rsidRPr="00890C68" w:rsidTr="000A55BD">
        <w:trPr>
          <w:trHeight w:val="1611"/>
        </w:trPr>
        <w:tc>
          <w:tcPr>
            <w:tcW w:w="6509" w:type="dxa"/>
            <w:gridSpan w:val="9"/>
          </w:tcPr>
          <w:p w:rsidR="00D705AD" w:rsidRPr="00890C68" w:rsidRDefault="00D705AD" w:rsidP="00D705AD">
            <w:pPr>
              <w:spacing w:line="240" w:lineRule="auto"/>
              <w:ind w:hanging="34"/>
              <w:rPr>
                <w:rFonts w:ascii="Times New Roman" w:hAnsi="Times New Roman"/>
                <w:b/>
                <w:color w:val="000000"/>
              </w:rPr>
            </w:pPr>
            <w:bookmarkStart w:id="0" w:name="_GoBack"/>
            <w:bookmarkEnd w:id="0"/>
            <w:r w:rsidRPr="00890C68">
              <w:rPr>
                <w:rFonts w:ascii="Times New Roman" w:hAnsi="Times New Roman"/>
                <w:b/>
                <w:color w:val="000000"/>
              </w:rPr>
              <w:t>Nazwa projektu</w:t>
            </w:r>
          </w:p>
          <w:p w:rsidR="00D705AD" w:rsidRPr="00890C68" w:rsidRDefault="00D705AD" w:rsidP="00D705AD">
            <w:pPr>
              <w:spacing w:line="240" w:lineRule="auto"/>
              <w:ind w:hanging="34"/>
              <w:rPr>
                <w:rFonts w:ascii="Times New Roman" w:hAnsi="Times New Roman"/>
                <w:color w:val="000000"/>
              </w:rPr>
            </w:pPr>
            <w:r w:rsidRPr="00890C68">
              <w:rPr>
                <w:rFonts w:ascii="Times New Roman" w:hAnsi="Times New Roman"/>
                <w:color w:val="000000"/>
              </w:rPr>
              <w:t>Ustawa o zmianie ustawy - Prawo energetyczne oraz niektórych innych ustaw</w:t>
            </w:r>
          </w:p>
          <w:p w:rsidR="0058053B" w:rsidRPr="00890C68" w:rsidRDefault="0058053B" w:rsidP="00D705AD">
            <w:pPr>
              <w:spacing w:line="240" w:lineRule="auto"/>
              <w:ind w:hanging="34"/>
              <w:rPr>
                <w:rFonts w:ascii="Times New Roman" w:hAnsi="Times New Roman"/>
                <w:color w:val="000000"/>
              </w:rPr>
            </w:pPr>
          </w:p>
          <w:p w:rsidR="00D705AD" w:rsidRPr="00890C68" w:rsidRDefault="00D705AD" w:rsidP="00D705AD">
            <w:pPr>
              <w:spacing w:line="240" w:lineRule="auto"/>
              <w:ind w:hanging="34"/>
              <w:rPr>
                <w:rFonts w:ascii="Times New Roman" w:hAnsi="Times New Roman"/>
                <w:b/>
                <w:color w:val="000000"/>
              </w:rPr>
            </w:pPr>
            <w:r w:rsidRPr="00890C68">
              <w:rPr>
                <w:rFonts w:ascii="Times New Roman" w:hAnsi="Times New Roman"/>
                <w:b/>
                <w:color w:val="000000"/>
              </w:rPr>
              <w:t>Ministerstwo wiodące i ministerstwa współpracujące</w:t>
            </w:r>
          </w:p>
          <w:p w:rsidR="00D705AD" w:rsidRPr="00890C68" w:rsidRDefault="000B1AAB" w:rsidP="00D705AD">
            <w:pPr>
              <w:spacing w:line="240" w:lineRule="auto"/>
              <w:ind w:hanging="34"/>
              <w:rPr>
                <w:rFonts w:ascii="Times New Roman" w:hAnsi="Times New Roman"/>
                <w:color w:val="000000"/>
              </w:rPr>
            </w:pPr>
            <w:r>
              <w:rPr>
                <w:rFonts w:ascii="Times New Roman" w:hAnsi="Times New Roman"/>
                <w:color w:val="000000"/>
              </w:rPr>
              <w:t>Ministerstwo Klimatu</w:t>
            </w:r>
          </w:p>
          <w:p w:rsidR="00D705AD" w:rsidRPr="00890C68" w:rsidRDefault="00D705AD" w:rsidP="00D705AD">
            <w:pPr>
              <w:spacing w:line="240" w:lineRule="auto"/>
              <w:ind w:hanging="34"/>
              <w:rPr>
                <w:rFonts w:ascii="Times New Roman" w:hAnsi="Times New Roman"/>
                <w:color w:val="000000"/>
              </w:rPr>
            </w:pPr>
          </w:p>
          <w:p w:rsidR="00D705AD" w:rsidRPr="00890C68" w:rsidRDefault="00D705AD" w:rsidP="00D705AD">
            <w:pPr>
              <w:spacing w:line="240" w:lineRule="auto"/>
              <w:ind w:hanging="34"/>
              <w:rPr>
                <w:rFonts w:ascii="Times New Roman" w:hAnsi="Times New Roman"/>
                <w:b/>
                <w:color w:val="000000"/>
              </w:rPr>
            </w:pPr>
            <w:r w:rsidRPr="00890C68">
              <w:rPr>
                <w:rFonts w:ascii="Times New Roman" w:hAnsi="Times New Roman"/>
                <w:b/>
                <w:color w:val="000000"/>
              </w:rPr>
              <w:t xml:space="preserve">Osoba odpowiedzialna za projekt w randze Ministra, Sekretarza Stanu lub Podsekretarza Stanu </w:t>
            </w:r>
          </w:p>
          <w:p w:rsidR="000B1AAB" w:rsidRPr="00890C68" w:rsidRDefault="004202CB" w:rsidP="00D705AD">
            <w:pPr>
              <w:spacing w:line="240" w:lineRule="auto"/>
              <w:ind w:hanging="34"/>
              <w:rPr>
                <w:rFonts w:ascii="Times New Roman" w:hAnsi="Times New Roman"/>
                <w:color w:val="000000"/>
              </w:rPr>
            </w:pPr>
            <w:r>
              <w:rPr>
                <w:rFonts w:ascii="Times New Roman" w:hAnsi="Times New Roman"/>
                <w:color w:val="000000"/>
              </w:rPr>
              <w:t xml:space="preserve">Pan </w:t>
            </w:r>
            <w:r w:rsidR="00054A55">
              <w:rPr>
                <w:rFonts w:ascii="Times New Roman" w:hAnsi="Times New Roman"/>
                <w:color w:val="000000"/>
              </w:rPr>
              <w:t>Piotr Dziadzio</w:t>
            </w:r>
            <w:r>
              <w:rPr>
                <w:rFonts w:ascii="Times New Roman" w:hAnsi="Times New Roman"/>
                <w:color w:val="000000"/>
              </w:rPr>
              <w:t xml:space="preserve"> – </w:t>
            </w:r>
            <w:r w:rsidR="00054A55">
              <w:rPr>
                <w:rFonts w:ascii="Times New Roman" w:hAnsi="Times New Roman"/>
                <w:color w:val="000000"/>
              </w:rPr>
              <w:t>Sekretarz Stanu w Ministerstwie Klimatu</w:t>
            </w:r>
          </w:p>
          <w:p w:rsidR="00D705AD" w:rsidRPr="00890C68" w:rsidRDefault="00D705AD" w:rsidP="00D705AD">
            <w:pPr>
              <w:spacing w:line="240" w:lineRule="auto"/>
              <w:ind w:hanging="34"/>
              <w:rPr>
                <w:rFonts w:ascii="Times New Roman" w:hAnsi="Times New Roman"/>
                <w:b/>
                <w:color w:val="000000"/>
              </w:rPr>
            </w:pPr>
            <w:r w:rsidRPr="00890C68">
              <w:rPr>
                <w:rFonts w:ascii="Times New Roman" w:hAnsi="Times New Roman"/>
                <w:b/>
                <w:color w:val="000000"/>
              </w:rPr>
              <w:t>Kontakt do opiekuna merytorycznego projektu</w:t>
            </w:r>
          </w:p>
          <w:p w:rsidR="00D705AD" w:rsidRPr="00890C68" w:rsidRDefault="004202CB" w:rsidP="00D705AD">
            <w:pPr>
              <w:spacing w:line="240" w:lineRule="auto"/>
              <w:ind w:hanging="34"/>
              <w:rPr>
                <w:rFonts w:ascii="Times New Roman" w:hAnsi="Times New Roman"/>
                <w:color w:val="000000"/>
              </w:rPr>
            </w:pPr>
            <w:r>
              <w:rPr>
                <w:rFonts w:ascii="Times New Roman" w:hAnsi="Times New Roman"/>
                <w:color w:val="000000"/>
              </w:rPr>
              <w:t xml:space="preserve">Pan </w:t>
            </w:r>
            <w:r w:rsidR="002158A3" w:rsidRPr="00890C68">
              <w:rPr>
                <w:rFonts w:ascii="Times New Roman" w:hAnsi="Times New Roman"/>
                <w:color w:val="000000"/>
              </w:rPr>
              <w:t>Łukasz Bartuszek</w:t>
            </w:r>
          </w:p>
          <w:p w:rsidR="00054A55" w:rsidRDefault="002158A3" w:rsidP="000D2A03">
            <w:pPr>
              <w:spacing w:line="240" w:lineRule="auto"/>
              <w:ind w:hanging="34"/>
              <w:rPr>
                <w:rFonts w:ascii="Times New Roman" w:hAnsi="Times New Roman"/>
                <w:color w:val="000000"/>
              </w:rPr>
            </w:pPr>
            <w:r w:rsidRPr="00890C68">
              <w:rPr>
                <w:rFonts w:ascii="Times New Roman" w:hAnsi="Times New Roman"/>
                <w:color w:val="000000"/>
              </w:rPr>
              <w:t>Główny specjalista</w:t>
            </w:r>
            <w:r w:rsidR="00D705AD" w:rsidRPr="00890C68">
              <w:rPr>
                <w:rFonts w:ascii="Times New Roman" w:hAnsi="Times New Roman"/>
                <w:color w:val="000000"/>
              </w:rPr>
              <w:t xml:space="preserve"> </w:t>
            </w:r>
            <w:r w:rsidR="00054A55">
              <w:rPr>
                <w:rFonts w:ascii="Times New Roman" w:hAnsi="Times New Roman"/>
                <w:color w:val="000000"/>
              </w:rPr>
              <w:t xml:space="preserve">w </w:t>
            </w:r>
            <w:r w:rsidR="00D705AD" w:rsidRPr="00890C68">
              <w:rPr>
                <w:rFonts w:ascii="Times New Roman" w:hAnsi="Times New Roman"/>
                <w:color w:val="000000"/>
              </w:rPr>
              <w:t>Dep</w:t>
            </w:r>
            <w:r w:rsidR="00054A55">
              <w:rPr>
                <w:rFonts w:ascii="Times New Roman" w:hAnsi="Times New Roman"/>
                <w:color w:val="000000"/>
              </w:rPr>
              <w:t>artamencie</w:t>
            </w:r>
            <w:r w:rsidR="00D705AD" w:rsidRPr="00890C68">
              <w:rPr>
                <w:rFonts w:ascii="Times New Roman" w:hAnsi="Times New Roman"/>
                <w:color w:val="000000"/>
              </w:rPr>
              <w:t xml:space="preserve"> E</w:t>
            </w:r>
            <w:r w:rsidR="000D2A03" w:rsidRPr="00890C68">
              <w:rPr>
                <w:rFonts w:ascii="Times New Roman" w:hAnsi="Times New Roman"/>
                <w:color w:val="000000"/>
              </w:rPr>
              <w:t>lektroe</w:t>
            </w:r>
            <w:r w:rsidR="00D705AD" w:rsidRPr="00890C68">
              <w:rPr>
                <w:rFonts w:ascii="Times New Roman" w:hAnsi="Times New Roman"/>
                <w:color w:val="000000"/>
              </w:rPr>
              <w:t>nergetyki</w:t>
            </w:r>
            <w:r w:rsidR="000D2A03" w:rsidRPr="00890C68">
              <w:rPr>
                <w:rFonts w:ascii="Times New Roman" w:hAnsi="Times New Roman"/>
                <w:color w:val="000000"/>
              </w:rPr>
              <w:t xml:space="preserve"> </w:t>
            </w:r>
          </w:p>
          <w:p w:rsidR="00054A55" w:rsidRPr="00054A55" w:rsidRDefault="00054A55" w:rsidP="00054A55">
            <w:pPr>
              <w:spacing w:line="240" w:lineRule="auto"/>
              <w:rPr>
                <w:rFonts w:ascii="Times New Roman" w:hAnsi="Times New Roman"/>
                <w:color w:val="000000"/>
                <w:lang w:val="en-US"/>
              </w:rPr>
            </w:pPr>
            <w:r w:rsidRPr="00054A55">
              <w:rPr>
                <w:rFonts w:ascii="Times New Roman" w:hAnsi="Times New Roman"/>
                <w:color w:val="000000"/>
                <w:lang w:val="en-US"/>
              </w:rPr>
              <w:t xml:space="preserve">E-mail: </w:t>
            </w:r>
            <w:hyperlink r:id="rId8" w:history="1">
              <w:r w:rsidRPr="00054A55">
                <w:rPr>
                  <w:rStyle w:val="Hipercze"/>
                  <w:rFonts w:ascii="Times New Roman" w:hAnsi="Times New Roman"/>
                  <w:lang w:val="en-US"/>
                </w:rPr>
                <w:t>lukasz.bartuszek@klimat.gov.pl</w:t>
              </w:r>
            </w:hyperlink>
          </w:p>
          <w:p w:rsidR="006A701A" w:rsidRPr="00054A55" w:rsidRDefault="00054A55" w:rsidP="00054A55">
            <w:pPr>
              <w:spacing w:line="240" w:lineRule="auto"/>
              <w:rPr>
                <w:rFonts w:ascii="Times New Roman" w:hAnsi="Times New Roman"/>
                <w:color w:val="000000"/>
                <w:lang w:val="en-US"/>
              </w:rPr>
            </w:pPr>
            <w:r>
              <w:rPr>
                <w:rFonts w:ascii="Times New Roman" w:hAnsi="Times New Roman"/>
                <w:color w:val="000000"/>
                <w:lang w:val="en-US"/>
              </w:rPr>
              <w:t>Tel: 22 695 82 65</w:t>
            </w:r>
          </w:p>
        </w:tc>
        <w:tc>
          <w:tcPr>
            <w:tcW w:w="4548" w:type="dxa"/>
            <w:gridSpan w:val="6"/>
            <w:shd w:val="clear" w:color="auto" w:fill="FFFFFF"/>
          </w:tcPr>
          <w:p w:rsidR="001B3460" w:rsidRPr="00890C68" w:rsidRDefault="001B3460" w:rsidP="001B3460">
            <w:pPr>
              <w:spacing w:line="240" w:lineRule="auto"/>
              <w:rPr>
                <w:rFonts w:ascii="Times New Roman" w:hAnsi="Times New Roman"/>
                <w:b/>
                <w:sz w:val="21"/>
                <w:szCs w:val="21"/>
              </w:rPr>
            </w:pPr>
            <w:r w:rsidRPr="00890C68">
              <w:rPr>
                <w:rFonts w:ascii="Times New Roman" w:hAnsi="Times New Roman"/>
                <w:b/>
                <w:sz w:val="21"/>
                <w:szCs w:val="21"/>
              </w:rPr>
              <w:t>Data sporządzenia</w:t>
            </w:r>
            <w:r w:rsidRPr="00890C68">
              <w:rPr>
                <w:rFonts w:ascii="Times New Roman" w:hAnsi="Times New Roman"/>
                <w:b/>
                <w:sz w:val="21"/>
                <w:szCs w:val="21"/>
              </w:rPr>
              <w:br/>
            </w:r>
            <w:r w:rsidR="00054A55">
              <w:rPr>
                <w:rFonts w:ascii="Times New Roman" w:hAnsi="Times New Roman"/>
                <w:sz w:val="21"/>
                <w:szCs w:val="21"/>
              </w:rPr>
              <w:t>19</w:t>
            </w:r>
            <w:r w:rsidR="008B59AD" w:rsidRPr="00890C68">
              <w:rPr>
                <w:rFonts w:ascii="Times New Roman" w:hAnsi="Times New Roman"/>
                <w:sz w:val="21"/>
                <w:szCs w:val="21"/>
              </w:rPr>
              <w:t>.</w:t>
            </w:r>
            <w:r w:rsidR="00054A55">
              <w:rPr>
                <w:rFonts w:ascii="Times New Roman" w:hAnsi="Times New Roman"/>
                <w:sz w:val="21"/>
                <w:szCs w:val="21"/>
              </w:rPr>
              <w:t>06.</w:t>
            </w:r>
            <w:r w:rsidR="000B1AAB">
              <w:rPr>
                <w:rFonts w:ascii="Times New Roman" w:hAnsi="Times New Roman"/>
                <w:sz w:val="21"/>
                <w:szCs w:val="21"/>
              </w:rPr>
              <w:t>2020</w:t>
            </w:r>
            <w:r w:rsidR="00D705AD" w:rsidRPr="00890C68">
              <w:rPr>
                <w:rFonts w:ascii="Times New Roman" w:hAnsi="Times New Roman"/>
                <w:sz w:val="21"/>
                <w:szCs w:val="21"/>
              </w:rPr>
              <w:t xml:space="preserve"> r.</w:t>
            </w:r>
          </w:p>
          <w:p w:rsidR="00F76884" w:rsidRPr="00890C68" w:rsidRDefault="00F76884" w:rsidP="00F76884">
            <w:pPr>
              <w:spacing w:line="240" w:lineRule="auto"/>
              <w:rPr>
                <w:rFonts w:ascii="Times New Roman" w:hAnsi="Times New Roman"/>
                <w:b/>
              </w:rPr>
            </w:pPr>
          </w:p>
          <w:p w:rsidR="00F76884" w:rsidRPr="00890C68" w:rsidRDefault="00F76884" w:rsidP="00F76884">
            <w:pPr>
              <w:spacing w:line="240" w:lineRule="auto"/>
              <w:rPr>
                <w:rFonts w:ascii="Times New Roman" w:hAnsi="Times New Roman"/>
                <w:b/>
              </w:rPr>
            </w:pPr>
            <w:r w:rsidRPr="00890C68">
              <w:rPr>
                <w:rFonts w:ascii="Times New Roman" w:hAnsi="Times New Roman"/>
                <w:b/>
              </w:rPr>
              <w:t xml:space="preserve">Źródło: </w:t>
            </w:r>
            <w:bookmarkStart w:id="1" w:name="Lista1"/>
          </w:p>
          <w:bookmarkEnd w:id="1"/>
          <w:p w:rsidR="00F76884" w:rsidRPr="00890C68" w:rsidRDefault="00F76884" w:rsidP="00F76884">
            <w:pPr>
              <w:spacing w:line="240" w:lineRule="auto"/>
              <w:rPr>
                <w:rFonts w:ascii="Times New Roman" w:hAnsi="Times New Roman"/>
              </w:rPr>
            </w:pPr>
          </w:p>
          <w:p w:rsidR="006A701A" w:rsidRPr="00890C68" w:rsidRDefault="006A701A" w:rsidP="007943E2">
            <w:pPr>
              <w:spacing w:before="120" w:line="240" w:lineRule="auto"/>
              <w:rPr>
                <w:rFonts w:ascii="Times New Roman" w:hAnsi="Times New Roman"/>
                <w:b/>
                <w:color w:val="000000"/>
              </w:rPr>
            </w:pPr>
            <w:r w:rsidRPr="00890C68">
              <w:rPr>
                <w:rFonts w:ascii="Times New Roman" w:hAnsi="Times New Roman"/>
                <w:b/>
                <w:color w:val="000000"/>
              </w:rPr>
              <w:t xml:space="preserve">Nr </w:t>
            </w:r>
            <w:r w:rsidR="0057668E" w:rsidRPr="00890C68">
              <w:rPr>
                <w:rFonts w:ascii="Times New Roman" w:hAnsi="Times New Roman"/>
                <w:b/>
                <w:color w:val="000000"/>
              </w:rPr>
              <w:t>w</w:t>
            </w:r>
            <w:r w:rsidRPr="00890C68">
              <w:rPr>
                <w:rFonts w:ascii="Times New Roman" w:hAnsi="Times New Roman"/>
                <w:b/>
                <w:color w:val="000000"/>
              </w:rPr>
              <w:t xml:space="preserve"> wykaz</w:t>
            </w:r>
            <w:r w:rsidR="0057668E" w:rsidRPr="00890C68">
              <w:rPr>
                <w:rFonts w:ascii="Times New Roman" w:hAnsi="Times New Roman"/>
                <w:b/>
                <w:color w:val="000000"/>
              </w:rPr>
              <w:t>ie</w:t>
            </w:r>
            <w:r w:rsidRPr="00890C68">
              <w:rPr>
                <w:rFonts w:ascii="Times New Roman" w:hAnsi="Times New Roman"/>
                <w:b/>
                <w:color w:val="000000"/>
              </w:rPr>
              <w:t xml:space="preserve"> prac</w:t>
            </w:r>
          </w:p>
          <w:p w:rsidR="00091AE9" w:rsidRPr="00890C68" w:rsidRDefault="000B1AAB" w:rsidP="007943E2">
            <w:pPr>
              <w:spacing w:line="240" w:lineRule="auto"/>
              <w:rPr>
                <w:rFonts w:ascii="Times New Roman" w:hAnsi="Times New Roman"/>
                <w:color w:val="000000"/>
              </w:rPr>
            </w:pPr>
            <w:r>
              <w:rPr>
                <w:rFonts w:ascii="Times New Roman" w:hAnsi="Times New Roman"/>
                <w:color w:val="000000"/>
              </w:rPr>
              <w:t xml:space="preserve"> UC17</w:t>
            </w:r>
          </w:p>
          <w:p w:rsidR="006A701A" w:rsidRPr="00890C68" w:rsidRDefault="006A701A" w:rsidP="00A17CB2">
            <w:pPr>
              <w:spacing w:line="240" w:lineRule="auto"/>
              <w:rPr>
                <w:rFonts w:ascii="Times New Roman" w:hAnsi="Times New Roman"/>
                <w:color w:val="000000"/>
                <w:sz w:val="28"/>
                <w:szCs w:val="28"/>
              </w:rPr>
            </w:pPr>
          </w:p>
        </w:tc>
      </w:tr>
      <w:tr w:rsidR="006A701A" w:rsidRPr="00890C68" w:rsidTr="00641996">
        <w:trPr>
          <w:trHeight w:val="142"/>
        </w:trPr>
        <w:tc>
          <w:tcPr>
            <w:tcW w:w="11057" w:type="dxa"/>
            <w:gridSpan w:val="15"/>
            <w:shd w:val="clear" w:color="auto" w:fill="99CCFF"/>
          </w:tcPr>
          <w:p w:rsidR="006A701A" w:rsidRPr="00890C68" w:rsidRDefault="006A701A" w:rsidP="001B4CA1">
            <w:pPr>
              <w:spacing w:line="240" w:lineRule="auto"/>
              <w:ind w:left="57"/>
              <w:jc w:val="center"/>
              <w:rPr>
                <w:rFonts w:ascii="Times New Roman" w:hAnsi="Times New Roman"/>
                <w:b/>
                <w:color w:val="FFFFFF"/>
                <w:sz w:val="32"/>
                <w:szCs w:val="32"/>
              </w:rPr>
            </w:pPr>
            <w:r w:rsidRPr="00890C68">
              <w:rPr>
                <w:rFonts w:ascii="Times New Roman" w:hAnsi="Times New Roman"/>
                <w:b/>
                <w:color w:val="FFFFFF"/>
                <w:sz w:val="32"/>
                <w:szCs w:val="32"/>
              </w:rPr>
              <w:t>OCENA SKUTKÓW REGULACJI</w:t>
            </w:r>
          </w:p>
        </w:tc>
      </w:tr>
      <w:tr w:rsidR="006A701A" w:rsidRPr="00890C68" w:rsidTr="00641996">
        <w:trPr>
          <w:trHeight w:val="333"/>
        </w:trPr>
        <w:tc>
          <w:tcPr>
            <w:tcW w:w="11057" w:type="dxa"/>
            <w:gridSpan w:val="15"/>
            <w:shd w:val="clear" w:color="auto" w:fill="99CCFF"/>
            <w:vAlign w:val="center"/>
          </w:tcPr>
          <w:p w:rsidR="006A701A" w:rsidRPr="00890C68" w:rsidRDefault="003D12F6" w:rsidP="006A701A">
            <w:pPr>
              <w:numPr>
                <w:ilvl w:val="0"/>
                <w:numId w:val="3"/>
              </w:numPr>
              <w:spacing w:before="60" w:after="60" w:line="240" w:lineRule="auto"/>
              <w:ind w:left="318" w:hanging="284"/>
              <w:jc w:val="both"/>
              <w:rPr>
                <w:rFonts w:ascii="Times New Roman" w:hAnsi="Times New Roman"/>
                <w:b/>
                <w:color w:val="000000"/>
              </w:rPr>
            </w:pPr>
            <w:r w:rsidRPr="00890C68">
              <w:rPr>
                <w:rFonts w:ascii="Times New Roman" w:hAnsi="Times New Roman"/>
                <w:b/>
              </w:rPr>
              <w:t xml:space="preserve">Jaki problem jest </w:t>
            </w:r>
            <w:r w:rsidR="00CC6305" w:rsidRPr="00890C68">
              <w:rPr>
                <w:rFonts w:ascii="Times New Roman" w:hAnsi="Times New Roman"/>
                <w:b/>
              </w:rPr>
              <w:t>rozwiązywany?</w:t>
            </w:r>
            <w:bookmarkStart w:id="2" w:name="Wybór1"/>
            <w:bookmarkEnd w:id="2"/>
          </w:p>
        </w:tc>
      </w:tr>
      <w:tr w:rsidR="006A701A" w:rsidRPr="00890C68" w:rsidTr="00641996">
        <w:trPr>
          <w:trHeight w:val="142"/>
        </w:trPr>
        <w:tc>
          <w:tcPr>
            <w:tcW w:w="11057" w:type="dxa"/>
            <w:gridSpan w:val="15"/>
            <w:shd w:val="clear" w:color="auto" w:fill="FFFFFF"/>
          </w:tcPr>
          <w:p w:rsidR="00D705AD" w:rsidRPr="00890C68" w:rsidRDefault="00D705AD" w:rsidP="00D705AD">
            <w:pPr>
              <w:spacing w:line="240" w:lineRule="auto"/>
              <w:jc w:val="both"/>
              <w:rPr>
                <w:rFonts w:ascii="Times New Roman" w:hAnsi="Times New Roman"/>
                <w:color w:val="000000"/>
              </w:rPr>
            </w:pPr>
            <w:r w:rsidRPr="00890C68">
              <w:rPr>
                <w:rFonts w:ascii="Times New Roman" w:hAnsi="Times New Roman"/>
                <w:color w:val="000000"/>
              </w:rPr>
              <w:t>1. Obecnie brak jest przepisów krajowych niezbędnych do prawidłowego i skutecznego stosowania rozporządzenia Parlamentu Europejskiego i Rady (UE) 2015/1222 z dnia 24 lipca 2015 r. ustanawiającego wytyczne dotyczące alokacji zdolności przesyłowych i zarządzania ograniczeniami przesyłowymi (Dz. Urz. UE L 197 z 25.7.2015, str. 24).</w:t>
            </w:r>
          </w:p>
          <w:p w:rsidR="00D71B84" w:rsidRPr="00890C68" w:rsidRDefault="00D71B84" w:rsidP="00D705AD">
            <w:pPr>
              <w:spacing w:line="240" w:lineRule="auto"/>
              <w:jc w:val="both"/>
              <w:rPr>
                <w:rFonts w:ascii="Times New Roman" w:hAnsi="Times New Roman"/>
                <w:color w:val="000000"/>
              </w:rPr>
            </w:pPr>
          </w:p>
          <w:p w:rsidR="00D71B84" w:rsidRPr="00890C68" w:rsidRDefault="00D71B84" w:rsidP="00D705AD">
            <w:pPr>
              <w:spacing w:line="240" w:lineRule="auto"/>
              <w:jc w:val="both"/>
              <w:rPr>
                <w:rFonts w:ascii="Times New Roman" w:hAnsi="Times New Roman"/>
                <w:color w:val="000000"/>
              </w:rPr>
            </w:pPr>
            <w:r w:rsidRPr="00890C68">
              <w:rPr>
                <w:rFonts w:ascii="Times New Roman" w:hAnsi="Times New Roman"/>
                <w:color w:val="000000"/>
              </w:rPr>
              <w:t>2. Zachodzi potrzeba urealnienia kosztów ponoszonych przez właścicieli pojazdów oddających energię elektryczną do sieci trakcyjnej w następstwie hamowania, odzwierciedlających rzeczywiste zużycie energii elektrycznej i korzystanie z sieci.</w:t>
            </w:r>
          </w:p>
          <w:p w:rsidR="00D705AD" w:rsidRPr="00890C68" w:rsidRDefault="00D705AD" w:rsidP="00D705AD">
            <w:pPr>
              <w:spacing w:line="240" w:lineRule="auto"/>
              <w:jc w:val="both"/>
              <w:rPr>
                <w:rFonts w:ascii="Times New Roman" w:hAnsi="Times New Roman"/>
                <w:color w:val="000000"/>
              </w:rPr>
            </w:pPr>
          </w:p>
          <w:p w:rsidR="0058053B" w:rsidRPr="00890C68" w:rsidRDefault="0058053B" w:rsidP="00D705AD">
            <w:pPr>
              <w:spacing w:line="240" w:lineRule="auto"/>
              <w:jc w:val="both"/>
              <w:rPr>
                <w:rFonts w:ascii="Times New Roman" w:hAnsi="Times New Roman"/>
                <w:color w:val="000000"/>
              </w:rPr>
            </w:pPr>
            <w:r w:rsidRPr="00890C68">
              <w:rPr>
                <w:rFonts w:ascii="Times New Roman" w:hAnsi="Times New Roman"/>
                <w:color w:val="000000"/>
              </w:rPr>
              <w:t>3. Zachodzi również potrzeba zwiększenia zakresu nadzoru nad warunkami świadczenia usług magazynowania co powinno przyczynić się do zwiększenia przejrzystości zasad funkcjonowania operatora systemu magazynowania.</w:t>
            </w:r>
          </w:p>
          <w:p w:rsidR="00D705AD" w:rsidRPr="00890C68" w:rsidRDefault="00D705AD" w:rsidP="00D705AD">
            <w:pPr>
              <w:spacing w:line="240" w:lineRule="auto"/>
              <w:jc w:val="both"/>
              <w:rPr>
                <w:rFonts w:ascii="Times New Roman" w:hAnsi="Times New Roman"/>
                <w:color w:val="000000"/>
              </w:rPr>
            </w:pPr>
          </w:p>
          <w:p w:rsidR="00D705AD" w:rsidRPr="00890C68" w:rsidRDefault="00544AB2" w:rsidP="00D705AD">
            <w:pPr>
              <w:spacing w:line="240" w:lineRule="auto"/>
              <w:jc w:val="both"/>
              <w:rPr>
                <w:rFonts w:ascii="Times New Roman" w:hAnsi="Times New Roman"/>
                <w:color w:val="000000"/>
              </w:rPr>
            </w:pPr>
            <w:r>
              <w:rPr>
                <w:rFonts w:ascii="Times New Roman" w:hAnsi="Times New Roman"/>
                <w:color w:val="000000"/>
              </w:rPr>
              <w:t>4</w:t>
            </w:r>
            <w:r w:rsidR="00D705AD" w:rsidRPr="00890C68">
              <w:rPr>
                <w:rFonts w:ascii="Times New Roman" w:hAnsi="Times New Roman"/>
                <w:color w:val="000000"/>
              </w:rPr>
              <w:t xml:space="preserve">. Wpływ pracy urządzeń, instalacji i sieci energetycznych na zdrowie i życie człowieka oraz na bezpieczeństwo pracy systemu elektroenergetycznego wymaga aby powoływanie komisji kwalifikacyjnych oraz uznawanie świadectw kwalifikacyjnych </w:t>
            </w:r>
            <w:r w:rsidR="0002682A" w:rsidRPr="00890C68">
              <w:rPr>
                <w:rFonts w:ascii="Times New Roman" w:hAnsi="Times New Roman"/>
                <w:color w:val="000000"/>
              </w:rPr>
              <w:t>zostało uregulowane w sposób gwarantujący najwyższy stopień fachowości oraz sprawne funkcjonowanie tych komisji.</w:t>
            </w:r>
          </w:p>
          <w:p w:rsidR="0002682A" w:rsidRPr="00890C68" w:rsidRDefault="0002682A" w:rsidP="00D705AD">
            <w:pPr>
              <w:spacing w:line="240" w:lineRule="auto"/>
              <w:jc w:val="both"/>
              <w:rPr>
                <w:rFonts w:ascii="Times New Roman" w:hAnsi="Times New Roman"/>
                <w:color w:val="000000"/>
              </w:rPr>
            </w:pPr>
          </w:p>
          <w:p w:rsidR="00D705AD" w:rsidRPr="00890C68" w:rsidRDefault="00544AB2" w:rsidP="00D705AD">
            <w:pPr>
              <w:spacing w:line="240" w:lineRule="auto"/>
              <w:jc w:val="both"/>
              <w:rPr>
                <w:rFonts w:ascii="Times New Roman" w:hAnsi="Times New Roman"/>
                <w:color w:val="000000"/>
              </w:rPr>
            </w:pPr>
            <w:r>
              <w:rPr>
                <w:rFonts w:ascii="Times New Roman" w:hAnsi="Times New Roman"/>
                <w:color w:val="000000"/>
              </w:rPr>
              <w:t>5</w:t>
            </w:r>
            <w:r w:rsidR="00D705AD" w:rsidRPr="00890C68">
              <w:rPr>
                <w:rFonts w:ascii="Times New Roman" w:hAnsi="Times New Roman"/>
                <w:color w:val="000000"/>
              </w:rPr>
              <w:t>. Pomimo wielu lat funkcjonowania przepisów ustawy – Prawo energetyczne, które kolejno wdrażały do polskiego systemu prawnego kolejne pakiety energetyczne UE nie zostały przełamane monopole grup energetycznych na sprzedaż energii elektrycznej do odbiorców końcowych.  Niejednakowa pozycja stron i nienarzucanie warunków umów przez stronę silniejszą prowadzi do hamowania rozwoju konkurencji na rynku energii elektrycznej.</w:t>
            </w:r>
          </w:p>
          <w:p w:rsidR="00D71B84" w:rsidRPr="00890C68" w:rsidRDefault="00D71B84" w:rsidP="00D705AD">
            <w:pPr>
              <w:spacing w:line="240" w:lineRule="auto"/>
              <w:jc w:val="both"/>
              <w:rPr>
                <w:rFonts w:ascii="Times New Roman" w:hAnsi="Times New Roman"/>
                <w:color w:val="000000"/>
              </w:rPr>
            </w:pPr>
          </w:p>
          <w:p w:rsidR="00D71B84" w:rsidRPr="00890C68" w:rsidRDefault="00544AB2" w:rsidP="00D705AD">
            <w:pPr>
              <w:spacing w:line="240" w:lineRule="auto"/>
              <w:jc w:val="both"/>
              <w:rPr>
                <w:rFonts w:ascii="Times New Roman" w:hAnsi="Times New Roman"/>
                <w:color w:val="000000"/>
              </w:rPr>
            </w:pPr>
            <w:r>
              <w:rPr>
                <w:rFonts w:ascii="Times New Roman" w:hAnsi="Times New Roman"/>
                <w:color w:val="000000"/>
              </w:rPr>
              <w:t>6</w:t>
            </w:r>
            <w:r w:rsidR="00D71B84" w:rsidRPr="00890C68">
              <w:rPr>
                <w:rFonts w:ascii="Times New Roman" w:hAnsi="Times New Roman"/>
                <w:color w:val="000000"/>
              </w:rPr>
              <w:t xml:space="preserve">. </w:t>
            </w:r>
            <w:r w:rsidR="00F23415" w:rsidRPr="00890C68">
              <w:rPr>
                <w:rFonts w:ascii="Times New Roman" w:hAnsi="Times New Roman"/>
                <w:color w:val="000000"/>
              </w:rPr>
              <w:t xml:space="preserve">Notoryczne naruszanie zbiorowych interesów konsumenta energii powinno stanowić przesłankę umożliwiającą regulatorowi cofnięcie koncesji. Powyższe znajduje szczególnie silne uzasadnienie w świetle kierunku prawa UE mającego za cel równoważenie pozycji przedsiębiorcy i konsumenta energii. </w:t>
            </w:r>
          </w:p>
          <w:p w:rsidR="00F23415" w:rsidRPr="00890C68" w:rsidRDefault="00F23415" w:rsidP="00D705AD">
            <w:pPr>
              <w:spacing w:line="240" w:lineRule="auto"/>
              <w:jc w:val="both"/>
              <w:rPr>
                <w:rFonts w:ascii="Times New Roman" w:hAnsi="Times New Roman"/>
                <w:color w:val="000000"/>
              </w:rPr>
            </w:pPr>
          </w:p>
          <w:p w:rsidR="00F23415" w:rsidRPr="00890C68" w:rsidRDefault="00544AB2" w:rsidP="00D705AD">
            <w:pPr>
              <w:spacing w:line="240" w:lineRule="auto"/>
              <w:jc w:val="both"/>
              <w:rPr>
                <w:rFonts w:ascii="Times New Roman" w:hAnsi="Times New Roman"/>
                <w:color w:val="000000"/>
              </w:rPr>
            </w:pPr>
            <w:r>
              <w:rPr>
                <w:rFonts w:ascii="Times New Roman" w:hAnsi="Times New Roman"/>
                <w:color w:val="000000"/>
              </w:rPr>
              <w:t>7</w:t>
            </w:r>
            <w:r w:rsidR="00F23415" w:rsidRPr="00890C68">
              <w:rPr>
                <w:rFonts w:ascii="Times New Roman" w:hAnsi="Times New Roman"/>
                <w:color w:val="000000"/>
              </w:rPr>
              <w:t>. W świetle obowiązujących przepisów każdy podmiot, który w jakikolwiek sposób jest zobowiązany do dostaw energii elektrycznej (np. centrum handlowe) musi uzyskać status OSD ze wszystkimi wynikającymi stąd konsekwencjami. Prowadzi to do zaburzenia proporcji pomiędzy wykonywanymi zadaniami a obowiązkami wynikającymi z prawa energetycznego. Instytucja zamkniętych systemów dystrybucyjnych została również przewidziana w prawie UE - art. 28 dyrektywy Parlamentu Europejskiego i Rady 2009/72/WE z dnia 13 lipca 2009 r. dotyczącej wspólnych zasad rynku wewnętrznego energii elektrycznej i uchylającej dyrektywę 2003/54/WE.</w:t>
            </w:r>
          </w:p>
          <w:p w:rsidR="0002682A" w:rsidRPr="00890C68" w:rsidRDefault="0002682A" w:rsidP="00D705AD">
            <w:pPr>
              <w:spacing w:line="240" w:lineRule="auto"/>
              <w:jc w:val="both"/>
              <w:rPr>
                <w:rFonts w:ascii="Times New Roman" w:hAnsi="Times New Roman"/>
                <w:color w:val="000000"/>
              </w:rPr>
            </w:pPr>
          </w:p>
          <w:p w:rsidR="0002682A" w:rsidRPr="00890C68" w:rsidRDefault="00544AB2" w:rsidP="00D705AD">
            <w:pPr>
              <w:spacing w:line="240" w:lineRule="auto"/>
              <w:jc w:val="both"/>
              <w:rPr>
                <w:rFonts w:ascii="Times New Roman" w:hAnsi="Times New Roman"/>
                <w:color w:val="000000"/>
              </w:rPr>
            </w:pPr>
            <w:r>
              <w:rPr>
                <w:rFonts w:ascii="Times New Roman" w:hAnsi="Times New Roman"/>
                <w:color w:val="000000"/>
              </w:rPr>
              <w:t>8</w:t>
            </w:r>
            <w:r w:rsidR="0002682A" w:rsidRPr="00890C68">
              <w:rPr>
                <w:rFonts w:ascii="Times New Roman" w:hAnsi="Times New Roman"/>
                <w:color w:val="000000"/>
              </w:rPr>
              <w:t>. Obecnie brak jest przepisów regulujących w sposób kompleksowy magazynow</w:t>
            </w:r>
            <w:r w:rsidR="006D506A" w:rsidRPr="00890C68">
              <w:rPr>
                <w:rFonts w:ascii="Times New Roman" w:hAnsi="Times New Roman"/>
                <w:color w:val="000000"/>
              </w:rPr>
              <w:t>anie energii elektrycznej. Występujące w prawie bariery nie pozwalają na rozwój tych instalacji (np. podwójne naliczanie opłat sieciowych) pomimo ich istotnego znaczenia dla funkcjonowania i bezpieczeństw</w:t>
            </w:r>
            <w:r w:rsidR="00B42653" w:rsidRPr="00890C68">
              <w:rPr>
                <w:rFonts w:ascii="Times New Roman" w:hAnsi="Times New Roman"/>
                <w:color w:val="000000"/>
              </w:rPr>
              <w:t xml:space="preserve">a KSE a także zapewnienia odbioru energii elektrycznej wytworzonej w instalacjach OZE </w:t>
            </w:r>
            <w:r w:rsidR="006D506A" w:rsidRPr="00890C68">
              <w:rPr>
                <w:rFonts w:ascii="Times New Roman" w:hAnsi="Times New Roman"/>
                <w:color w:val="000000"/>
              </w:rPr>
              <w:t>bez szkody dla systemu.</w:t>
            </w:r>
          </w:p>
          <w:p w:rsidR="006D506A" w:rsidRPr="00890C68" w:rsidRDefault="006D506A" w:rsidP="00D705AD">
            <w:pPr>
              <w:spacing w:line="240" w:lineRule="auto"/>
              <w:jc w:val="both"/>
              <w:rPr>
                <w:rFonts w:ascii="Times New Roman" w:hAnsi="Times New Roman"/>
                <w:color w:val="000000"/>
              </w:rPr>
            </w:pPr>
          </w:p>
          <w:p w:rsidR="00D705AD" w:rsidRPr="00890C68" w:rsidRDefault="00544AB2" w:rsidP="00D705AD">
            <w:pPr>
              <w:spacing w:line="240" w:lineRule="auto"/>
              <w:jc w:val="both"/>
              <w:rPr>
                <w:rFonts w:ascii="Times New Roman" w:hAnsi="Times New Roman"/>
                <w:color w:val="000000"/>
              </w:rPr>
            </w:pPr>
            <w:r>
              <w:rPr>
                <w:rFonts w:ascii="Times New Roman" w:hAnsi="Times New Roman"/>
                <w:color w:val="000000"/>
              </w:rPr>
              <w:t>9</w:t>
            </w:r>
            <w:r w:rsidR="00D705AD" w:rsidRPr="00890C68">
              <w:rPr>
                <w:rFonts w:ascii="Times New Roman" w:hAnsi="Times New Roman"/>
                <w:color w:val="000000"/>
              </w:rPr>
              <w:t xml:space="preserve">. Istnieje też potrzeba elastycznego kształtowania formuły dokumentu regulującego politykę energetyczną państwa. </w:t>
            </w:r>
          </w:p>
          <w:p w:rsidR="00F23415" w:rsidRPr="00890C68" w:rsidRDefault="00F23415" w:rsidP="00D705AD">
            <w:pPr>
              <w:spacing w:line="240" w:lineRule="auto"/>
              <w:jc w:val="both"/>
              <w:rPr>
                <w:rFonts w:ascii="Times New Roman" w:hAnsi="Times New Roman"/>
                <w:color w:val="000000"/>
              </w:rPr>
            </w:pPr>
          </w:p>
          <w:p w:rsidR="00F23415" w:rsidRPr="00890C68" w:rsidRDefault="00544AB2" w:rsidP="00D705AD">
            <w:pPr>
              <w:spacing w:line="240" w:lineRule="auto"/>
              <w:jc w:val="both"/>
              <w:rPr>
                <w:rFonts w:ascii="Times New Roman" w:hAnsi="Times New Roman"/>
                <w:color w:val="000000"/>
              </w:rPr>
            </w:pPr>
            <w:r>
              <w:rPr>
                <w:rFonts w:ascii="Times New Roman" w:hAnsi="Times New Roman"/>
                <w:color w:val="000000"/>
              </w:rPr>
              <w:t>10</w:t>
            </w:r>
            <w:r w:rsidR="00F23415" w:rsidRPr="00890C68">
              <w:rPr>
                <w:rFonts w:ascii="Times New Roman" w:hAnsi="Times New Roman"/>
                <w:color w:val="000000"/>
              </w:rPr>
              <w:t>. Z obecnie obowiązujących przepisów nie wynika, w jaki sposób należy rozliczać odbiorców po upływie okresu obowiązywania dotychczasowej taryfy (której nie można stosować) a prawomocnym rozstrzygnięciem sprawy z odwołania od decyzji odmawiającej zatwierdzenia „nowej" taryfy, co przy obecnej długości postepowań sądowych prowadzi do niepewności odnośnie wysokości kosztów jaki ponoszą odbiorcy z tytułu dostarczania paliw lub energii.</w:t>
            </w:r>
          </w:p>
          <w:p w:rsidR="00D705AD" w:rsidRPr="00890C68" w:rsidRDefault="00D705AD" w:rsidP="00D705AD">
            <w:pPr>
              <w:spacing w:line="240" w:lineRule="auto"/>
              <w:jc w:val="both"/>
              <w:rPr>
                <w:rFonts w:ascii="Times New Roman" w:hAnsi="Times New Roman"/>
                <w:color w:val="000000"/>
              </w:rPr>
            </w:pPr>
          </w:p>
          <w:p w:rsidR="00D705AD" w:rsidRPr="00890C68" w:rsidRDefault="00544AB2" w:rsidP="00D705AD">
            <w:pPr>
              <w:spacing w:line="240" w:lineRule="auto"/>
              <w:jc w:val="both"/>
              <w:rPr>
                <w:rFonts w:ascii="Times New Roman" w:hAnsi="Times New Roman"/>
                <w:color w:val="000000"/>
              </w:rPr>
            </w:pPr>
            <w:r>
              <w:rPr>
                <w:rFonts w:ascii="Times New Roman" w:hAnsi="Times New Roman"/>
                <w:color w:val="000000"/>
              </w:rPr>
              <w:lastRenderedPageBreak/>
              <w:t>11</w:t>
            </w:r>
            <w:r w:rsidR="00EC51E1" w:rsidRPr="00890C68">
              <w:rPr>
                <w:rFonts w:ascii="Times New Roman" w:hAnsi="Times New Roman"/>
                <w:color w:val="000000"/>
              </w:rPr>
              <w:t xml:space="preserve">. </w:t>
            </w:r>
            <w:r w:rsidR="00D30D70" w:rsidRPr="00890C68">
              <w:rPr>
                <w:rFonts w:ascii="Times New Roman" w:hAnsi="Times New Roman"/>
                <w:color w:val="000000"/>
              </w:rPr>
              <w:t>Prezesowi URE zgłaszanych jest wiele przypadków nieuczciwych praktyk niektórych sprzedawców zawierających umowy poza siedziba przedsiębiorstwa.</w:t>
            </w:r>
          </w:p>
          <w:p w:rsidR="00EC51E1" w:rsidRPr="00890C68" w:rsidRDefault="00EC51E1" w:rsidP="00D705AD">
            <w:pPr>
              <w:spacing w:line="240" w:lineRule="auto"/>
              <w:jc w:val="both"/>
              <w:rPr>
                <w:rFonts w:ascii="Times New Roman" w:hAnsi="Times New Roman"/>
                <w:color w:val="000000"/>
              </w:rPr>
            </w:pPr>
          </w:p>
          <w:p w:rsidR="00D705AD" w:rsidRPr="00890C68" w:rsidRDefault="00544AB2" w:rsidP="00D705AD">
            <w:pPr>
              <w:spacing w:line="240" w:lineRule="auto"/>
              <w:jc w:val="both"/>
              <w:rPr>
                <w:rFonts w:ascii="Times New Roman" w:hAnsi="Times New Roman"/>
                <w:color w:val="000000"/>
              </w:rPr>
            </w:pPr>
            <w:r>
              <w:rPr>
                <w:rFonts w:ascii="Times New Roman" w:hAnsi="Times New Roman"/>
                <w:color w:val="000000"/>
              </w:rPr>
              <w:t>12</w:t>
            </w:r>
            <w:r w:rsidR="00D705AD" w:rsidRPr="00890C68">
              <w:rPr>
                <w:rFonts w:ascii="Times New Roman" w:hAnsi="Times New Roman"/>
                <w:color w:val="000000"/>
              </w:rPr>
              <w:t>. Wraz ze wzrostem zainteresowania instytucją Koordynatora do prowadzenia postepowań ADR niezbędne jest umożliwienie prowadzenia postępowań na podstawie upoważnienia przez osoby obsługujące Koordynatora.</w:t>
            </w:r>
          </w:p>
          <w:p w:rsidR="00D30D70" w:rsidRPr="00890C68" w:rsidRDefault="00D30D70" w:rsidP="00D705AD">
            <w:pPr>
              <w:spacing w:line="240" w:lineRule="auto"/>
              <w:jc w:val="both"/>
              <w:rPr>
                <w:rFonts w:ascii="Times New Roman" w:hAnsi="Times New Roman"/>
                <w:color w:val="000000"/>
              </w:rPr>
            </w:pPr>
          </w:p>
          <w:p w:rsidR="00D30D70" w:rsidRPr="00890C68" w:rsidRDefault="00544AB2" w:rsidP="00D705AD">
            <w:pPr>
              <w:spacing w:line="240" w:lineRule="auto"/>
              <w:jc w:val="both"/>
              <w:rPr>
                <w:rFonts w:ascii="Times New Roman" w:hAnsi="Times New Roman"/>
                <w:color w:val="000000"/>
              </w:rPr>
            </w:pPr>
            <w:r>
              <w:rPr>
                <w:rFonts w:ascii="Times New Roman" w:hAnsi="Times New Roman"/>
                <w:color w:val="000000"/>
              </w:rPr>
              <w:t>13</w:t>
            </w:r>
            <w:r w:rsidR="00D30D70" w:rsidRPr="00890C68">
              <w:rPr>
                <w:rFonts w:ascii="Times New Roman" w:hAnsi="Times New Roman"/>
                <w:color w:val="000000"/>
              </w:rPr>
              <w:t>. Istnieje konieczność doprecyzowania przepisów dot. zabezpieczenia majątkowego w procesie udzielania koncesji.</w:t>
            </w:r>
          </w:p>
          <w:p w:rsidR="00EC51E1" w:rsidRPr="00890C68" w:rsidRDefault="00EC51E1" w:rsidP="00D705AD">
            <w:pPr>
              <w:spacing w:line="240" w:lineRule="auto"/>
              <w:jc w:val="both"/>
              <w:rPr>
                <w:rFonts w:ascii="Times New Roman" w:hAnsi="Times New Roman"/>
                <w:color w:val="000000"/>
              </w:rPr>
            </w:pPr>
          </w:p>
          <w:p w:rsidR="00EC51E1" w:rsidRPr="00890C68" w:rsidRDefault="00544AB2" w:rsidP="00D705AD">
            <w:pPr>
              <w:spacing w:line="240" w:lineRule="auto"/>
              <w:jc w:val="both"/>
              <w:rPr>
                <w:rFonts w:ascii="Times New Roman" w:hAnsi="Times New Roman"/>
                <w:color w:val="000000"/>
              </w:rPr>
            </w:pPr>
            <w:r>
              <w:rPr>
                <w:rFonts w:ascii="Times New Roman" w:hAnsi="Times New Roman"/>
                <w:color w:val="000000"/>
              </w:rPr>
              <w:t>14</w:t>
            </w:r>
            <w:r w:rsidR="00EC51E1" w:rsidRPr="00890C68">
              <w:rPr>
                <w:rFonts w:ascii="Times New Roman" w:hAnsi="Times New Roman"/>
                <w:color w:val="000000"/>
              </w:rPr>
              <w:t xml:space="preserve">. W polskim prawie cywilnym oprócz osób fizycznych i prawnych występuję kategoria jednostek organizacyjnych nieposiadających osobowości prawnej. Należy dostosować definicję </w:t>
            </w:r>
            <w:r w:rsidR="00EB6523" w:rsidRPr="00890C68">
              <w:rPr>
                <w:rFonts w:ascii="Times New Roman" w:hAnsi="Times New Roman"/>
                <w:color w:val="000000"/>
              </w:rPr>
              <w:t>„</w:t>
            </w:r>
            <w:r w:rsidR="00EC51E1" w:rsidRPr="00890C68">
              <w:rPr>
                <w:rFonts w:ascii="Times New Roman" w:hAnsi="Times New Roman"/>
                <w:color w:val="000000"/>
              </w:rPr>
              <w:t>uczestnika rynku” do polskiego systemu prawnego przewidującego taką kategorię.</w:t>
            </w:r>
          </w:p>
          <w:p w:rsidR="00EC51E1" w:rsidRPr="00890C68" w:rsidRDefault="00EC51E1" w:rsidP="00D705AD">
            <w:pPr>
              <w:spacing w:line="240" w:lineRule="auto"/>
              <w:jc w:val="both"/>
              <w:rPr>
                <w:rFonts w:ascii="Times New Roman" w:hAnsi="Times New Roman"/>
                <w:color w:val="000000"/>
              </w:rPr>
            </w:pPr>
          </w:p>
          <w:p w:rsidR="00EC51E1" w:rsidRPr="00890C68" w:rsidRDefault="00544AB2" w:rsidP="00D705AD">
            <w:pPr>
              <w:spacing w:line="240" w:lineRule="auto"/>
              <w:jc w:val="both"/>
              <w:rPr>
                <w:rFonts w:ascii="Times New Roman" w:hAnsi="Times New Roman"/>
                <w:color w:val="000000"/>
              </w:rPr>
            </w:pPr>
            <w:r>
              <w:rPr>
                <w:rFonts w:ascii="Times New Roman" w:hAnsi="Times New Roman"/>
                <w:color w:val="000000"/>
              </w:rPr>
              <w:t>15</w:t>
            </w:r>
            <w:r w:rsidR="00EC51E1" w:rsidRPr="00890C68">
              <w:rPr>
                <w:rFonts w:ascii="Times New Roman" w:hAnsi="Times New Roman"/>
                <w:color w:val="000000"/>
              </w:rPr>
              <w:t xml:space="preserve">. Obowiązek </w:t>
            </w:r>
            <w:r w:rsidR="00D858A1" w:rsidRPr="00890C68">
              <w:rPr>
                <w:rFonts w:ascii="Times New Roman" w:hAnsi="Times New Roman"/>
                <w:color w:val="000000"/>
              </w:rPr>
              <w:t xml:space="preserve">(nałożony na </w:t>
            </w:r>
            <w:r w:rsidR="00EC51E1" w:rsidRPr="00890C68">
              <w:rPr>
                <w:rFonts w:ascii="Times New Roman" w:hAnsi="Times New Roman"/>
                <w:color w:val="000000"/>
              </w:rPr>
              <w:t>przedsiębiorstw</w:t>
            </w:r>
            <w:r w:rsidR="00D858A1" w:rsidRPr="00890C68">
              <w:rPr>
                <w:rFonts w:ascii="Times New Roman" w:hAnsi="Times New Roman"/>
                <w:color w:val="000000"/>
              </w:rPr>
              <w:t>a)</w:t>
            </w:r>
            <w:r w:rsidR="00EC51E1" w:rsidRPr="00890C68">
              <w:rPr>
                <w:rFonts w:ascii="Times New Roman" w:hAnsi="Times New Roman"/>
                <w:color w:val="000000"/>
              </w:rPr>
              <w:t xml:space="preserve"> udostępniania publicznie aktualnego stanu prawnego dotyczącego praw konsumenta energii umożliwi poszerzenie świadomości prawnej konsumentów energii w sposób bezkosztowy. </w:t>
            </w:r>
          </w:p>
          <w:p w:rsidR="00EC51E1" w:rsidRPr="00890C68" w:rsidRDefault="00EC51E1" w:rsidP="00D705AD">
            <w:pPr>
              <w:spacing w:line="240" w:lineRule="auto"/>
              <w:jc w:val="both"/>
              <w:rPr>
                <w:rFonts w:ascii="Times New Roman" w:hAnsi="Times New Roman"/>
                <w:color w:val="000000"/>
              </w:rPr>
            </w:pPr>
          </w:p>
          <w:p w:rsidR="00EC51E1" w:rsidRPr="00890C68" w:rsidRDefault="00544AB2" w:rsidP="00D705AD">
            <w:pPr>
              <w:spacing w:line="240" w:lineRule="auto"/>
              <w:jc w:val="both"/>
              <w:rPr>
                <w:rFonts w:ascii="Times New Roman" w:hAnsi="Times New Roman"/>
                <w:color w:val="000000"/>
              </w:rPr>
            </w:pPr>
            <w:r>
              <w:rPr>
                <w:rFonts w:ascii="Times New Roman" w:hAnsi="Times New Roman"/>
                <w:color w:val="000000"/>
              </w:rPr>
              <w:t>16</w:t>
            </w:r>
            <w:r w:rsidR="00EC51E1" w:rsidRPr="00890C68">
              <w:rPr>
                <w:rFonts w:ascii="Times New Roman" w:hAnsi="Times New Roman"/>
                <w:color w:val="000000"/>
              </w:rPr>
              <w:t xml:space="preserve">. </w:t>
            </w:r>
            <w:r w:rsidR="00D858A1" w:rsidRPr="00890C68">
              <w:rPr>
                <w:rFonts w:ascii="Times New Roman" w:hAnsi="Times New Roman"/>
                <w:color w:val="000000"/>
              </w:rPr>
              <w:t>Obecnie brak jest przepisu stanowiącego wykonanie prawa UE, nakazującego aby znak towarowy OSD będącego częścią przedsiębiorstwa zintegrowanego pionowo nie wprowadzał w błąd co do odrębnej tożsamości sprzedawcy będącego częścią tego samego przedsię</w:t>
            </w:r>
            <w:r w:rsidR="00D246C6" w:rsidRPr="00890C68">
              <w:rPr>
                <w:rFonts w:ascii="Times New Roman" w:hAnsi="Times New Roman"/>
                <w:color w:val="000000"/>
              </w:rPr>
              <w:t>biorstwa zintegrowanego pionowo;</w:t>
            </w:r>
          </w:p>
          <w:p w:rsidR="00D246C6" w:rsidRPr="00890C68" w:rsidRDefault="00D246C6" w:rsidP="00D705AD">
            <w:pPr>
              <w:spacing w:line="240" w:lineRule="auto"/>
              <w:jc w:val="both"/>
              <w:rPr>
                <w:rFonts w:ascii="Times New Roman" w:hAnsi="Times New Roman"/>
                <w:color w:val="000000"/>
              </w:rPr>
            </w:pPr>
          </w:p>
          <w:p w:rsidR="00810D86" w:rsidRPr="00890C68" w:rsidRDefault="00544AB2" w:rsidP="00D246C6">
            <w:pPr>
              <w:spacing w:line="240" w:lineRule="auto"/>
              <w:jc w:val="both"/>
              <w:rPr>
                <w:rFonts w:ascii="Times New Roman" w:hAnsi="Times New Roman"/>
                <w:color w:val="000000"/>
              </w:rPr>
            </w:pPr>
            <w:r>
              <w:rPr>
                <w:rFonts w:ascii="Times New Roman" w:hAnsi="Times New Roman"/>
                <w:color w:val="000000"/>
              </w:rPr>
              <w:t>17</w:t>
            </w:r>
            <w:r w:rsidR="00D246C6" w:rsidRPr="00890C68">
              <w:rPr>
                <w:rFonts w:ascii="Times New Roman" w:hAnsi="Times New Roman"/>
                <w:color w:val="000000"/>
              </w:rPr>
              <w:t>. Obecnie nadzór nad warunkami świadczenia usług magazynowania paliw gazowych nie jest zbyt silny a zasady funkcjonowania operatora systemu magazynowania nie są do końca przejrzyste</w:t>
            </w:r>
            <w:r w:rsidR="00810D86" w:rsidRPr="00890C68">
              <w:rPr>
                <w:rFonts w:ascii="Times New Roman" w:hAnsi="Times New Roman"/>
                <w:color w:val="000000"/>
              </w:rPr>
              <w:t>;</w:t>
            </w:r>
          </w:p>
          <w:p w:rsidR="00810D86" w:rsidRPr="00890C68" w:rsidRDefault="00810D86" w:rsidP="00810D86">
            <w:pPr>
              <w:spacing w:line="240" w:lineRule="auto"/>
              <w:jc w:val="both"/>
              <w:rPr>
                <w:rFonts w:ascii="Times New Roman" w:hAnsi="Times New Roman"/>
                <w:color w:val="000000"/>
              </w:rPr>
            </w:pPr>
          </w:p>
          <w:p w:rsidR="00810D86" w:rsidRPr="00890C68" w:rsidRDefault="00544AB2" w:rsidP="00810D86">
            <w:pPr>
              <w:spacing w:line="240" w:lineRule="auto"/>
              <w:jc w:val="both"/>
              <w:rPr>
                <w:rFonts w:ascii="Times New Roman" w:hAnsi="Times New Roman"/>
                <w:color w:val="000000"/>
              </w:rPr>
            </w:pPr>
            <w:r>
              <w:rPr>
                <w:rFonts w:ascii="Times New Roman" w:hAnsi="Times New Roman"/>
                <w:color w:val="000000"/>
              </w:rPr>
              <w:t>18</w:t>
            </w:r>
            <w:r w:rsidR="00810D86" w:rsidRPr="00890C68">
              <w:rPr>
                <w:rFonts w:ascii="Times New Roman" w:hAnsi="Times New Roman"/>
                <w:color w:val="000000"/>
              </w:rPr>
              <w:t>.Należy wzmocnić kompetencje nadzorcze Prezesa URE nad rynkiem paliw ciekłych w celu zapobiegania sygnalizowanym przez ten organ nieprawidłowościom;</w:t>
            </w:r>
          </w:p>
          <w:p w:rsidR="00810D86" w:rsidRPr="00890C68" w:rsidRDefault="00810D86" w:rsidP="00810D86">
            <w:pPr>
              <w:spacing w:line="240" w:lineRule="auto"/>
              <w:jc w:val="both"/>
              <w:rPr>
                <w:rFonts w:ascii="Times New Roman" w:hAnsi="Times New Roman"/>
                <w:color w:val="000000"/>
              </w:rPr>
            </w:pPr>
          </w:p>
          <w:p w:rsidR="006A701A" w:rsidRPr="00890C68" w:rsidRDefault="00544AB2" w:rsidP="00D246C6">
            <w:pPr>
              <w:spacing w:line="240" w:lineRule="auto"/>
              <w:jc w:val="both"/>
              <w:rPr>
                <w:rFonts w:ascii="Times New Roman" w:hAnsi="Times New Roman"/>
                <w:color w:val="000000"/>
              </w:rPr>
            </w:pPr>
            <w:r>
              <w:rPr>
                <w:rFonts w:ascii="Times New Roman" w:hAnsi="Times New Roman"/>
                <w:color w:val="000000"/>
              </w:rPr>
              <w:t>19</w:t>
            </w:r>
            <w:r w:rsidR="00810D86" w:rsidRPr="00890C68">
              <w:rPr>
                <w:rFonts w:ascii="Times New Roman" w:hAnsi="Times New Roman"/>
                <w:color w:val="000000"/>
              </w:rPr>
              <w:t xml:space="preserve">. Ponadto, należy usunąć zidentyfikowane luki w prawie oraz doprecyzować przepisy wywołujące rozbieżności interpretacyjne </w:t>
            </w:r>
            <w:r>
              <w:rPr>
                <w:rFonts w:ascii="Times New Roman" w:hAnsi="Times New Roman"/>
                <w:color w:val="000000"/>
              </w:rPr>
              <w:t>w ustawie - Prawo energetyczne.</w:t>
            </w:r>
          </w:p>
          <w:p w:rsidR="00091AE9" w:rsidRPr="00890C68" w:rsidRDefault="00091AE9" w:rsidP="00D246C6">
            <w:pPr>
              <w:spacing w:line="240" w:lineRule="auto"/>
              <w:jc w:val="both"/>
              <w:rPr>
                <w:rFonts w:ascii="Times New Roman" w:hAnsi="Times New Roman"/>
                <w:color w:val="000000"/>
              </w:rPr>
            </w:pPr>
          </w:p>
          <w:p w:rsidR="00091AE9" w:rsidRPr="00890C68" w:rsidRDefault="00544AB2" w:rsidP="00D246C6">
            <w:pPr>
              <w:spacing w:line="240" w:lineRule="auto"/>
              <w:jc w:val="both"/>
              <w:rPr>
                <w:rFonts w:ascii="Times New Roman" w:hAnsi="Times New Roman"/>
                <w:color w:val="000000"/>
              </w:rPr>
            </w:pPr>
            <w:r>
              <w:rPr>
                <w:rFonts w:ascii="Times New Roman" w:hAnsi="Times New Roman"/>
                <w:color w:val="000000"/>
              </w:rPr>
              <w:t>20</w:t>
            </w:r>
            <w:r w:rsidR="008B59AD" w:rsidRPr="00890C68">
              <w:rPr>
                <w:rFonts w:ascii="Times New Roman" w:hAnsi="Times New Roman"/>
                <w:color w:val="000000"/>
              </w:rPr>
              <w:t>. Wdrożenie</w:t>
            </w:r>
            <w:r w:rsidR="00091AE9" w:rsidRPr="00890C68">
              <w:rPr>
                <w:rFonts w:ascii="Times New Roman" w:hAnsi="Times New Roman"/>
                <w:color w:val="000000"/>
              </w:rPr>
              <w:t xml:space="preserve"> w Polsce syste</w:t>
            </w:r>
            <w:r w:rsidR="008B59AD" w:rsidRPr="00890C68">
              <w:rPr>
                <w:rFonts w:ascii="Times New Roman" w:hAnsi="Times New Roman"/>
                <w:color w:val="000000"/>
              </w:rPr>
              <w:t>mu inteligentnego opomiarowania:</w:t>
            </w:r>
          </w:p>
          <w:p w:rsidR="00091AE9" w:rsidRPr="00890C68" w:rsidRDefault="00091AE9" w:rsidP="00D246C6">
            <w:pPr>
              <w:spacing w:line="240" w:lineRule="auto"/>
              <w:jc w:val="both"/>
              <w:rPr>
                <w:rFonts w:ascii="Times New Roman" w:hAnsi="Times New Roman"/>
                <w:color w:val="000000"/>
              </w:rPr>
            </w:pPr>
          </w:p>
          <w:p w:rsidR="00091AE9" w:rsidRPr="00890C68" w:rsidRDefault="00091AE9" w:rsidP="00091AE9">
            <w:pPr>
              <w:numPr>
                <w:ilvl w:val="1"/>
                <w:numId w:val="3"/>
              </w:numPr>
              <w:spacing w:line="240" w:lineRule="auto"/>
              <w:ind w:left="360"/>
              <w:jc w:val="both"/>
              <w:rPr>
                <w:rFonts w:ascii="Times New Roman" w:hAnsi="Times New Roman"/>
                <w:b/>
                <w:color w:val="000000"/>
              </w:rPr>
            </w:pPr>
            <w:r w:rsidRPr="00890C68">
              <w:rPr>
                <w:rFonts w:ascii="Times New Roman" w:hAnsi="Times New Roman"/>
                <w:b/>
                <w:color w:val="000000"/>
              </w:rPr>
              <w:t>Realizacja celów przepisów wspólnotowych (przesłanki formalno - prawne wdrożenia inteligentnego opomiarowania w sektorze elektroenergetycznym)</w:t>
            </w:r>
          </w:p>
          <w:p w:rsidR="00091AE9" w:rsidRPr="00890C68" w:rsidRDefault="00091AE9" w:rsidP="00091AE9">
            <w:pPr>
              <w:spacing w:line="240" w:lineRule="auto"/>
              <w:ind w:left="360"/>
              <w:jc w:val="both"/>
              <w:rPr>
                <w:rFonts w:ascii="Times New Roman" w:hAnsi="Times New Roman"/>
                <w:b/>
                <w:color w:val="000000"/>
              </w:rPr>
            </w:pPr>
          </w:p>
          <w:p w:rsidR="00091AE9" w:rsidRPr="00890C68" w:rsidRDefault="00091AE9" w:rsidP="00091AE9">
            <w:pPr>
              <w:spacing w:line="240" w:lineRule="auto"/>
              <w:jc w:val="both"/>
              <w:rPr>
                <w:rFonts w:ascii="Times New Roman" w:hAnsi="Times New Roman"/>
                <w:color w:val="000000"/>
              </w:rPr>
            </w:pPr>
            <w:r w:rsidRPr="00890C68">
              <w:rPr>
                <w:rFonts w:ascii="Times New Roman" w:hAnsi="Times New Roman"/>
                <w:color w:val="000000"/>
              </w:rPr>
              <w:t xml:space="preserve">Rzeczpospolita Polska zobligowana jest do wdrożenia do krajowego systemu prawnego przepisów wspólnotowych tzw. </w:t>
            </w:r>
            <w:r w:rsidRPr="00890C68">
              <w:rPr>
                <w:rFonts w:ascii="Times New Roman" w:hAnsi="Times New Roman"/>
                <w:b/>
                <w:color w:val="000000"/>
              </w:rPr>
              <w:t>trzeciego pakietu energetycznego</w:t>
            </w:r>
            <w:r w:rsidRPr="00890C68">
              <w:rPr>
                <w:rFonts w:ascii="Times New Roman" w:hAnsi="Times New Roman"/>
                <w:color w:val="000000"/>
              </w:rPr>
              <w:t>, który wszedł w życie 3 marca 2011 roku. W ramach pakietu opublikowano m.in. dyrektywę rynkową dotyczącą wspólnych zasad rynku wewnętrznego energii elektrycznej i rozporządzenie dotyczące warunków dostępu do sieci.</w:t>
            </w:r>
            <w:r w:rsidRPr="00890C68">
              <w:rPr>
                <w:rStyle w:val="Odwoanieprzypisudolnego"/>
                <w:rFonts w:ascii="Times New Roman" w:hAnsi="Times New Roman"/>
                <w:color w:val="000000"/>
              </w:rPr>
              <w:footnoteReference w:id="1"/>
            </w:r>
            <w:r w:rsidRPr="00890C68">
              <w:rPr>
                <w:rFonts w:ascii="Times New Roman" w:hAnsi="Times New Roman"/>
                <w:color w:val="000000"/>
              </w:rPr>
              <w:t xml:space="preserve"> Regulacje te wprowadzono m.in. w celu zwiększenia transparentności rynku detalicznego energii elektrycznej i objęcia szczególną ochroną praw konsumentów poprzez wprowadzenie i stosowanie odpowiednich mechanizmów na gruncie przepisów krajowych.</w:t>
            </w:r>
          </w:p>
          <w:p w:rsidR="00091AE9" w:rsidRPr="00890C68" w:rsidRDefault="00091AE9" w:rsidP="00091AE9">
            <w:pPr>
              <w:spacing w:line="240" w:lineRule="auto"/>
              <w:jc w:val="both"/>
              <w:rPr>
                <w:rFonts w:ascii="Times New Roman" w:hAnsi="Times New Roman"/>
                <w:color w:val="000000"/>
              </w:rPr>
            </w:pPr>
          </w:p>
          <w:p w:rsidR="00091AE9" w:rsidRPr="00890C68" w:rsidRDefault="00091AE9" w:rsidP="00091AE9">
            <w:pPr>
              <w:spacing w:line="240" w:lineRule="auto"/>
              <w:jc w:val="both"/>
              <w:rPr>
                <w:rFonts w:ascii="Times New Roman" w:hAnsi="Times New Roman"/>
                <w:color w:val="000000"/>
                <w:u w:val="single"/>
              </w:rPr>
            </w:pPr>
            <w:r w:rsidRPr="00890C68">
              <w:rPr>
                <w:rFonts w:ascii="Times New Roman" w:hAnsi="Times New Roman"/>
                <w:color w:val="000000"/>
                <w:u w:val="single"/>
              </w:rPr>
              <w:t xml:space="preserve">Dyrektywa Parlamentu Europejskiego i Rady 2009/72/WE z dnia 13 lipca 2009 r. dotycząca wspólnych zasad rynku wewnętrznego energii elektrycznej i uchylająca dyrektywę 2003/54/WE. </w:t>
            </w:r>
          </w:p>
          <w:p w:rsidR="00091AE9" w:rsidRPr="00890C68" w:rsidRDefault="00091AE9" w:rsidP="00091AE9">
            <w:pPr>
              <w:spacing w:line="240" w:lineRule="auto"/>
              <w:jc w:val="both"/>
              <w:rPr>
                <w:rFonts w:ascii="Times New Roman" w:hAnsi="Times New Roman"/>
                <w:color w:val="000000"/>
              </w:rPr>
            </w:pPr>
            <w:r w:rsidRPr="00890C68">
              <w:rPr>
                <w:rFonts w:ascii="Times New Roman" w:hAnsi="Times New Roman"/>
                <w:color w:val="000000"/>
              </w:rPr>
              <w:t>Dyrektywa wprowadza szereg obowiązków, z których istotna część jest już w Polsce realizowana w konsekwencji implementacji przepisów do prawa krajowego. Wśród zrealizowanych obszarów wskazać należy wyznaczenie niezależnego organu regulacyjnego na poziomie krajowym (Prezesa URE), wdrożenie skutecznego rozdziału działalności w zakresie wytwarzania i dostaw energii elektrycznej (</w:t>
            </w:r>
            <w:r w:rsidRPr="00890C68">
              <w:rPr>
                <w:rFonts w:ascii="Times New Roman" w:hAnsi="Times New Roman"/>
                <w:i/>
                <w:color w:val="000000"/>
              </w:rPr>
              <w:t>unbundling</w:t>
            </w:r>
            <w:r w:rsidRPr="00890C68">
              <w:rPr>
                <w:rFonts w:ascii="Times New Roman" w:hAnsi="Times New Roman"/>
                <w:color w:val="000000"/>
              </w:rPr>
              <w:t xml:space="preserve">), wyznaczenie niezależnego operatora systemu przesyłowego (OSP), którego funkcję na obszarze kraju pełni PSE S.A., wyznaczenie operatorów systemu dystrybucyjnego (OSD). </w:t>
            </w:r>
          </w:p>
          <w:p w:rsidR="00091AE9" w:rsidRPr="00890C68" w:rsidRDefault="00091AE9" w:rsidP="00091AE9">
            <w:pPr>
              <w:spacing w:line="240" w:lineRule="auto"/>
              <w:jc w:val="both"/>
              <w:rPr>
                <w:rFonts w:ascii="Times New Roman" w:hAnsi="Times New Roman"/>
                <w:color w:val="000000"/>
              </w:rPr>
            </w:pPr>
            <w:r w:rsidRPr="00890C68">
              <w:rPr>
                <w:rFonts w:ascii="Times New Roman" w:hAnsi="Times New Roman"/>
                <w:color w:val="000000"/>
              </w:rPr>
              <w:t xml:space="preserve">W świetle zapisów Dyrektywy, sposobem na zapewnienie aktywnego uczestnictwa konsumentów w rynku, a tym samym wzmocnienie ich pozycji jako odbiorów końcowych, jest </w:t>
            </w:r>
            <w:r w:rsidRPr="00890C68">
              <w:rPr>
                <w:rFonts w:ascii="Times New Roman" w:hAnsi="Times New Roman"/>
                <w:b/>
                <w:color w:val="000000"/>
              </w:rPr>
              <w:t>wdrożenie inteligentnych systemów pomiarowych</w:t>
            </w:r>
            <w:r w:rsidRPr="00890C68">
              <w:rPr>
                <w:rFonts w:ascii="Times New Roman" w:hAnsi="Times New Roman"/>
                <w:color w:val="000000"/>
              </w:rPr>
              <w:t>. Zobowiązanie do przeprowadzenia oceny efektywności ekonomicznej ewentualnego wdrożenia, wskazane w pkt 2 Załącznika 1 Dyrektywy, zostało przez Polskę wypełnione poprzez złożenie, przy piśmie z dnia 3 września 2012 r. do KE</w:t>
            </w:r>
            <w:r w:rsidRPr="00890C68">
              <w:rPr>
                <w:rFonts w:ascii="Times New Roman" w:hAnsi="Times New Roman"/>
                <w:i/>
                <w:color w:val="000000"/>
              </w:rPr>
              <w:t xml:space="preserve"> Informacji dotyczącej zasadności wprowadzenia inteligentnych form pomiaru zużycia energii elektrycznej w Polsce</w:t>
            </w:r>
            <w:r w:rsidRPr="00890C68">
              <w:rPr>
                <w:rFonts w:ascii="Times New Roman" w:hAnsi="Times New Roman"/>
                <w:color w:val="000000"/>
              </w:rPr>
              <w:t>.</w:t>
            </w:r>
            <w:r w:rsidRPr="00890C68">
              <w:rPr>
                <w:rStyle w:val="Odwoanieprzypisudolnego"/>
                <w:rFonts w:ascii="Times New Roman" w:hAnsi="Times New Roman"/>
                <w:color w:val="000000"/>
              </w:rPr>
              <w:footnoteReference w:id="2"/>
            </w:r>
            <w:r w:rsidRPr="00890C68">
              <w:rPr>
                <w:rFonts w:ascii="Times New Roman" w:hAnsi="Times New Roman"/>
                <w:color w:val="000000"/>
              </w:rPr>
              <w:t xml:space="preserve"> W informacji tej wskazano na pozytywną ocenę przedmiotowego przedsięwzięcia.</w:t>
            </w:r>
          </w:p>
          <w:p w:rsidR="00091AE9" w:rsidRPr="00890C68" w:rsidRDefault="00091AE9" w:rsidP="00091AE9">
            <w:pPr>
              <w:spacing w:line="240" w:lineRule="auto"/>
              <w:jc w:val="both"/>
              <w:rPr>
                <w:rFonts w:ascii="Times New Roman" w:hAnsi="Times New Roman"/>
                <w:color w:val="000000"/>
              </w:rPr>
            </w:pPr>
          </w:p>
          <w:p w:rsidR="00091AE9" w:rsidRPr="00890C68" w:rsidRDefault="00091AE9" w:rsidP="00091AE9">
            <w:pPr>
              <w:spacing w:line="240" w:lineRule="auto"/>
              <w:jc w:val="both"/>
              <w:rPr>
                <w:rFonts w:ascii="Times New Roman" w:hAnsi="Times New Roman"/>
                <w:color w:val="000000"/>
              </w:rPr>
            </w:pPr>
            <w:r w:rsidRPr="00890C68">
              <w:rPr>
                <w:rFonts w:ascii="Times New Roman" w:hAnsi="Times New Roman"/>
                <w:color w:val="000000"/>
              </w:rPr>
              <w:t xml:space="preserve">Opublikowana w listopadzie 2016 roku propozycja regulacji prawnych przygotowana przez Komisję Europejską i nosząca nazwę „Pakiet Zimowy Unii Europejskiej: Czysta energia dla Europejczyków” zawiera m.in. propozycję zmiany wyżej </w:t>
            </w:r>
            <w:r w:rsidRPr="00890C68">
              <w:rPr>
                <w:rFonts w:ascii="Times New Roman" w:hAnsi="Times New Roman"/>
                <w:color w:val="000000"/>
              </w:rPr>
              <w:lastRenderedPageBreak/>
              <w:t xml:space="preserve">wymienionej </w:t>
            </w:r>
            <w:r w:rsidRPr="00890C68">
              <w:rPr>
                <w:rFonts w:ascii="Times New Roman" w:hAnsi="Times New Roman"/>
                <w:color w:val="000000"/>
                <w:u w:val="single"/>
              </w:rPr>
              <w:t xml:space="preserve">Dyrektywy Parlamentu Europejskiego i Rady 2009/72/WE (dokument COM (2016) 864 final). </w:t>
            </w:r>
            <w:r w:rsidRPr="00890C68">
              <w:rPr>
                <w:rFonts w:ascii="Times New Roman" w:hAnsi="Times New Roman"/>
                <w:color w:val="000000"/>
              </w:rPr>
              <w:t>W odniesieniu do wdrożenia inteligentnych systemów pomiarowych, projekt nowelizacji Dyrektywy dodatkowo wzmacnia pozycję i znaczenie konsumentów (odbiorców końcowych) na rynku energii elektrycznej w taki sposób, aby posiadali oni większą możliwość oddziaływania (pole do podejmowania decyzji) oraz byli lepiej chronieni. Regulacja zawiera zapisy zapewniające odbiorcom końcowym prawo do dowolnego wyboru i zmiany sprzedawcy energii lub agregatora, korzystania z</w:t>
            </w:r>
            <w:r w:rsidR="009A6966" w:rsidRPr="00890C68">
              <w:rPr>
                <w:rFonts w:ascii="Times New Roman" w:hAnsi="Times New Roman"/>
                <w:color w:val="000000"/>
              </w:rPr>
              <w:t>e zmiennych ofert taryfowych</w:t>
            </w:r>
            <w:r w:rsidRPr="00890C68">
              <w:rPr>
                <w:rFonts w:ascii="Times New Roman" w:hAnsi="Times New Roman"/>
                <w:color w:val="000000"/>
              </w:rPr>
              <w:t xml:space="preserve"> , jak też umożliwiające zaangażowanie użytkowników końcowych w świadczenie usług elastycznego popytu (</w:t>
            </w:r>
            <w:r w:rsidRPr="00890C68">
              <w:rPr>
                <w:rFonts w:ascii="Times New Roman" w:hAnsi="Times New Roman"/>
                <w:i/>
                <w:color w:val="000000"/>
              </w:rPr>
              <w:t>demand side response)</w:t>
            </w:r>
            <w:r w:rsidRPr="00890C68">
              <w:rPr>
                <w:rFonts w:ascii="Times New Roman" w:hAnsi="Times New Roman"/>
                <w:color w:val="000000"/>
              </w:rPr>
              <w:t>. Zapewnia ponadto, że każdy odbiorca końcowy będzie mógł zażądać zainstalowania inteligentnego licznika, wyposażonego w określony minimalny zestaw funkcjonalności, jeżeli uzna on, że rozwiązanie takie jest dla niego korzystne. Dokument wprowadza też udoskonalenia w zakresie zapewnienia odbiorcy końcowemu pełnej i zrozumiałej informacji o tym kto (którzy uczestnicy rynku), w jakim zakresie i w jakim celu będzie miał dostęp do jego danych. Zaangażowanie użytkowników końcowych w partycypowaniu w kosztach związanych z wdrożeniem inteligentnych systemów pomiarowych będzie mogło mieć miejsce jedynie w oparciu o przejrzyste, niedyskryminujące zasady. Władze krajowe będą zobligowane do monitorowania sposobu przenoszenia kosztów i korzyści generowanych w czasie realizowania wdrożenia systemu na poszczególnych uczestników rynku, ze szczególnym uwzględnieniem dostarczenia korzyści użytkownikowi końcowemu. Nowelizacja Dyrektywy określa poza tym szereg wymagań w zakresie funkcjonalności liczników inteligentnych, w tym w obszarze prowadzenia pomiarów zużycia energii w czasie rzeczywistym, zasad przepływu danych, czy warunków zapewnienia ochrony prywatności i danych odbiorców końcowych. Ponadto, w przypadku tych użytkowników, którzy nie będą posiadali liczników zdalnego odczytu i korzystać będą z liczników tradycyjnych, konieczne będzie zapewnienie takich warunków, aby odbiorcy ci byli rozliczani według faktycznego zużycia energii elektrycznej.</w:t>
            </w:r>
          </w:p>
          <w:p w:rsidR="00091AE9" w:rsidRPr="00890C68" w:rsidRDefault="00091AE9" w:rsidP="00091AE9">
            <w:pPr>
              <w:spacing w:line="240" w:lineRule="auto"/>
              <w:jc w:val="both"/>
              <w:rPr>
                <w:rFonts w:ascii="Times New Roman" w:hAnsi="Times New Roman"/>
                <w:color w:val="000000"/>
              </w:rPr>
            </w:pPr>
          </w:p>
          <w:p w:rsidR="00091AE9" w:rsidRPr="00890C68" w:rsidRDefault="00091AE9" w:rsidP="00091AE9">
            <w:pPr>
              <w:spacing w:line="240" w:lineRule="auto"/>
              <w:jc w:val="both"/>
              <w:rPr>
                <w:rFonts w:ascii="Times New Roman" w:hAnsi="Times New Roman"/>
                <w:color w:val="000000"/>
                <w:u w:val="single"/>
              </w:rPr>
            </w:pPr>
            <w:r w:rsidRPr="00890C68">
              <w:rPr>
                <w:rFonts w:ascii="Times New Roman" w:hAnsi="Times New Roman"/>
                <w:color w:val="000000"/>
                <w:u w:val="single"/>
              </w:rPr>
              <w:t>Dyrektywa Parlamentu Europejskiego i Rady 2012/27/UE z dnia 25 października 2012 r. w sprawie efektywności energetycznej, zmiany dyrektyw 2009/125/WE i 2010/30/UE oraz uchylenia dyrektyw 2004/8/WE i 2006/32/WE.</w:t>
            </w:r>
          </w:p>
          <w:p w:rsidR="00091AE9" w:rsidRPr="00890C68" w:rsidRDefault="00091AE9" w:rsidP="00091AE9">
            <w:pPr>
              <w:spacing w:line="240" w:lineRule="auto"/>
              <w:jc w:val="both"/>
              <w:rPr>
                <w:rFonts w:ascii="Times New Roman" w:hAnsi="Times New Roman"/>
                <w:color w:val="000000"/>
              </w:rPr>
            </w:pPr>
            <w:r w:rsidRPr="00890C68">
              <w:rPr>
                <w:rFonts w:ascii="Times New Roman" w:hAnsi="Times New Roman"/>
                <w:color w:val="000000"/>
              </w:rPr>
              <w:t xml:space="preserve">Postanowienia w artykule 7 pkt 8 Dyrektywy 2012/27/UE, dotyczące ustanawiania i funkcjonowania systemów zobowiązujących do efektywności energetycznej, wskazują na konieczność zapewnienia przez państwa członkowskie, aby strony zobowiązane (dystrybutorzy energii lub przedsiębiorstwa prowadzące jej sprzedaż, objęte krajowymi systemami zobowiązującymi do efektywności energetycznej), przedstawiały na żądanie informacje bieżące w zakresie zużycia energii przez odbiorców końcowych. Spełnienie tego wymogu związane jest z koniecznością zastosowania inteligentnego systemu pomiarowego opartego na licznikach zdalnego pomiaru, skomunikowanych z odpowiednią stroną zobowiązaną. </w:t>
            </w:r>
          </w:p>
          <w:p w:rsidR="00091AE9" w:rsidRPr="00890C68" w:rsidRDefault="00091AE9" w:rsidP="00091AE9">
            <w:pPr>
              <w:spacing w:line="240" w:lineRule="auto"/>
              <w:jc w:val="both"/>
              <w:rPr>
                <w:rFonts w:ascii="Times New Roman" w:hAnsi="Times New Roman"/>
                <w:color w:val="000000"/>
              </w:rPr>
            </w:pPr>
            <w:r w:rsidRPr="00890C68">
              <w:rPr>
                <w:rFonts w:ascii="Times New Roman" w:hAnsi="Times New Roman"/>
                <w:color w:val="000000"/>
              </w:rPr>
              <w:t>Artykuł 9 Dyrektywy określa natomiast warunki wprowadzania inteligentnych systemów pomiarowych energii elektrycznej, wskazując jednocześnie na dążenie do zapewnienia odbiorcom końcowym nabycia po cenach konkurencyjnych liczników indywidualnych, realizujących pomiar rzeczywistego zużycia oraz czasu korzystania z energii. Kluczowe jest, aby odbiorcy końcowi (konsumenci) posiadali możliwość regulowania własnego zużycia energii oraz posiadali wystarczające, zrozumiałe informacje rozliczeniowe (w szczególności: zużycie, ceny bieżące, porównanie zużycia w poszczególnych okresach) przy jednoczesnym spełnieniu wymogów ochrony danych i prywatności wynikających z RODO obwiązującego od 25 maja 2018 roku.</w:t>
            </w:r>
          </w:p>
          <w:p w:rsidR="00091AE9" w:rsidRPr="00890C68" w:rsidRDefault="00091AE9" w:rsidP="00091AE9">
            <w:pPr>
              <w:spacing w:line="240" w:lineRule="auto"/>
              <w:jc w:val="both"/>
              <w:rPr>
                <w:rFonts w:ascii="Times New Roman" w:hAnsi="Times New Roman"/>
                <w:color w:val="000000"/>
              </w:rPr>
            </w:pPr>
            <w:r w:rsidRPr="00890C68">
              <w:rPr>
                <w:rFonts w:ascii="Times New Roman" w:hAnsi="Times New Roman"/>
                <w:color w:val="000000"/>
              </w:rPr>
              <w:t>W ramach „Pakietu Zimowego” Komisja Europejska przygotowała propozycję regulacji prawnej zmieniającej ww. Dyrektywę (dokument COM (2016) 761 final), w którym zmianie ulega treść Artykułu 9 w taki sposób, że usunięto  zapisy dotyczące pomiarów w zakresie energii elektrycznej.</w:t>
            </w:r>
          </w:p>
          <w:p w:rsidR="00091AE9" w:rsidRPr="00890C68" w:rsidRDefault="00091AE9" w:rsidP="00586C4B">
            <w:pPr>
              <w:spacing w:line="240" w:lineRule="auto"/>
              <w:jc w:val="both"/>
              <w:rPr>
                <w:rFonts w:ascii="Times New Roman" w:hAnsi="Times New Roman"/>
                <w:color w:val="000000"/>
              </w:rPr>
            </w:pPr>
          </w:p>
          <w:p w:rsidR="00091AE9" w:rsidRPr="00890C68" w:rsidRDefault="00091AE9" w:rsidP="00091AE9">
            <w:pPr>
              <w:numPr>
                <w:ilvl w:val="1"/>
                <w:numId w:val="3"/>
              </w:numPr>
              <w:spacing w:line="240" w:lineRule="auto"/>
              <w:ind w:left="360"/>
              <w:jc w:val="both"/>
              <w:rPr>
                <w:rFonts w:ascii="Times New Roman" w:hAnsi="Times New Roman"/>
                <w:b/>
                <w:color w:val="000000"/>
              </w:rPr>
            </w:pPr>
            <w:r w:rsidRPr="00890C68">
              <w:rPr>
                <w:rFonts w:ascii="Times New Roman" w:hAnsi="Times New Roman"/>
                <w:b/>
                <w:color w:val="000000"/>
              </w:rPr>
              <w:t>Potrzeba kształtowania świadomości i aktywnego zaangażowania użytkowników końcowych wobec uwarunkowań wynikających z prognozowanego braku możliwości pokrycia zapotrzebowania na moc i energię elektryczną w średnim i długim okresie w Krajowym Systemie Elektroenergetycznym</w:t>
            </w:r>
          </w:p>
          <w:p w:rsidR="00091AE9" w:rsidRPr="00890C68" w:rsidRDefault="00091AE9" w:rsidP="00091AE9">
            <w:pPr>
              <w:spacing w:line="240" w:lineRule="auto"/>
              <w:ind w:left="360"/>
              <w:jc w:val="both"/>
              <w:rPr>
                <w:rFonts w:ascii="Times New Roman" w:hAnsi="Times New Roman"/>
                <w:b/>
                <w:color w:val="000000"/>
              </w:rPr>
            </w:pPr>
          </w:p>
          <w:p w:rsidR="00091AE9" w:rsidRPr="00890C68" w:rsidRDefault="00091AE9" w:rsidP="00091AE9">
            <w:pPr>
              <w:spacing w:line="240" w:lineRule="auto"/>
              <w:jc w:val="both"/>
              <w:rPr>
                <w:rFonts w:ascii="Times New Roman" w:hAnsi="Times New Roman"/>
                <w:color w:val="000000"/>
              </w:rPr>
            </w:pPr>
            <w:r w:rsidRPr="00890C68">
              <w:rPr>
                <w:rFonts w:ascii="Times New Roman" w:hAnsi="Times New Roman"/>
                <w:color w:val="000000"/>
              </w:rPr>
              <w:t xml:space="preserve">Jednym z czynników przyczyniających się do niepewnej sytuacji bilansowej KSE jest sposób wykorzystywania energii elektrycznej i kształtowania zapotrzebowania na moc szczytową przez odbiorców końcowych. Obecnie funkcjonujący system rozliczania umów zawartych na korzystanie z energii elektrycznej nie zawiera zachęt do zmiany przyzwyczajeń w obszarze codziennego zużycia energii elektrycznej. Użytkownicy końcowi nie dokonują analizy swoich działań w zakresie sposobu korzystania z energii elektrycznej w kontekście funkcjonowania systemu elektroenergetycznego. Istotnym czynnikiem tego stanu jest brak danych pomiarowych dotyczących zużycia energii w okresach godzinowych, oraz brak ofert rynkowych uwzględniających oddziaływania na zachowania odbiorcy końcowego w zużyciu szczytowym. </w:t>
            </w:r>
          </w:p>
          <w:p w:rsidR="00091AE9" w:rsidRPr="00890C68" w:rsidRDefault="00091AE9" w:rsidP="00091AE9">
            <w:pPr>
              <w:spacing w:line="240" w:lineRule="auto"/>
              <w:jc w:val="both"/>
              <w:rPr>
                <w:rFonts w:ascii="Times New Roman" w:hAnsi="Times New Roman"/>
                <w:color w:val="000000"/>
              </w:rPr>
            </w:pPr>
            <w:r w:rsidRPr="00890C68">
              <w:rPr>
                <w:rFonts w:ascii="Times New Roman" w:hAnsi="Times New Roman"/>
                <w:color w:val="000000"/>
              </w:rPr>
              <w:t xml:space="preserve">Wspomniany powyżej rynek mocy wzmocniony wdrożeniem systemu inteligentnego opomiarowania są mechanizmami, które prowadzą do niwelacji niebezpieczeństwa wystąpienia niedoboru mocy w Krajowym Systemie Elektroenergetycznym. </w:t>
            </w:r>
          </w:p>
          <w:p w:rsidR="00091AE9" w:rsidRPr="00890C68" w:rsidRDefault="00091AE9" w:rsidP="00091AE9">
            <w:pPr>
              <w:spacing w:line="240" w:lineRule="auto"/>
              <w:ind w:left="360"/>
              <w:jc w:val="both"/>
              <w:rPr>
                <w:rFonts w:ascii="Times New Roman" w:hAnsi="Times New Roman"/>
                <w:color w:val="000000"/>
              </w:rPr>
            </w:pPr>
          </w:p>
          <w:p w:rsidR="00091AE9" w:rsidRPr="00890C68" w:rsidRDefault="00091AE9" w:rsidP="00091AE9">
            <w:pPr>
              <w:numPr>
                <w:ilvl w:val="1"/>
                <w:numId w:val="3"/>
              </w:numPr>
              <w:spacing w:line="240" w:lineRule="auto"/>
              <w:ind w:left="360"/>
              <w:jc w:val="both"/>
              <w:rPr>
                <w:rFonts w:ascii="Times New Roman" w:hAnsi="Times New Roman"/>
                <w:color w:val="000000"/>
              </w:rPr>
            </w:pPr>
            <w:r w:rsidRPr="00890C68">
              <w:rPr>
                <w:rFonts w:ascii="Times New Roman" w:hAnsi="Times New Roman"/>
                <w:b/>
                <w:color w:val="000000"/>
              </w:rPr>
              <w:t>Sytuacja odbiorcy końcowego energii elektrycznej</w:t>
            </w:r>
          </w:p>
          <w:p w:rsidR="00091AE9" w:rsidRPr="00890C68" w:rsidRDefault="00091AE9" w:rsidP="00091AE9">
            <w:pPr>
              <w:spacing w:line="240" w:lineRule="auto"/>
              <w:ind w:left="360"/>
              <w:jc w:val="both"/>
              <w:rPr>
                <w:rFonts w:ascii="Times New Roman" w:hAnsi="Times New Roman"/>
                <w:color w:val="000000"/>
              </w:rPr>
            </w:pPr>
            <w:r w:rsidRPr="00890C68">
              <w:rPr>
                <w:rFonts w:ascii="Times New Roman" w:hAnsi="Times New Roman"/>
                <w:b/>
                <w:color w:val="000000"/>
              </w:rPr>
              <w:t xml:space="preserve"> </w:t>
            </w:r>
          </w:p>
          <w:p w:rsidR="00091AE9" w:rsidRPr="00890C68" w:rsidRDefault="00091AE9" w:rsidP="00091AE9">
            <w:pPr>
              <w:spacing w:line="240" w:lineRule="auto"/>
              <w:jc w:val="both"/>
              <w:rPr>
                <w:rFonts w:ascii="Times New Roman" w:hAnsi="Times New Roman"/>
                <w:color w:val="000000"/>
              </w:rPr>
            </w:pPr>
            <w:r w:rsidRPr="00890C68">
              <w:rPr>
                <w:rFonts w:ascii="Times New Roman" w:hAnsi="Times New Roman"/>
                <w:color w:val="000000"/>
              </w:rPr>
              <w:t xml:space="preserve">Najliczniejszą grupą odbiorców energii elektrycznej i jednocześnie najliczniejszą grupą uczestników rynku energii elektrycznej są odbiorcy </w:t>
            </w:r>
            <w:r w:rsidR="00AF41DB" w:rsidRPr="00890C68">
              <w:rPr>
                <w:rFonts w:ascii="Times New Roman" w:hAnsi="Times New Roman"/>
                <w:color w:val="000000"/>
              </w:rPr>
              <w:t xml:space="preserve">końcowi </w:t>
            </w:r>
            <w:r w:rsidRPr="00890C68">
              <w:rPr>
                <w:rFonts w:ascii="Times New Roman" w:hAnsi="Times New Roman"/>
                <w:color w:val="000000"/>
              </w:rPr>
              <w:t xml:space="preserve">(głównie gospodarstwa domowe) należący do  grupy taryfowej </w:t>
            </w:r>
            <w:r w:rsidR="00DD4C7F" w:rsidRPr="00890C68">
              <w:rPr>
                <w:rFonts w:ascii="Times New Roman" w:hAnsi="Times New Roman"/>
                <w:color w:val="000000"/>
              </w:rPr>
              <w:t xml:space="preserve">G oraz C1x o mocy umownej </w:t>
            </w:r>
            <w:r w:rsidR="00067388" w:rsidRPr="00890C68">
              <w:rPr>
                <w:rFonts w:ascii="Times New Roman" w:hAnsi="Times New Roman"/>
                <w:color w:val="000000"/>
              </w:rPr>
              <w:t>mniejszej lub równej</w:t>
            </w:r>
            <w:r w:rsidR="00DD4C7F" w:rsidRPr="00890C68">
              <w:rPr>
                <w:rFonts w:ascii="Times New Roman" w:hAnsi="Times New Roman"/>
                <w:color w:val="000000"/>
              </w:rPr>
              <w:t>16 kW</w:t>
            </w:r>
            <w:r w:rsidRPr="00890C68">
              <w:rPr>
                <w:rFonts w:ascii="Times New Roman" w:hAnsi="Times New Roman"/>
                <w:color w:val="000000"/>
              </w:rPr>
              <w:t xml:space="preserve">. </w:t>
            </w:r>
            <w:r w:rsidR="003863C0" w:rsidRPr="00890C68">
              <w:rPr>
                <w:rFonts w:ascii="Times New Roman" w:hAnsi="Times New Roman"/>
                <w:color w:val="000000"/>
              </w:rPr>
              <w:t xml:space="preserve">Liczba odbiorców </w:t>
            </w:r>
            <w:r w:rsidR="00751AB0" w:rsidRPr="00890C68">
              <w:rPr>
                <w:rFonts w:ascii="Times New Roman" w:hAnsi="Times New Roman"/>
                <w:color w:val="000000"/>
              </w:rPr>
              <w:t xml:space="preserve"> </w:t>
            </w:r>
            <w:r w:rsidR="00067388" w:rsidRPr="00890C68">
              <w:rPr>
                <w:rFonts w:ascii="Times New Roman" w:hAnsi="Times New Roman"/>
                <w:color w:val="000000"/>
              </w:rPr>
              <w:t xml:space="preserve">w </w:t>
            </w:r>
            <w:r w:rsidR="00751AB0" w:rsidRPr="00890C68">
              <w:rPr>
                <w:rFonts w:ascii="Times New Roman" w:hAnsi="Times New Roman"/>
                <w:color w:val="000000"/>
              </w:rPr>
              <w:t>obu wyodrębnionych grup</w:t>
            </w:r>
            <w:r w:rsidR="00067388" w:rsidRPr="00890C68">
              <w:rPr>
                <w:rFonts w:ascii="Times New Roman" w:hAnsi="Times New Roman"/>
                <w:color w:val="000000"/>
              </w:rPr>
              <w:t>ach</w:t>
            </w:r>
            <w:r w:rsidRPr="00890C68">
              <w:rPr>
                <w:rFonts w:ascii="Times New Roman" w:hAnsi="Times New Roman"/>
                <w:color w:val="000000"/>
              </w:rPr>
              <w:t xml:space="preserve"> w 2018 roku osiągnęła poziom </w:t>
            </w:r>
            <w:r w:rsidR="00067388" w:rsidRPr="00890C68">
              <w:rPr>
                <w:rFonts w:ascii="Times New Roman" w:hAnsi="Times New Roman"/>
              </w:rPr>
              <w:lastRenderedPageBreak/>
              <w:t>16,3</w:t>
            </w:r>
            <w:r w:rsidRPr="00890C68">
              <w:rPr>
                <w:rFonts w:ascii="Times New Roman" w:hAnsi="Times New Roman"/>
                <w:color w:val="FF0000"/>
              </w:rPr>
              <w:t> </w:t>
            </w:r>
            <w:r w:rsidRPr="00890C68">
              <w:rPr>
                <w:rFonts w:ascii="Times New Roman" w:hAnsi="Times New Roman"/>
              </w:rPr>
              <w:t>mln</w:t>
            </w:r>
            <w:r w:rsidRPr="00890C68">
              <w:rPr>
                <w:rStyle w:val="Odwoanieprzypisudolnego"/>
                <w:rFonts w:ascii="Times New Roman" w:hAnsi="Times New Roman"/>
                <w:color w:val="000000"/>
              </w:rPr>
              <w:footnoteReference w:id="3"/>
            </w:r>
            <w:r w:rsidRPr="00890C68">
              <w:rPr>
                <w:rFonts w:ascii="Times New Roman" w:hAnsi="Times New Roman"/>
                <w:color w:val="000000"/>
              </w:rPr>
              <w:t xml:space="preserve">. Z tego względu, charakterystykę funkcjonującego rynku energii elektrycznej w Polsce przeanalizowano w zakresie rynku detalicznego, z uwzględnieniem percepcji odbiorcy końcowego. </w:t>
            </w:r>
          </w:p>
          <w:p w:rsidR="00091AE9" w:rsidRPr="00890C68" w:rsidRDefault="00091AE9" w:rsidP="00091AE9">
            <w:pPr>
              <w:spacing w:line="240" w:lineRule="auto"/>
              <w:jc w:val="both"/>
              <w:rPr>
                <w:rFonts w:ascii="Times New Roman" w:hAnsi="Times New Roman"/>
                <w:color w:val="000000"/>
              </w:rPr>
            </w:pPr>
          </w:p>
          <w:p w:rsidR="00091AE9" w:rsidRPr="00890C68" w:rsidRDefault="00091AE9" w:rsidP="00091AE9">
            <w:pPr>
              <w:spacing w:line="240" w:lineRule="auto"/>
              <w:jc w:val="both"/>
              <w:rPr>
                <w:rFonts w:ascii="Times New Roman" w:hAnsi="Times New Roman"/>
                <w:color w:val="000000"/>
              </w:rPr>
            </w:pPr>
            <w:r w:rsidRPr="00890C68">
              <w:rPr>
                <w:rFonts w:ascii="Times New Roman" w:hAnsi="Times New Roman"/>
                <w:color w:val="000000"/>
              </w:rPr>
              <w:t>Uczestnikami detalicznego rynku energii elektrycznej są przedsiębiorstwa obrotu (sprzedawcy energii) oraz odbiorcy końcowi (indywidualni oraz przedsiębiorstwa).</w:t>
            </w:r>
          </w:p>
          <w:p w:rsidR="00091AE9" w:rsidRPr="00890C68" w:rsidRDefault="00091AE9" w:rsidP="00091AE9">
            <w:pPr>
              <w:spacing w:line="240" w:lineRule="auto"/>
              <w:jc w:val="both"/>
              <w:rPr>
                <w:rFonts w:ascii="Times New Roman" w:hAnsi="Times New Roman"/>
                <w:color w:val="000000"/>
              </w:rPr>
            </w:pPr>
            <w:r w:rsidRPr="00890C68">
              <w:rPr>
                <w:rFonts w:ascii="Times New Roman" w:hAnsi="Times New Roman"/>
                <w:color w:val="000000"/>
              </w:rPr>
              <w:t>Według informacji URE</w:t>
            </w:r>
            <w:r w:rsidRPr="00890C68">
              <w:rPr>
                <w:rStyle w:val="Odwoanieprzypisudolnego"/>
                <w:rFonts w:ascii="Times New Roman" w:hAnsi="Times New Roman"/>
                <w:color w:val="000000"/>
              </w:rPr>
              <w:footnoteReference w:id="4"/>
            </w:r>
            <w:r w:rsidRPr="00890C68">
              <w:rPr>
                <w:rFonts w:ascii="Times New Roman" w:hAnsi="Times New Roman"/>
                <w:color w:val="000000"/>
              </w:rPr>
              <w:t xml:space="preserve">, w roku 2017 funkcjonowało w Polsce 5 dużych operatorów sieci dystrybucyjnej, których sieci są przyłączone bezpośrednio do sieci przesyłowej (OSDp) oraz 178 przedsiębiorstw nie przyłączonych do sieci przesyłowych (OSDn). </w:t>
            </w:r>
          </w:p>
          <w:p w:rsidR="00091AE9" w:rsidRPr="00890C68" w:rsidRDefault="00091AE9" w:rsidP="00091AE9">
            <w:pPr>
              <w:spacing w:line="240" w:lineRule="auto"/>
              <w:jc w:val="both"/>
              <w:rPr>
                <w:rFonts w:ascii="Times New Roman" w:hAnsi="Times New Roman"/>
                <w:color w:val="000000"/>
              </w:rPr>
            </w:pPr>
            <w:r w:rsidRPr="00890C68">
              <w:rPr>
                <w:rFonts w:ascii="Times New Roman" w:hAnsi="Times New Roman"/>
                <w:color w:val="000000"/>
              </w:rPr>
              <w:t>To samo źródło wskazuje, że w roku 2017 działało ogółem 302 sprzedawców energii elektrycznej, w tym 5 podmiotów pozostałych jako strona umów kompleksowych po wyodrębnieniu OSD, ponad 119 przedsiębiorstw obrotu zajmujących się sprzedażą energii elektrycznej do odbiorców końcowych (w tym działających na rynku gospodarstw domowych), oraz 178 podmiotów powiązanych z OSDn, utworzonych w celu sprzedaży energii elektrycznej.</w:t>
            </w:r>
          </w:p>
          <w:p w:rsidR="00091AE9" w:rsidRPr="00890C68" w:rsidRDefault="00091AE9" w:rsidP="00091AE9">
            <w:pPr>
              <w:spacing w:line="240" w:lineRule="auto"/>
              <w:jc w:val="both"/>
              <w:rPr>
                <w:rFonts w:ascii="Times New Roman" w:hAnsi="Times New Roman"/>
                <w:color w:val="000000"/>
              </w:rPr>
            </w:pPr>
            <w:r w:rsidRPr="00890C68">
              <w:rPr>
                <w:rFonts w:ascii="Times New Roman" w:hAnsi="Times New Roman"/>
                <w:color w:val="000000"/>
              </w:rPr>
              <w:t>Ze względu na dominującą pozycję rynkową oraz małą konkurencję cenową, wciąż największy udział w sprzedaży energii elektrycznej do odbiorców końcowych mają sprzedawcy</w:t>
            </w:r>
            <w:r w:rsidR="00B303AA" w:rsidRPr="00890C68">
              <w:rPr>
                <w:rFonts w:ascii="Times New Roman" w:hAnsi="Times New Roman"/>
                <w:color w:val="000000"/>
              </w:rPr>
              <w:t xml:space="preserve"> </w:t>
            </w:r>
            <w:r w:rsidR="00E5618F" w:rsidRPr="00890C68">
              <w:rPr>
                <w:rFonts w:ascii="Times New Roman" w:hAnsi="Times New Roman"/>
                <w:color w:val="000000"/>
              </w:rPr>
              <w:t xml:space="preserve">pozostali po wyodrębnieniu </w:t>
            </w:r>
            <w:r w:rsidR="00B303AA" w:rsidRPr="00890C68">
              <w:rPr>
                <w:rFonts w:ascii="Times New Roman" w:hAnsi="Times New Roman"/>
                <w:color w:val="000000"/>
              </w:rPr>
              <w:t xml:space="preserve"> poszczególny</w:t>
            </w:r>
            <w:r w:rsidR="00E5618F" w:rsidRPr="00890C68">
              <w:rPr>
                <w:rFonts w:ascii="Times New Roman" w:hAnsi="Times New Roman"/>
                <w:color w:val="000000"/>
              </w:rPr>
              <w:t xml:space="preserve">ch </w:t>
            </w:r>
            <w:r w:rsidR="00B303AA" w:rsidRPr="00890C68">
              <w:rPr>
                <w:rFonts w:ascii="Times New Roman" w:hAnsi="Times New Roman"/>
                <w:color w:val="000000"/>
              </w:rPr>
              <w:t>OSD</w:t>
            </w:r>
            <w:r w:rsidRPr="00890C68">
              <w:rPr>
                <w:rFonts w:ascii="Times New Roman" w:hAnsi="Times New Roman"/>
                <w:color w:val="000000"/>
              </w:rPr>
              <w:t xml:space="preserve">. Odsetek zmiany sprzedawców energii elektrycznej publikowany na stronie URE w pierwszych 4 miesiącach roku 2018 wynosi 3,9%. </w:t>
            </w:r>
          </w:p>
          <w:p w:rsidR="00091AE9" w:rsidRPr="00890C68" w:rsidRDefault="00091AE9" w:rsidP="00091AE9">
            <w:pPr>
              <w:spacing w:line="240" w:lineRule="auto"/>
              <w:jc w:val="both"/>
              <w:rPr>
                <w:rFonts w:ascii="Times New Roman" w:hAnsi="Times New Roman"/>
                <w:color w:val="000000"/>
              </w:rPr>
            </w:pPr>
            <w:r w:rsidRPr="00890C68">
              <w:rPr>
                <w:rFonts w:ascii="Times New Roman" w:hAnsi="Times New Roman"/>
                <w:color w:val="000000"/>
              </w:rPr>
              <w:t>Pozycja indywidualnego odbiorcy końcowego kształtowana jest poprzez warunki umów zawieranych z przedsiębiorstwami po stronie podażowej. Odbiorca nie ma możliwości zmiany OSD (monopol naturalny). Może natomiast zmienić sprzedawcę energii elektrycznej, przy czym aktualnie proces ten jest długotrwały i uciążliwy dla konsumenta, za sprawą skomplikowanych procedur formalnych, na co wpływ wywiera również ograniczenie dostępu do danych dla sprzedawców. W   konsekwencji, aktualnie funkcjonujący model zmiany sprzedawcy nie wpływa pozytywnie na podejmowanie decyzji przez odbiorców końcowych.</w:t>
            </w:r>
          </w:p>
          <w:p w:rsidR="00091AE9" w:rsidRPr="00890C68" w:rsidRDefault="00091AE9" w:rsidP="00091AE9">
            <w:pPr>
              <w:spacing w:line="240" w:lineRule="auto"/>
              <w:jc w:val="both"/>
              <w:rPr>
                <w:rFonts w:ascii="Times New Roman" w:hAnsi="Times New Roman"/>
                <w:color w:val="000000"/>
              </w:rPr>
            </w:pPr>
            <w:r w:rsidRPr="00890C68">
              <w:rPr>
                <w:rFonts w:ascii="Times New Roman" w:hAnsi="Times New Roman"/>
                <w:color w:val="000000"/>
              </w:rPr>
              <w:t>Ponadto, odbiorcy końcowi nie dysponują narzędziami, które umożliwiałyby im kontrolę jakości pobieranej energii elektrycznej. Rozliczenia umów zakupu/sprzedaży energii odbywają się na podstawie prognoz a nie rzeczywistego zużycia. W efekcie często następuje kredytowanie przedsiębiorstw energetycznych przez odbiorców, a z drugiej strony zdarza się kumulacja wysokich kwot płatności za zużytą energię elektryczną w przypadku niedoszacowanych prognoz</w:t>
            </w:r>
            <w:r w:rsidR="00C649FB" w:rsidRPr="00890C68">
              <w:rPr>
                <w:rFonts w:ascii="Times New Roman" w:hAnsi="Times New Roman"/>
                <w:color w:val="000000"/>
              </w:rPr>
              <w:t>.</w:t>
            </w:r>
          </w:p>
          <w:p w:rsidR="00091AE9" w:rsidRPr="00890C68" w:rsidRDefault="00091AE9" w:rsidP="00091AE9">
            <w:pPr>
              <w:spacing w:line="240" w:lineRule="auto"/>
              <w:jc w:val="both"/>
              <w:rPr>
                <w:rFonts w:ascii="Times New Roman" w:hAnsi="Times New Roman"/>
                <w:color w:val="000000"/>
              </w:rPr>
            </w:pPr>
            <w:r w:rsidRPr="00890C68">
              <w:rPr>
                <w:rFonts w:ascii="Times New Roman" w:hAnsi="Times New Roman"/>
                <w:color w:val="000000"/>
              </w:rPr>
              <w:t>Brak dostępu do danych pomiarowych dotyczących rzeczywistego zużycia odbiorców jest również barierą dla rozwoju usług opartych o elastyczny popyt odbiorców (</w:t>
            </w:r>
            <w:r w:rsidRPr="00890C68">
              <w:rPr>
                <w:rFonts w:ascii="Times New Roman" w:hAnsi="Times New Roman"/>
                <w:i/>
                <w:color w:val="000000"/>
              </w:rPr>
              <w:t>Demand Side Response</w:t>
            </w:r>
            <w:r w:rsidRPr="00890C68">
              <w:rPr>
                <w:rFonts w:ascii="Times New Roman" w:hAnsi="Times New Roman"/>
                <w:color w:val="000000"/>
              </w:rPr>
              <w:t>), a także dla nowych usług zarządzania zużyciem energii przez odbiorców przez podmioty komercyjne tzw. ESCO (</w:t>
            </w:r>
            <w:r w:rsidRPr="00890C68">
              <w:rPr>
                <w:rFonts w:ascii="Times New Roman" w:hAnsi="Times New Roman"/>
                <w:i/>
                <w:color w:val="000000"/>
              </w:rPr>
              <w:t>Energy Services Companies</w:t>
            </w:r>
            <w:r w:rsidRPr="00890C68">
              <w:rPr>
                <w:rFonts w:ascii="Times New Roman" w:hAnsi="Times New Roman"/>
                <w:color w:val="000000"/>
              </w:rPr>
              <w:t xml:space="preserve">). </w:t>
            </w:r>
          </w:p>
          <w:p w:rsidR="00091AE9" w:rsidRPr="00890C68" w:rsidRDefault="00091AE9" w:rsidP="00091AE9">
            <w:pPr>
              <w:spacing w:line="240" w:lineRule="auto"/>
              <w:jc w:val="both"/>
              <w:rPr>
                <w:rFonts w:ascii="Times New Roman" w:hAnsi="Times New Roman"/>
                <w:color w:val="000000"/>
              </w:rPr>
            </w:pPr>
          </w:p>
          <w:p w:rsidR="00091AE9" w:rsidRPr="00890C68" w:rsidRDefault="00091AE9" w:rsidP="00091AE9">
            <w:pPr>
              <w:numPr>
                <w:ilvl w:val="1"/>
                <w:numId w:val="3"/>
              </w:numPr>
              <w:spacing w:line="240" w:lineRule="auto"/>
              <w:ind w:left="360"/>
              <w:jc w:val="both"/>
              <w:rPr>
                <w:rFonts w:ascii="Times New Roman" w:hAnsi="Times New Roman"/>
                <w:b/>
                <w:color w:val="000000"/>
              </w:rPr>
            </w:pPr>
            <w:r w:rsidRPr="00890C68">
              <w:rPr>
                <w:rFonts w:ascii="Times New Roman" w:hAnsi="Times New Roman"/>
                <w:b/>
                <w:color w:val="000000"/>
              </w:rPr>
              <w:t>Przewidywane skutki niewprowadzania zmian – dalsze utrzymanie stanu istniejącego</w:t>
            </w:r>
          </w:p>
          <w:p w:rsidR="00091AE9" w:rsidRPr="00890C68" w:rsidRDefault="00091AE9" w:rsidP="00091AE9">
            <w:pPr>
              <w:spacing w:line="240" w:lineRule="auto"/>
              <w:ind w:left="360"/>
              <w:jc w:val="both"/>
              <w:rPr>
                <w:rFonts w:ascii="Times New Roman" w:hAnsi="Times New Roman"/>
                <w:b/>
                <w:color w:val="000000"/>
              </w:rPr>
            </w:pPr>
          </w:p>
          <w:p w:rsidR="00091AE9" w:rsidRPr="00890C68" w:rsidRDefault="00091AE9" w:rsidP="00091AE9">
            <w:pPr>
              <w:spacing w:line="240" w:lineRule="auto"/>
              <w:jc w:val="both"/>
              <w:rPr>
                <w:rFonts w:ascii="Times New Roman" w:hAnsi="Times New Roman"/>
                <w:color w:val="000000"/>
              </w:rPr>
            </w:pPr>
            <w:r w:rsidRPr="00890C68">
              <w:rPr>
                <w:rFonts w:ascii="Times New Roman" w:hAnsi="Times New Roman"/>
                <w:color w:val="000000"/>
              </w:rPr>
              <w:t>Koszty związane z utrzymaniem prawidłowego funkcjonowania systemu pomiarowego</w:t>
            </w:r>
            <w:r w:rsidR="004D72D5" w:rsidRPr="00890C68">
              <w:rPr>
                <w:rFonts w:ascii="Times New Roman" w:hAnsi="Times New Roman"/>
                <w:color w:val="000000"/>
              </w:rPr>
              <w:t xml:space="preserve"> </w:t>
            </w:r>
            <w:r w:rsidRPr="00890C68">
              <w:rPr>
                <w:rFonts w:ascii="Times New Roman" w:hAnsi="Times New Roman"/>
                <w:color w:val="000000"/>
              </w:rPr>
              <w:t xml:space="preserve">stanowią dużą część wydatków ponoszonych przez OSD. Na podstawie danych  dostarczonych przez największych OSD, ustalono, że w latach </w:t>
            </w:r>
            <w:r w:rsidR="00ED499E" w:rsidRPr="00890C68">
              <w:rPr>
                <w:rFonts w:ascii="Times New Roman" w:hAnsi="Times New Roman"/>
                <w:color w:val="000000"/>
              </w:rPr>
              <w:t>2020</w:t>
            </w:r>
            <w:r w:rsidRPr="00890C68">
              <w:rPr>
                <w:rFonts w:ascii="Times New Roman" w:hAnsi="Times New Roman"/>
                <w:color w:val="000000"/>
              </w:rPr>
              <w:t>-2028, przy utrzymaniu stanu istniejącego, koszt ten może osiągnąć łączną wysokość ok. </w:t>
            </w:r>
            <w:r w:rsidRPr="00890C68">
              <w:rPr>
                <w:rFonts w:ascii="Times New Roman" w:hAnsi="Times New Roman"/>
              </w:rPr>
              <w:t>3 mld</w:t>
            </w:r>
            <w:r w:rsidRPr="00890C68">
              <w:rPr>
                <w:rFonts w:ascii="Times New Roman" w:hAnsi="Times New Roman"/>
                <w:color w:val="000000"/>
              </w:rPr>
              <w:t xml:space="preserve"> zł. Zachowanie modelu systemu pomiarowego opartego o liczniki statyczne spowoduje w perspektywie najbliższych dziesięciu lat zdecydowany wzrost kosztów związanych z ich odczytem. Przy założeniu, że:</w:t>
            </w:r>
          </w:p>
          <w:p w:rsidR="00091AE9" w:rsidRPr="00890C68" w:rsidRDefault="00091AE9" w:rsidP="00091AE9">
            <w:pPr>
              <w:spacing w:line="240" w:lineRule="auto"/>
              <w:jc w:val="both"/>
              <w:rPr>
                <w:rFonts w:ascii="Times New Roman" w:hAnsi="Times New Roman"/>
                <w:color w:val="000000"/>
              </w:rPr>
            </w:pPr>
            <w:r w:rsidRPr="00890C68">
              <w:rPr>
                <w:rFonts w:ascii="Times New Roman" w:hAnsi="Times New Roman"/>
                <w:color w:val="000000"/>
              </w:rPr>
              <w:t xml:space="preserve">a) podtrzymany zostanie inkasencki sposób zbierania informacji na temat ilości energii elektrycznej pobranej przez odbiorcę końcowego, </w:t>
            </w:r>
          </w:p>
          <w:p w:rsidR="00091AE9" w:rsidRPr="00890C68" w:rsidRDefault="00091AE9" w:rsidP="00091AE9">
            <w:pPr>
              <w:spacing w:line="240" w:lineRule="auto"/>
              <w:jc w:val="both"/>
              <w:rPr>
                <w:rFonts w:ascii="Times New Roman" w:hAnsi="Times New Roman"/>
                <w:color w:val="000000"/>
              </w:rPr>
            </w:pPr>
            <w:r w:rsidRPr="00890C68">
              <w:rPr>
                <w:rFonts w:ascii="Times New Roman" w:hAnsi="Times New Roman"/>
                <w:color w:val="000000"/>
              </w:rPr>
              <w:t>b) częstotliwość odczytu licznika uzależniona będzie od postanowień umowy zawartej ze sprzedawcą (może wahać się od 1 w miesiącu do</w:t>
            </w:r>
            <w:r w:rsidR="004C6CF1" w:rsidRPr="00890C68">
              <w:rPr>
                <w:rFonts w:ascii="Times New Roman" w:hAnsi="Times New Roman"/>
                <w:color w:val="000000"/>
              </w:rPr>
              <w:t xml:space="preserve"> 1 w roku,</w:t>
            </w:r>
            <w:r w:rsidRPr="00890C68">
              <w:rPr>
                <w:rFonts w:ascii="Times New Roman" w:hAnsi="Times New Roman"/>
                <w:color w:val="000000"/>
              </w:rPr>
              <w:t xml:space="preserve"> </w:t>
            </w:r>
            <w:r w:rsidR="00451761" w:rsidRPr="00890C68">
              <w:rPr>
                <w:rFonts w:ascii="Times New Roman" w:hAnsi="Times New Roman"/>
                <w:color w:val="000000"/>
              </w:rPr>
              <w:t>średnio 3,</w:t>
            </w:r>
            <w:r w:rsidR="004A3C47" w:rsidRPr="00890C68">
              <w:rPr>
                <w:rFonts w:ascii="Times New Roman" w:hAnsi="Times New Roman"/>
                <w:color w:val="000000"/>
              </w:rPr>
              <w:t>66</w:t>
            </w:r>
            <w:r w:rsidRPr="00890C68">
              <w:rPr>
                <w:rFonts w:ascii="Times New Roman" w:hAnsi="Times New Roman"/>
                <w:color w:val="000000"/>
              </w:rPr>
              <w:t xml:space="preserve"> </w:t>
            </w:r>
            <w:r w:rsidR="004C6CF1" w:rsidRPr="00890C68">
              <w:rPr>
                <w:rFonts w:ascii="Times New Roman" w:hAnsi="Times New Roman"/>
                <w:color w:val="000000"/>
              </w:rPr>
              <w:t>rocznie</w:t>
            </w:r>
            <w:r w:rsidRPr="00890C68">
              <w:rPr>
                <w:rFonts w:ascii="Times New Roman" w:hAnsi="Times New Roman"/>
                <w:color w:val="000000"/>
              </w:rPr>
              <w:t>),</w:t>
            </w:r>
          </w:p>
          <w:p w:rsidR="00091AE9" w:rsidRPr="00890C68" w:rsidRDefault="00091AE9" w:rsidP="00091AE9">
            <w:pPr>
              <w:spacing w:line="240" w:lineRule="auto"/>
              <w:jc w:val="both"/>
              <w:rPr>
                <w:rFonts w:ascii="Times New Roman" w:hAnsi="Times New Roman"/>
                <w:color w:val="000000"/>
              </w:rPr>
            </w:pPr>
            <w:r w:rsidRPr="00890C68">
              <w:rPr>
                <w:rFonts w:ascii="Times New Roman" w:hAnsi="Times New Roman"/>
                <w:color w:val="000000"/>
              </w:rPr>
              <w:t xml:space="preserve">c) a </w:t>
            </w:r>
            <w:r w:rsidR="004A3C47" w:rsidRPr="00890C68">
              <w:rPr>
                <w:rFonts w:ascii="Times New Roman" w:hAnsi="Times New Roman"/>
                <w:color w:val="000000"/>
              </w:rPr>
              <w:t>liczba</w:t>
            </w:r>
            <w:r w:rsidRPr="00890C68">
              <w:rPr>
                <w:rFonts w:ascii="Times New Roman" w:hAnsi="Times New Roman"/>
                <w:color w:val="000000"/>
              </w:rPr>
              <w:t xml:space="preserve"> odczytów będzie wprost proporcjonalnie powiązana z wysokością opłaty abonamentowej</w:t>
            </w:r>
          </w:p>
          <w:p w:rsidR="00091AE9" w:rsidRPr="00890C68" w:rsidRDefault="00091AE9" w:rsidP="00091AE9">
            <w:pPr>
              <w:spacing w:line="240" w:lineRule="auto"/>
              <w:jc w:val="both"/>
              <w:rPr>
                <w:rFonts w:ascii="Times New Roman" w:hAnsi="Times New Roman"/>
                <w:color w:val="000000"/>
              </w:rPr>
            </w:pPr>
            <w:r w:rsidRPr="00890C68">
              <w:rPr>
                <w:rFonts w:ascii="Times New Roman" w:hAnsi="Times New Roman"/>
                <w:color w:val="000000"/>
              </w:rPr>
              <w:t xml:space="preserve">- to koszty związane z odczytem </w:t>
            </w:r>
            <w:r w:rsidR="003073CF" w:rsidRPr="00890C68">
              <w:rPr>
                <w:rFonts w:ascii="Times New Roman" w:hAnsi="Times New Roman"/>
                <w:color w:val="000000"/>
              </w:rPr>
              <w:t>inkasenckim</w:t>
            </w:r>
            <w:r w:rsidRPr="00890C68">
              <w:rPr>
                <w:rFonts w:ascii="Times New Roman" w:hAnsi="Times New Roman"/>
                <w:color w:val="000000"/>
              </w:rPr>
              <w:t xml:space="preserve"> w latach </w:t>
            </w:r>
            <w:r w:rsidRPr="00890C68">
              <w:rPr>
                <w:rFonts w:ascii="Times New Roman" w:hAnsi="Times New Roman"/>
              </w:rPr>
              <w:t>20</w:t>
            </w:r>
            <w:r w:rsidR="00A27149" w:rsidRPr="00890C68">
              <w:rPr>
                <w:rFonts w:ascii="Times New Roman" w:hAnsi="Times New Roman"/>
              </w:rPr>
              <w:t>20</w:t>
            </w:r>
            <w:r w:rsidRPr="00890C68">
              <w:rPr>
                <w:rFonts w:ascii="Times New Roman" w:hAnsi="Times New Roman"/>
              </w:rPr>
              <w:t> - 2028</w:t>
            </w:r>
            <w:r w:rsidRPr="00890C68">
              <w:rPr>
                <w:rFonts w:ascii="Times New Roman" w:hAnsi="Times New Roman"/>
                <w:color w:val="000000"/>
              </w:rPr>
              <w:t xml:space="preserve"> mogą osiągnąć wartość ok. </w:t>
            </w:r>
            <w:r w:rsidR="004326A9" w:rsidRPr="00890C68">
              <w:rPr>
                <w:rFonts w:ascii="Times New Roman" w:hAnsi="Times New Roman"/>
              </w:rPr>
              <w:t>2,5</w:t>
            </w:r>
            <w:r w:rsidRPr="00890C68">
              <w:rPr>
                <w:rFonts w:ascii="Times New Roman" w:hAnsi="Times New Roman"/>
                <w:color w:val="000000"/>
              </w:rPr>
              <w:t xml:space="preserve"> mld zł</w:t>
            </w:r>
            <w:r w:rsidR="001E7412" w:rsidRPr="00890C68">
              <w:rPr>
                <w:rFonts w:ascii="Times New Roman" w:hAnsi="Times New Roman"/>
                <w:color w:val="000000"/>
              </w:rPr>
              <w:t xml:space="preserve">, zaś całkowity koszt funkcjonowania </w:t>
            </w:r>
            <w:r w:rsidR="00B95B45" w:rsidRPr="00890C68">
              <w:rPr>
                <w:rFonts w:ascii="Times New Roman" w:hAnsi="Times New Roman"/>
                <w:color w:val="000000"/>
              </w:rPr>
              <w:t xml:space="preserve">warstwy licznikowo-inkasenckiej dla OSD może osiągnąć wartość rzędu </w:t>
            </w:r>
            <w:r w:rsidR="00EC4166" w:rsidRPr="00890C68">
              <w:rPr>
                <w:rFonts w:ascii="Times New Roman" w:hAnsi="Times New Roman"/>
                <w:color w:val="000000"/>
              </w:rPr>
              <w:t>5,5 mld zł</w:t>
            </w:r>
            <w:r w:rsidR="00260B8D" w:rsidRPr="00890C68">
              <w:rPr>
                <w:rFonts w:ascii="Times New Roman" w:hAnsi="Times New Roman"/>
                <w:color w:val="000000"/>
              </w:rPr>
              <w:t xml:space="preserve"> </w:t>
            </w:r>
          </w:p>
          <w:p w:rsidR="00091AE9" w:rsidRPr="00890C68" w:rsidRDefault="00091AE9" w:rsidP="00091AE9">
            <w:pPr>
              <w:spacing w:line="240" w:lineRule="auto"/>
              <w:jc w:val="both"/>
              <w:rPr>
                <w:rFonts w:ascii="Times New Roman" w:hAnsi="Times New Roman"/>
                <w:color w:val="000000"/>
              </w:rPr>
            </w:pPr>
          </w:p>
          <w:p w:rsidR="00091AE9" w:rsidRPr="00890C68" w:rsidRDefault="00091AE9" w:rsidP="00091AE9">
            <w:pPr>
              <w:spacing w:line="240" w:lineRule="auto"/>
              <w:jc w:val="both"/>
              <w:rPr>
                <w:rFonts w:ascii="Times New Roman" w:hAnsi="Times New Roman"/>
                <w:color w:val="000000"/>
              </w:rPr>
            </w:pPr>
            <w:r w:rsidRPr="00890C68">
              <w:rPr>
                <w:rFonts w:ascii="Times New Roman" w:hAnsi="Times New Roman"/>
                <w:color w:val="000000"/>
              </w:rPr>
              <w:t>Należy zauważyć, że koszt ten, poprzez system taryf, może zostać przeniesiony na odbiorcę końcowego. Ponadto można spodziewać się, że utrzymanie status quo nie stworzy warunków do lepszego sposobu korzystania z energii elektrycznej przez odbiorców końcowych, co w kontekście spodziewanego niedoboru mocy wytwórczych utrzyma tendencję do stałego powiększania szczytowego zapotrzebowania na moc zamiast jego obniżania. Dowodem, na to jest ostatnio stałe podwyższanie rok do roku „rekordu zapotrzebowania na moc” w okresie letnim.</w:t>
            </w:r>
            <w:r w:rsidRPr="00890C68" w:rsidDel="00211A9F">
              <w:rPr>
                <w:rFonts w:ascii="Times New Roman" w:hAnsi="Times New Roman"/>
                <w:color w:val="000000"/>
              </w:rPr>
              <w:t xml:space="preserve"> </w:t>
            </w:r>
          </w:p>
          <w:p w:rsidR="00091AE9" w:rsidRPr="00890C68" w:rsidRDefault="00091AE9" w:rsidP="00091AE9">
            <w:pPr>
              <w:spacing w:line="240" w:lineRule="auto"/>
              <w:jc w:val="both"/>
              <w:rPr>
                <w:rFonts w:ascii="Times New Roman" w:hAnsi="Times New Roman"/>
                <w:color w:val="000000"/>
              </w:rPr>
            </w:pPr>
          </w:p>
          <w:p w:rsidR="00091AE9" w:rsidRPr="00890C68" w:rsidRDefault="00091AE9" w:rsidP="00091AE9">
            <w:pPr>
              <w:numPr>
                <w:ilvl w:val="1"/>
                <w:numId w:val="3"/>
              </w:numPr>
              <w:spacing w:line="240" w:lineRule="auto"/>
              <w:ind w:left="360"/>
              <w:jc w:val="both"/>
              <w:rPr>
                <w:rFonts w:ascii="Times New Roman" w:hAnsi="Times New Roman"/>
                <w:b/>
                <w:color w:val="000000"/>
              </w:rPr>
            </w:pPr>
            <w:r w:rsidRPr="00890C68">
              <w:rPr>
                <w:rFonts w:ascii="Times New Roman" w:hAnsi="Times New Roman"/>
                <w:b/>
                <w:color w:val="000000"/>
              </w:rPr>
              <w:t>Przewidywane skutki instalacji liczników zdalnego odczytu w okresie 5 lat</w:t>
            </w:r>
          </w:p>
          <w:p w:rsidR="00091AE9" w:rsidRPr="00890C68" w:rsidRDefault="00091AE9" w:rsidP="00091AE9">
            <w:pPr>
              <w:spacing w:line="240" w:lineRule="auto"/>
              <w:jc w:val="both"/>
              <w:rPr>
                <w:rFonts w:ascii="Times New Roman" w:hAnsi="Times New Roman"/>
                <w:color w:val="000000"/>
              </w:rPr>
            </w:pPr>
          </w:p>
          <w:p w:rsidR="00091AE9" w:rsidRPr="00890C68" w:rsidRDefault="00091AE9" w:rsidP="00091AE9">
            <w:pPr>
              <w:spacing w:line="240" w:lineRule="auto"/>
              <w:jc w:val="both"/>
              <w:rPr>
                <w:rFonts w:ascii="Times New Roman" w:hAnsi="Times New Roman"/>
                <w:color w:val="000000"/>
              </w:rPr>
            </w:pPr>
          </w:p>
          <w:p w:rsidR="00497A44" w:rsidRPr="00890C68" w:rsidRDefault="00497A44" w:rsidP="00497A44">
            <w:pPr>
              <w:spacing w:line="240" w:lineRule="auto"/>
              <w:jc w:val="both"/>
              <w:rPr>
                <w:rFonts w:ascii="Times New Roman" w:hAnsi="Times New Roman"/>
                <w:color w:val="000000"/>
              </w:rPr>
            </w:pPr>
            <w:r w:rsidRPr="00890C68">
              <w:rPr>
                <w:rFonts w:ascii="Times New Roman" w:hAnsi="Times New Roman"/>
                <w:color w:val="000000"/>
              </w:rPr>
              <w:t>Z przeprowadzonych szacunków wynika, iż, przy założeniu, że:</w:t>
            </w:r>
          </w:p>
          <w:p w:rsidR="00497A44" w:rsidRPr="00890C68" w:rsidRDefault="00497A44" w:rsidP="00497A44">
            <w:pPr>
              <w:spacing w:line="240" w:lineRule="auto"/>
              <w:jc w:val="both"/>
              <w:rPr>
                <w:rFonts w:ascii="Times New Roman" w:hAnsi="Times New Roman"/>
                <w:color w:val="000000"/>
              </w:rPr>
            </w:pPr>
            <w:r w:rsidRPr="00890C68">
              <w:rPr>
                <w:rFonts w:ascii="Times New Roman" w:hAnsi="Times New Roman"/>
                <w:color w:val="000000"/>
              </w:rPr>
              <w:t>1. Projekt związany z utworzeniem OI</w:t>
            </w:r>
            <w:r w:rsidR="00D36A44" w:rsidRPr="00890C68">
              <w:rPr>
                <w:rFonts w:ascii="Times New Roman" w:hAnsi="Times New Roman"/>
                <w:color w:val="000000"/>
              </w:rPr>
              <w:t>RE</w:t>
            </w:r>
            <w:r w:rsidRPr="00890C68">
              <w:rPr>
                <w:rFonts w:ascii="Times New Roman" w:hAnsi="Times New Roman"/>
                <w:color w:val="000000"/>
              </w:rPr>
              <w:t xml:space="preserve"> miałby analogiczny harmonogram, jak w rozwiązaniu zaproponowanym w projekcie ustawy i funkcjonalne oddanie systemu nastąpiłoby w drugiej połowie 202</w:t>
            </w:r>
            <w:r w:rsidR="006103C4" w:rsidRPr="00890C68">
              <w:rPr>
                <w:rFonts w:ascii="Times New Roman" w:hAnsi="Times New Roman"/>
                <w:color w:val="000000"/>
              </w:rPr>
              <w:t>2</w:t>
            </w:r>
            <w:r w:rsidRPr="00890C68">
              <w:rPr>
                <w:rFonts w:ascii="Times New Roman" w:hAnsi="Times New Roman"/>
                <w:color w:val="000000"/>
              </w:rPr>
              <w:t xml:space="preserve"> roku (czyli po 3 latach),</w:t>
            </w:r>
          </w:p>
          <w:p w:rsidR="00497A44" w:rsidRPr="00890C68" w:rsidRDefault="00497A44" w:rsidP="00497A44">
            <w:pPr>
              <w:spacing w:line="240" w:lineRule="auto"/>
              <w:jc w:val="both"/>
              <w:rPr>
                <w:rFonts w:ascii="Times New Roman" w:hAnsi="Times New Roman"/>
                <w:color w:val="000000"/>
              </w:rPr>
            </w:pPr>
            <w:r w:rsidRPr="00890C68">
              <w:rPr>
                <w:rFonts w:ascii="Times New Roman" w:hAnsi="Times New Roman"/>
                <w:color w:val="000000"/>
              </w:rPr>
              <w:lastRenderedPageBreak/>
              <w:t>2. Sprzedawcy oraz odbiorcy końcowi zaczęliby osiągać wymierne korzyści wraz z funkcjonalnym uruchomieniem OI</w:t>
            </w:r>
            <w:r w:rsidR="00D36A44" w:rsidRPr="00890C68">
              <w:rPr>
                <w:rFonts w:ascii="Times New Roman" w:hAnsi="Times New Roman"/>
                <w:color w:val="000000"/>
              </w:rPr>
              <w:t>RE</w:t>
            </w:r>
            <w:r w:rsidRPr="00890C68">
              <w:rPr>
                <w:rFonts w:ascii="Times New Roman" w:hAnsi="Times New Roman"/>
                <w:color w:val="000000"/>
              </w:rPr>
              <w:t xml:space="preserve"> w 202</w:t>
            </w:r>
            <w:r w:rsidR="009F2074" w:rsidRPr="00890C68">
              <w:rPr>
                <w:rFonts w:ascii="Times New Roman" w:hAnsi="Times New Roman"/>
                <w:color w:val="000000"/>
              </w:rPr>
              <w:t>3</w:t>
            </w:r>
            <w:r w:rsidRPr="00890C68">
              <w:rPr>
                <w:rFonts w:ascii="Times New Roman" w:hAnsi="Times New Roman"/>
                <w:color w:val="000000"/>
              </w:rPr>
              <w:t xml:space="preserve"> roku,</w:t>
            </w:r>
          </w:p>
          <w:p w:rsidR="00497A44" w:rsidRPr="00890C68" w:rsidRDefault="00497A44" w:rsidP="00497A44">
            <w:pPr>
              <w:spacing w:line="240" w:lineRule="auto"/>
              <w:jc w:val="both"/>
              <w:rPr>
                <w:rFonts w:ascii="Times New Roman" w:hAnsi="Times New Roman"/>
                <w:color w:val="000000"/>
              </w:rPr>
            </w:pPr>
            <w:r w:rsidRPr="00890C68">
              <w:rPr>
                <w:rFonts w:ascii="Times New Roman" w:hAnsi="Times New Roman"/>
                <w:color w:val="000000"/>
              </w:rPr>
              <w:t>3. Utrzymany byłby ośmioletni cykl legalizacyjny,</w:t>
            </w:r>
          </w:p>
          <w:p w:rsidR="00497A44" w:rsidRPr="00890C68" w:rsidRDefault="00497A44" w:rsidP="00497A44">
            <w:pPr>
              <w:spacing w:line="240" w:lineRule="auto"/>
              <w:jc w:val="both"/>
              <w:rPr>
                <w:rFonts w:ascii="Times New Roman" w:hAnsi="Times New Roman"/>
                <w:color w:val="000000"/>
              </w:rPr>
            </w:pPr>
            <w:r w:rsidRPr="00890C68">
              <w:rPr>
                <w:rFonts w:ascii="Times New Roman" w:hAnsi="Times New Roman"/>
                <w:color w:val="000000"/>
              </w:rPr>
              <w:t>4. Utrzymana pozostałaby ośmioletnia amortyzacja dla nowo zainstalowanych liczników (w ujęciu kosztowym zsynchronizowana z procesem legalizacji, jako działanie optymalizacyjne OSD),</w:t>
            </w:r>
          </w:p>
          <w:p w:rsidR="00497A44" w:rsidRPr="00890C68" w:rsidRDefault="00497A44" w:rsidP="00497A44">
            <w:pPr>
              <w:spacing w:line="240" w:lineRule="auto"/>
              <w:jc w:val="both"/>
              <w:rPr>
                <w:rFonts w:ascii="Times New Roman" w:hAnsi="Times New Roman"/>
                <w:color w:val="000000"/>
              </w:rPr>
            </w:pPr>
            <w:r w:rsidRPr="00890C68">
              <w:rPr>
                <w:rFonts w:ascii="Times New Roman" w:hAnsi="Times New Roman"/>
                <w:color w:val="000000"/>
              </w:rPr>
              <w:t>5. Maksymalny próg 80% liczników zdalnego odczytu zostałby wyznaczony na koniec 2023 roku,</w:t>
            </w:r>
          </w:p>
          <w:p w:rsidR="00497A44" w:rsidRPr="00890C68" w:rsidRDefault="00497A44" w:rsidP="00497A44">
            <w:pPr>
              <w:spacing w:line="240" w:lineRule="auto"/>
              <w:jc w:val="both"/>
              <w:rPr>
                <w:rFonts w:ascii="Times New Roman" w:hAnsi="Times New Roman"/>
                <w:color w:val="000000"/>
              </w:rPr>
            </w:pPr>
            <w:r w:rsidRPr="00890C68">
              <w:rPr>
                <w:rFonts w:ascii="Times New Roman" w:hAnsi="Times New Roman"/>
                <w:color w:val="000000"/>
              </w:rPr>
              <w:t>6. Ścieżka wdrożenia kształtowałaby się jak poniżej:</w:t>
            </w:r>
          </w:p>
          <w:p w:rsidR="00497A44" w:rsidRPr="00890C68" w:rsidRDefault="00497A44" w:rsidP="00497A44">
            <w:pPr>
              <w:spacing w:line="240" w:lineRule="auto"/>
              <w:jc w:val="both"/>
              <w:rPr>
                <w:rFonts w:ascii="Times New Roman" w:hAnsi="Times New Roman"/>
                <w:color w:val="000000"/>
              </w:rPr>
            </w:pPr>
            <w:r w:rsidRPr="00890C68">
              <w:rPr>
                <w:rFonts w:ascii="Times New Roman" w:hAnsi="Times New Roman"/>
                <w:color w:val="000000"/>
              </w:rPr>
              <w:t>a)      2019 – 10%,</w:t>
            </w:r>
          </w:p>
          <w:p w:rsidR="00497A44" w:rsidRPr="00890C68" w:rsidRDefault="00497A44" w:rsidP="00497A44">
            <w:pPr>
              <w:spacing w:line="240" w:lineRule="auto"/>
              <w:jc w:val="both"/>
              <w:rPr>
                <w:rFonts w:ascii="Times New Roman" w:hAnsi="Times New Roman"/>
                <w:color w:val="000000"/>
              </w:rPr>
            </w:pPr>
            <w:r w:rsidRPr="00890C68">
              <w:rPr>
                <w:rFonts w:ascii="Times New Roman" w:hAnsi="Times New Roman"/>
                <w:color w:val="000000"/>
              </w:rPr>
              <w:t>b)      2020 – 25%,</w:t>
            </w:r>
          </w:p>
          <w:p w:rsidR="00497A44" w:rsidRPr="00890C68" w:rsidRDefault="00497A44" w:rsidP="00497A44">
            <w:pPr>
              <w:spacing w:line="240" w:lineRule="auto"/>
              <w:jc w:val="both"/>
              <w:rPr>
                <w:rFonts w:ascii="Times New Roman" w:hAnsi="Times New Roman"/>
                <w:color w:val="000000"/>
              </w:rPr>
            </w:pPr>
            <w:r w:rsidRPr="00890C68">
              <w:rPr>
                <w:rFonts w:ascii="Times New Roman" w:hAnsi="Times New Roman"/>
                <w:color w:val="000000"/>
              </w:rPr>
              <w:t>c)      2021 – 40%,</w:t>
            </w:r>
          </w:p>
          <w:p w:rsidR="00497A44" w:rsidRPr="00890C68" w:rsidRDefault="00497A44" w:rsidP="00497A44">
            <w:pPr>
              <w:spacing w:line="240" w:lineRule="auto"/>
              <w:jc w:val="both"/>
              <w:rPr>
                <w:rFonts w:ascii="Times New Roman" w:hAnsi="Times New Roman"/>
                <w:color w:val="000000"/>
              </w:rPr>
            </w:pPr>
            <w:r w:rsidRPr="00890C68">
              <w:rPr>
                <w:rFonts w:ascii="Times New Roman" w:hAnsi="Times New Roman"/>
                <w:color w:val="000000"/>
              </w:rPr>
              <w:t>d)      2022 – 60%,</w:t>
            </w:r>
          </w:p>
          <w:p w:rsidR="00497A44" w:rsidRPr="00890C68" w:rsidRDefault="00497A44" w:rsidP="00497A44">
            <w:pPr>
              <w:spacing w:line="240" w:lineRule="auto"/>
              <w:jc w:val="both"/>
              <w:rPr>
                <w:rFonts w:ascii="Times New Roman" w:hAnsi="Times New Roman"/>
                <w:color w:val="000000"/>
              </w:rPr>
            </w:pPr>
            <w:r w:rsidRPr="00890C68">
              <w:rPr>
                <w:rFonts w:ascii="Times New Roman" w:hAnsi="Times New Roman"/>
                <w:color w:val="000000"/>
              </w:rPr>
              <w:t>e)      2023 – 80%,</w:t>
            </w:r>
          </w:p>
          <w:p w:rsidR="00497A44" w:rsidRPr="00890C68" w:rsidRDefault="00497A44" w:rsidP="00497A44">
            <w:pPr>
              <w:spacing w:line="240" w:lineRule="auto"/>
              <w:jc w:val="both"/>
              <w:rPr>
                <w:rFonts w:ascii="Times New Roman" w:hAnsi="Times New Roman"/>
                <w:color w:val="000000"/>
              </w:rPr>
            </w:pPr>
            <w:r w:rsidRPr="00890C68">
              <w:rPr>
                <w:rFonts w:ascii="Times New Roman" w:hAnsi="Times New Roman"/>
                <w:color w:val="000000"/>
              </w:rPr>
              <w:t xml:space="preserve">7. Ceny liczników oraz koncentratorów z uwagi na </w:t>
            </w:r>
            <w:r w:rsidR="0023026A" w:rsidRPr="00890C68">
              <w:rPr>
                <w:rFonts w:ascii="Times New Roman" w:hAnsi="Times New Roman"/>
                <w:color w:val="000000"/>
              </w:rPr>
              <w:t xml:space="preserve">znaczny wzrost popytu </w:t>
            </w:r>
            <w:bookmarkStart w:id="3" w:name="_Hlk8585817"/>
            <w:r w:rsidR="0023026A" w:rsidRPr="00890C68">
              <w:rPr>
                <w:rFonts w:ascii="Times New Roman" w:hAnsi="Times New Roman"/>
                <w:color w:val="000000"/>
              </w:rPr>
              <w:t>i możliwą ograniczoną zdolność producentów do jego zaspokojenia</w:t>
            </w:r>
            <w:r w:rsidRPr="00890C68">
              <w:rPr>
                <w:rFonts w:ascii="Times New Roman" w:hAnsi="Times New Roman"/>
                <w:color w:val="000000"/>
              </w:rPr>
              <w:t xml:space="preserve"> </w:t>
            </w:r>
            <w:bookmarkEnd w:id="3"/>
            <w:r w:rsidRPr="00890C68">
              <w:rPr>
                <w:rFonts w:ascii="Times New Roman" w:hAnsi="Times New Roman"/>
                <w:color w:val="000000"/>
              </w:rPr>
              <w:t>w ciągu pierwszych 3 lat wdrożenia wzrosłyby o łącznie 10% i do końca 2023 roku nie zmniejszyłyby się,</w:t>
            </w:r>
          </w:p>
          <w:p w:rsidR="00497A44" w:rsidRPr="00890C68" w:rsidRDefault="00497A44" w:rsidP="00497A44">
            <w:pPr>
              <w:spacing w:line="240" w:lineRule="auto"/>
              <w:jc w:val="both"/>
              <w:rPr>
                <w:rFonts w:ascii="Times New Roman" w:hAnsi="Times New Roman"/>
                <w:color w:val="000000"/>
              </w:rPr>
            </w:pPr>
            <w:r w:rsidRPr="00890C68">
              <w:rPr>
                <w:rFonts w:ascii="Times New Roman" w:hAnsi="Times New Roman"/>
                <w:color w:val="000000"/>
              </w:rPr>
              <w:t>8. Jeśli przyjmiemy, że skrócenie czasu wdrożenia znacząco wpłynęłoby na budżety OSD, to korzyści osiągane przez nich w obszarze redukcji liczby odczytów realizowanych w trybie inkasenckim jak również redukcji strat handlowych i technicznych, zostałyby w mniejszym zakresie przeniesione na odbiorców końcowych i byłoby to odpowiednio 50% w obszarze odczytów i 20% w obszarze strat handlowych i technicznych,</w:t>
            </w:r>
          </w:p>
          <w:p w:rsidR="0023026A" w:rsidRPr="00890C68" w:rsidRDefault="00497A44" w:rsidP="00497A44">
            <w:pPr>
              <w:spacing w:line="240" w:lineRule="auto"/>
              <w:jc w:val="both"/>
              <w:rPr>
                <w:rFonts w:ascii="Times New Roman" w:hAnsi="Times New Roman"/>
                <w:color w:val="000000"/>
              </w:rPr>
            </w:pPr>
            <w:r w:rsidRPr="00890C68">
              <w:rPr>
                <w:rFonts w:ascii="Times New Roman" w:hAnsi="Times New Roman"/>
                <w:color w:val="000000"/>
              </w:rPr>
              <w:t>- bilans kosztów i korzyści, po 5 latach od rozpoczęcia procesu wdrażania byłby ujemny i wyniósłby ok. 2 808 mln zł</w:t>
            </w:r>
            <w:r w:rsidR="0023026A" w:rsidRPr="00890C68">
              <w:rPr>
                <w:rFonts w:ascii="Times New Roman" w:hAnsi="Times New Roman"/>
                <w:color w:val="000000"/>
              </w:rPr>
              <w:t>.</w:t>
            </w:r>
          </w:p>
          <w:p w:rsidR="00497A44" w:rsidRDefault="0023026A" w:rsidP="00497A44">
            <w:pPr>
              <w:spacing w:line="240" w:lineRule="auto"/>
              <w:jc w:val="both"/>
              <w:rPr>
                <w:rFonts w:ascii="Times New Roman" w:hAnsi="Times New Roman"/>
                <w:color w:val="000000"/>
              </w:rPr>
            </w:pPr>
            <w:r w:rsidRPr="00890C68">
              <w:rPr>
                <w:rFonts w:ascii="Times New Roman" w:hAnsi="Times New Roman"/>
                <w:color w:val="000000"/>
              </w:rPr>
              <w:t>W porównaniu do rekomendowanego rozwiązania dla którego</w:t>
            </w:r>
            <w:r w:rsidR="00497A44" w:rsidRPr="00890C68">
              <w:rPr>
                <w:rFonts w:ascii="Times New Roman" w:hAnsi="Times New Roman"/>
                <w:color w:val="000000"/>
              </w:rPr>
              <w:t xml:space="preserve"> bilans kosztów i korzyści wynikając</w:t>
            </w:r>
            <w:r w:rsidRPr="00890C68">
              <w:rPr>
                <w:rFonts w:ascii="Times New Roman" w:hAnsi="Times New Roman"/>
                <w:color w:val="000000"/>
              </w:rPr>
              <w:t>y</w:t>
            </w:r>
            <w:r w:rsidR="00497A44" w:rsidRPr="00890C68">
              <w:rPr>
                <w:rFonts w:ascii="Times New Roman" w:hAnsi="Times New Roman"/>
                <w:color w:val="000000"/>
              </w:rPr>
              <w:t xml:space="preserve"> z </w:t>
            </w:r>
            <w:r w:rsidR="000B1BA0" w:rsidRPr="00890C68">
              <w:rPr>
                <w:rFonts w:ascii="Times New Roman" w:hAnsi="Times New Roman"/>
                <w:color w:val="000000"/>
              </w:rPr>
              <w:t>10</w:t>
            </w:r>
            <w:r w:rsidR="00497A44" w:rsidRPr="00890C68">
              <w:rPr>
                <w:rFonts w:ascii="Times New Roman" w:hAnsi="Times New Roman"/>
                <w:color w:val="000000"/>
              </w:rPr>
              <w:t xml:space="preserve">-letniego harmonogramu zaproponowanego w projekcie ustawy, przedstawia się </w:t>
            </w:r>
            <w:r w:rsidR="00E90B32" w:rsidRPr="00890C68">
              <w:rPr>
                <w:rFonts w:ascii="Times New Roman" w:hAnsi="Times New Roman"/>
                <w:color w:val="000000"/>
              </w:rPr>
              <w:t>w</w:t>
            </w:r>
            <w:r w:rsidR="00E90B32" w:rsidRPr="00890C68">
              <w:rPr>
                <w:rFonts w:ascii="Times New Roman" w:hAnsi="Times New Roman"/>
                <w:i/>
                <w:color w:val="000000"/>
              </w:rPr>
              <w:t xml:space="preserve"> </w:t>
            </w:r>
            <w:r w:rsidR="00E90B32" w:rsidRPr="00890C68">
              <w:rPr>
                <w:rFonts w:ascii="Times New Roman" w:hAnsi="Times New Roman"/>
                <w:color w:val="000000"/>
              </w:rPr>
              <w:t xml:space="preserve">perspektywie 10 lat </w:t>
            </w:r>
            <w:r w:rsidR="00497A44" w:rsidRPr="00890C68">
              <w:rPr>
                <w:rFonts w:ascii="Times New Roman" w:hAnsi="Times New Roman"/>
                <w:color w:val="000000"/>
              </w:rPr>
              <w:t xml:space="preserve">korzystnie (wartość dodatnia), w wymiarze ok. </w:t>
            </w:r>
            <w:r w:rsidR="00E90B32" w:rsidRPr="00890C68">
              <w:rPr>
                <w:rFonts w:ascii="Times New Roman" w:hAnsi="Times New Roman"/>
                <w:color w:val="000000"/>
              </w:rPr>
              <w:t>5</w:t>
            </w:r>
            <w:r w:rsidR="00497A44" w:rsidRPr="00890C68">
              <w:rPr>
                <w:rFonts w:ascii="Times New Roman" w:hAnsi="Times New Roman"/>
                <w:color w:val="000000"/>
              </w:rPr>
              <w:t xml:space="preserve"> mld zł.</w:t>
            </w:r>
          </w:p>
          <w:p w:rsidR="00E25DB6" w:rsidRDefault="00E25DB6" w:rsidP="00497A44">
            <w:pPr>
              <w:spacing w:line="240" w:lineRule="auto"/>
              <w:jc w:val="both"/>
              <w:rPr>
                <w:rFonts w:ascii="Times New Roman" w:hAnsi="Times New Roman"/>
                <w:color w:val="000000"/>
              </w:rPr>
            </w:pPr>
          </w:p>
          <w:p w:rsidR="00E25DB6" w:rsidRPr="00890C68" w:rsidRDefault="00E25DB6" w:rsidP="00054A55">
            <w:pPr>
              <w:spacing w:line="240" w:lineRule="auto"/>
              <w:jc w:val="both"/>
              <w:rPr>
                <w:rFonts w:ascii="Times New Roman" w:hAnsi="Times New Roman"/>
                <w:color w:val="000000"/>
              </w:rPr>
            </w:pPr>
            <w:r w:rsidRPr="00E25DB6">
              <w:rPr>
                <w:rFonts w:ascii="Times New Roman" w:hAnsi="Times New Roman"/>
                <w:color w:val="000000"/>
              </w:rPr>
              <w:t xml:space="preserve">21. </w:t>
            </w:r>
            <w:r w:rsidR="00054A55">
              <w:rPr>
                <w:rFonts w:ascii="Times New Roman" w:hAnsi="Times New Roman"/>
                <w:color w:val="000000"/>
              </w:rPr>
              <w:t xml:space="preserve">W związku z pandemią </w:t>
            </w:r>
            <w:r w:rsidRPr="00E25DB6">
              <w:rPr>
                <w:rFonts w:ascii="Times New Roman" w:hAnsi="Times New Roman"/>
                <w:color w:val="000000"/>
              </w:rPr>
              <w:t>zidentyfikowan</w:t>
            </w:r>
            <w:r w:rsidR="00054A55">
              <w:rPr>
                <w:rFonts w:ascii="Times New Roman" w:hAnsi="Times New Roman"/>
                <w:color w:val="000000"/>
              </w:rPr>
              <w:t>o</w:t>
            </w:r>
            <w:r w:rsidRPr="00E25DB6">
              <w:rPr>
                <w:rFonts w:ascii="Times New Roman" w:hAnsi="Times New Roman"/>
                <w:color w:val="000000"/>
              </w:rPr>
              <w:t xml:space="preserve"> problem przeprowadzania</w:t>
            </w:r>
            <w:r w:rsidR="00054A55">
              <w:rPr>
                <w:rFonts w:ascii="Times New Roman" w:hAnsi="Times New Roman"/>
                <w:color w:val="000000"/>
              </w:rPr>
              <w:t xml:space="preserve"> </w:t>
            </w:r>
            <w:r w:rsidRPr="00E25DB6">
              <w:rPr>
                <w:rFonts w:ascii="Times New Roman" w:hAnsi="Times New Roman"/>
                <w:color w:val="000000"/>
              </w:rPr>
              <w:t xml:space="preserve">legalizacji ponownej przyrządów pomiarowych szczególnie ważnych dla polskiej gospodarki. </w:t>
            </w:r>
          </w:p>
        </w:tc>
      </w:tr>
      <w:tr w:rsidR="006A701A" w:rsidRPr="00890C68" w:rsidTr="00641996">
        <w:trPr>
          <w:trHeight w:val="142"/>
        </w:trPr>
        <w:tc>
          <w:tcPr>
            <w:tcW w:w="11057" w:type="dxa"/>
            <w:gridSpan w:val="15"/>
            <w:shd w:val="clear" w:color="auto" w:fill="99CCFF"/>
            <w:vAlign w:val="center"/>
          </w:tcPr>
          <w:p w:rsidR="006A701A" w:rsidRPr="00890C68" w:rsidRDefault="0013216E" w:rsidP="00C53F26">
            <w:pPr>
              <w:numPr>
                <w:ilvl w:val="0"/>
                <w:numId w:val="3"/>
              </w:numPr>
              <w:spacing w:before="60" w:after="60" w:line="240" w:lineRule="auto"/>
              <w:ind w:left="318" w:hanging="284"/>
              <w:jc w:val="both"/>
              <w:rPr>
                <w:rFonts w:ascii="Times New Roman" w:hAnsi="Times New Roman"/>
                <w:b/>
                <w:color w:val="000000"/>
              </w:rPr>
            </w:pPr>
            <w:r w:rsidRPr="00890C68">
              <w:rPr>
                <w:rFonts w:ascii="Times New Roman" w:hAnsi="Times New Roman"/>
                <w:b/>
                <w:color w:val="000000"/>
                <w:spacing w:val="-2"/>
              </w:rPr>
              <w:lastRenderedPageBreak/>
              <w:t>Rekomendowane rozwiązanie, w tym planowane narzędzia interwencji, i oczekiwany efekt</w:t>
            </w:r>
          </w:p>
        </w:tc>
      </w:tr>
      <w:tr w:rsidR="006A701A" w:rsidRPr="00890C68" w:rsidTr="00641996">
        <w:trPr>
          <w:trHeight w:val="142"/>
        </w:trPr>
        <w:tc>
          <w:tcPr>
            <w:tcW w:w="11057" w:type="dxa"/>
            <w:gridSpan w:val="15"/>
            <w:shd w:val="clear" w:color="auto" w:fill="auto"/>
          </w:tcPr>
          <w:p w:rsidR="00B42653" w:rsidRPr="00890C68" w:rsidRDefault="00B42653" w:rsidP="00B42653">
            <w:pPr>
              <w:spacing w:line="240" w:lineRule="auto"/>
              <w:jc w:val="both"/>
              <w:rPr>
                <w:rFonts w:ascii="Times New Roman" w:hAnsi="Times New Roman"/>
                <w:color w:val="000000"/>
                <w:spacing w:val="-2"/>
              </w:rPr>
            </w:pPr>
            <w:r w:rsidRPr="00890C68">
              <w:rPr>
                <w:rFonts w:ascii="Times New Roman" w:hAnsi="Times New Roman"/>
                <w:color w:val="000000"/>
                <w:spacing w:val="-2"/>
              </w:rPr>
              <w:t>1. Umożliwia się wykonanie przepisów rozporządzenia Parlamentu Europejskiego i Rady (UE) 2015/1222 z dnia 24 lipca 2015 r. ustanawiającego wytyczne dotyczące alokacji zdolności przesyłowych i zarządzania ograniczeniami przesyłowymi, w tym ogólne zasady głosowania w sprawie decyzji dotyczących wniosków przygotowywanych przez nominowanych operatorów rynku energii elektrycznej (NEMO);</w:t>
            </w:r>
          </w:p>
          <w:p w:rsidR="00B42653" w:rsidRPr="00890C68" w:rsidRDefault="00B42653" w:rsidP="00B42653">
            <w:pPr>
              <w:spacing w:line="240" w:lineRule="auto"/>
              <w:jc w:val="both"/>
              <w:rPr>
                <w:rFonts w:ascii="Times New Roman" w:hAnsi="Times New Roman"/>
                <w:color w:val="000000"/>
                <w:spacing w:val="-2"/>
              </w:rPr>
            </w:pPr>
          </w:p>
          <w:p w:rsidR="00B42653" w:rsidRPr="00890C68" w:rsidRDefault="00B42653" w:rsidP="00B42653">
            <w:pPr>
              <w:spacing w:line="240" w:lineRule="auto"/>
              <w:jc w:val="both"/>
              <w:rPr>
                <w:rFonts w:ascii="Times New Roman" w:hAnsi="Times New Roman"/>
                <w:color w:val="000000"/>
                <w:spacing w:val="-2"/>
              </w:rPr>
            </w:pPr>
            <w:r w:rsidRPr="00890C68">
              <w:rPr>
                <w:rFonts w:ascii="Times New Roman" w:hAnsi="Times New Roman"/>
                <w:color w:val="000000"/>
                <w:spacing w:val="-2"/>
              </w:rPr>
              <w:t>2. Stwarza się podstawę prawną dla rekuperacji energii elektrycznej wprowadzonej do sieci trakcyjnej w następstwie hamowania pojazdów;</w:t>
            </w:r>
          </w:p>
          <w:p w:rsidR="0058053B" w:rsidRPr="00890C68" w:rsidRDefault="0058053B" w:rsidP="00B42653">
            <w:pPr>
              <w:spacing w:line="240" w:lineRule="auto"/>
              <w:jc w:val="both"/>
              <w:rPr>
                <w:rFonts w:ascii="Times New Roman" w:hAnsi="Times New Roman"/>
                <w:color w:val="000000"/>
                <w:spacing w:val="-2"/>
              </w:rPr>
            </w:pPr>
          </w:p>
          <w:p w:rsidR="0058053B" w:rsidRPr="00890C68" w:rsidRDefault="0058053B" w:rsidP="00B42653">
            <w:pPr>
              <w:spacing w:line="240" w:lineRule="auto"/>
              <w:jc w:val="both"/>
              <w:rPr>
                <w:rFonts w:ascii="Times New Roman" w:hAnsi="Times New Roman"/>
                <w:color w:val="000000"/>
                <w:spacing w:val="-2"/>
              </w:rPr>
            </w:pPr>
            <w:r w:rsidRPr="00890C68">
              <w:rPr>
                <w:rFonts w:ascii="Times New Roman" w:hAnsi="Times New Roman"/>
                <w:color w:val="000000"/>
                <w:spacing w:val="-2"/>
              </w:rPr>
              <w:t>3. Wprowadza się obowiązek opracowywania przez operatora systemu magazynowania instrukcji ruchu i eksploatacji instalacji magazynowej;</w:t>
            </w:r>
          </w:p>
          <w:p w:rsidR="00B42653" w:rsidRPr="00890C68" w:rsidRDefault="00B42653" w:rsidP="00B42653">
            <w:pPr>
              <w:spacing w:line="240" w:lineRule="auto"/>
              <w:jc w:val="both"/>
              <w:rPr>
                <w:rFonts w:ascii="Times New Roman" w:hAnsi="Times New Roman"/>
                <w:color w:val="000000"/>
                <w:spacing w:val="-2"/>
              </w:rPr>
            </w:pPr>
          </w:p>
          <w:p w:rsidR="00B42653" w:rsidRPr="00890C68" w:rsidRDefault="00544AB2" w:rsidP="00B42653">
            <w:pPr>
              <w:spacing w:line="240" w:lineRule="auto"/>
              <w:jc w:val="both"/>
              <w:rPr>
                <w:rFonts w:ascii="Times New Roman" w:hAnsi="Times New Roman"/>
                <w:color w:val="000000"/>
                <w:spacing w:val="-2"/>
              </w:rPr>
            </w:pPr>
            <w:r>
              <w:rPr>
                <w:rFonts w:ascii="Times New Roman" w:hAnsi="Times New Roman"/>
                <w:color w:val="000000"/>
                <w:spacing w:val="-2"/>
              </w:rPr>
              <w:t>4</w:t>
            </w:r>
            <w:r w:rsidR="00B42653" w:rsidRPr="00890C68">
              <w:rPr>
                <w:rFonts w:ascii="Times New Roman" w:hAnsi="Times New Roman"/>
                <w:color w:val="000000"/>
                <w:spacing w:val="-2"/>
              </w:rPr>
              <w:t>. Prezes URE będzie organem właściwym do uznawania kwalifikacji osób wykonujących prace przy urządzeniach, instalacjach i sieciach energetycznych nabytych w państwach członkowskich UE, Konfederacji Szwajcarskiej lub państwach członkowskich EFTA; wszystkie świadectwa kwalifikacyjne będą tracić ważność po upływie 5 lat od dnia dokonania wpisu w rejestrze świadectw kwalifikacyjnych;</w:t>
            </w:r>
          </w:p>
          <w:p w:rsidR="00B42653" w:rsidRPr="00890C68" w:rsidRDefault="00B42653" w:rsidP="00B42653">
            <w:pPr>
              <w:spacing w:line="240" w:lineRule="auto"/>
              <w:jc w:val="both"/>
              <w:rPr>
                <w:rFonts w:ascii="Times New Roman" w:hAnsi="Times New Roman"/>
                <w:color w:val="000000"/>
                <w:spacing w:val="-2"/>
              </w:rPr>
            </w:pPr>
          </w:p>
          <w:p w:rsidR="00B42653" w:rsidRPr="00890C68" w:rsidRDefault="00544AB2" w:rsidP="00B42653">
            <w:pPr>
              <w:spacing w:line="240" w:lineRule="auto"/>
              <w:jc w:val="both"/>
              <w:rPr>
                <w:rFonts w:ascii="Times New Roman" w:hAnsi="Times New Roman"/>
                <w:color w:val="000000"/>
                <w:spacing w:val="-2"/>
              </w:rPr>
            </w:pPr>
            <w:r>
              <w:rPr>
                <w:rFonts w:ascii="Times New Roman" w:hAnsi="Times New Roman"/>
                <w:color w:val="000000"/>
                <w:spacing w:val="-2"/>
              </w:rPr>
              <w:t>5</w:t>
            </w:r>
            <w:r w:rsidR="00B42653" w:rsidRPr="00890C68">
              <w:rPr>
                <w:rFonts w:ascii="Times New Roman" w:hAnsi="Times New Roman"/>
                <w:color w:val="000000"/>
                <w:spacing w:val="-2"/>
              </w:rPr>
              <w:t xml:space="preserve">. </w:t>
            </w:r>
            <w:r w:rsidR="00E02A70" w:rsidRPr="00890C68">
              <w:rPr>
                <w:rFonts w:ascii="Times New Roman" w:hAnsi="Times New Roman"/>
                <w:color w:val="000000"/>
                <w:spacing w:val="-2"/>
              </w:rPr>
              <w:t>Prezes URE będzie mógł</w:t>
            </w:r>
            <w:r w:rsidR="00B42653" w:rsidRPr="00890C68">
              <w:rPr>
                <w:rFonts w:ascii="Times New Roman" w:hAnsi="Times New Roman"/>
                <w:color w:val="000000"/>
                <w:spacing w:val="-2"/>
              </w:rPr>
              <w:t xml:space="preserve"> z urzędu lub na wniosek strony zmienić treść umowy o świadczenie usług przesyłania lub dystrybucji paliw gazowych lub energii elektrycznej zawartej pomiędzy sprzedawcą a OSD lub OSP, w przypadkach uzasadnionych koniecznością zapewnienia ochrony interesów odbiorców końcowych, równoważenia interesów stron tej umowy, lub rozwoju konkurencji, w tym umożliwienia korzystania przez odbiorców końcowych z uprawnienia do zmiany sprzedawcy;</w:t>
            </w:r>
          </w:p>
          <w:p w:rsidR="00B42653" w:rsidRPr="00890C68" w:rsidRDefault="00B42653" w:rsidP="00B42653">
            <w:pPr>
              <w:spacing w:line="240" w:lineRule="auto"/>
              <w:jc w:val="both"/>
              <w:rPr>
                <w:rFonts w:ascii="Times New Roman" w:hAnsi="Times New Roman"/>
                <w:color w:val="000000"/>
                <w:spacing w:val="-2"/>
              </w:rPr>
            </w:pPr>
          </w:p>
          <w:p w:rsidR="00B42653" w:rsidRPr="00890C68" w:rsidRDefault="00544AB2" w:rsidP="00B42653">
            <w:pPr>
              <w:spacing w:line="240" w:lineRule="auto"/>
              <w:jc w:val="both"/>
              <w:rPr>
                <w:rFonts w:ascii="Times New Roman" w:hAnsi="Times New Roman"/>
                <w:color w:val="000000"/>
                <w:spacing w:val="-2"/>
              </w:rPr>
            </w:pPr>
            <w:r>
              <w:rPr>
                <w:rFonts w:ascii="Times New Roman" w:hAnsi="Times New Roman"/>
                <w:color w:val="000000"/>
                <w:spacing w:val="-2"/>
              </w:rPr>
              <w:t>6</w:t>
            </w:r>
            <w:r w:rsidR="00B42653" w:rsidRPr="00890C68">
              <w:rPr>
                <w:rFonts w:ascii="Times New Roman" w:hAnsi="Times New Roman"/>
                <w:color w:val="000000"/>
                <w:spacing w:val="-2"/>
              </w:rPr>
              <w:t>. Prezes URE będzie mógł cofnąć koncesję w przypadku wydania przez Prezesa Urzędu Ochrony Konkurencji i Konsumentów wobec przedsiębiorstwa energetycznego decyzji o uznaniu praktyki za naruszającą zbiorowe interesy konsumentów w rozumieniu art. 24 ustawy z dnia 16 lutego 2007 r. o ochronie konkurencji i konsumentów;</w:t>
            </w:r>
          </w:p>
          <w:p w:rsidR="00B42653" w:rsidRPr="00890C68" w:rsidRDefault="00B42653" w:rsidP="00B42653">
            <w:pPr>
              <w:spacing w:line="240" w:lineRule="auto"/>
              <w:jc w:val="both"/>
              <w:rPr>
                <w:rFonts w:ascii="Times New Roman" w:hAnsi="Times New Roman"/>
                <w:color w:val="000000"/>
                <w:spacing w:val="-2"/>
              </w:rPr>
            </w:pPr>
          </w:p>
          <w:p w:rsidR="00B42653" w:rsidRPr="00890C68" w:rsidRDefault="00544AB2" w:rsidP="00B42653">
            <w:pPr>
              <w:spacing w:line="240" w:lineRule="auto"/>
              <w:jc w:val="both"/>
              <w:rPr>
                <w:rFonts w:ascii="Times New Roman" w:hAnsi="Times New Roman"/>
                <w:color w:val="000000"/>
                <w:spacing w:val="-2"/>
              </w:rPr>
            </w:pPr>
            <w:r>
              <w:rPr>
                <w:rFonts w:ascii="Times New Roman" w:hAnsi="Times New Roman"/>
                <w:color w:val="000000"/>
                <w:spacing w:val="-2"/>
              </w:rPr>
              <w:t>7</w:t>
            </w:r>
            <w:r w:rsidR="00B42653" w:rsidRPr="00890C68">
              <w:rPr>
                <w:rFonts w:ascii="Times New Roman" w:hAnsi="Times New Roman"/>
                <w:color w:val="000000"/>
                <w:spacing w:val="-2"/>
              </w:rPr>
              <w:t>. Wprowadza się podstawy prawne dla funkcjonowania zamkniętych systemów dystrybucyjnych;</w:t>
            </w:r>
          </w:p>
          <w:p w:rsidR="00B42653" w:rsidRPr="00890C68" w:rsidRDefault="00B42653" w:rsidP="00B42653">
            <w:pPr>
              <w:spacing w:line="240" w:lineRule="auto"/>
              <w:jc w:val="both"/>
              <w:rPr>
                <w:rFonts w:ascii="Times New Roman" w:hAnsi="Times New Roman"/>
                <w:color w:val="000000"/>
                <w:spacing w:val="-2"/>
              </w:rPr>
            </w:pPr>
          </w:p>
          <w:p w:rsidR="00B42653" w:rsidRPr="00890C68" w:rsidRDefault="00544AB2" w:rsidP="00B42653">
            <w:pPr>
              <w:spacing w:line="240" w:lineRule="auto"/>
              <w:jc w:val="both"/>
              <w:rPr>
                <w:rFonts w:ascii="Times New Roman" w:hAnsi="Times New Roman"/>
                <w:color w:val="000000"/>
                <w:spacing w:val="-2"/>
              </w:rPr>
            </w:pPr>
            <w:r>
              <w:rPr>
                <w:rFonts w:ascii="Times New Roman" w:hAnsi="Times New Roman"/>
                <w:color w:val="000000"/>
                <w:spacing w:val="-2"/>
              </w:rPr>
              <w:t>8</w:t>
            </w:r>
            <w:r w:rsidR="00B42653" w:rsidRPr="00890C68">
              <w:rPr>
                <w:rFonts w:ascii="Times New Roman" w:hAnsi="Times New Roman"/>
                <w:color w:val="000000"/>
                <w:spacing w:val="-2"/>
              </w:rPr>
              <w:t>. Wprowadza się kompleksowe rozwiązania dla funkcjonowania i rozwoju magazynów energii elektrycznej;</w:t>
            </w:r>
          </w:p>
          <w:p w:rsidR="00B42653" w:rsidRPr="00890C68" w:rsidRDefault="00B42653" w:rsidP="00B42653">
            <w:pPr>
              <w:spacing w:line="240" w:lineRule="auto"/>
              <w:jc w:val="both"/>
              <w:rPr>
                <w:rFonts w:ascii="Times New Roman" w:hAnsi="Times New Roman"/>
                <w:color w:val="000000"/>
                <w:spacing w:val="-2"/>
              </w:rPr>
            </w:pPr>
          </w:p>
          <w:p w:rsidR="00B42653" w:rsidRPr="00890C68" w:rsidRDefault="00544AB2" w:rsidP="00B42653">
            <w:pPr>
              <w:spacing w:line="240" w:lineRule="auto"/>
              <w:jc w:val="both"/>
              <w:rPr>
                <w:rFonts w:ascii="Times New Roman" w:hAnsi="Times New Roman"/>
                <w:color w:val="000000"/>
                <w:spacing w:val="-2"/>
              </w:rPr>
            </w:pPr>
            <w:r>
              <w:rPr>
                <w:rFonts w:ascii="Times New Roman" w:hAnsi="Times New Roman"/>
                <w:color w:val="000000"/>
                <w:spacing w:val="-2"/>
              </w:rPr>
              <w:t>9</w:t>
            </w:r>
            <w:r w:rsidR="00B42653" w:rsidRPr="00890C68">
              <w:rPr>
                <w:rFonts w:ascii="Times New Roman" w:hAnsi="Times New Roman"/>
                <w:color w:val="000000"/>
                <w:spacing w:val="-2"/>
              </w:rPr>
              <w:t>. Dokonuje się zmian w zakresie przepisów regulujących politykę energetyczną państwa w sposób pozwalający na elastyczne kształtowanie formuły dokumentu;</w:t>
            </w:r>
          </w:p>
          <w:p w:rsidR="00B42653" w:rsidRPr="00890C68" w:rsidRDefault="00B42653" w:rsidP="00B42653">
            <w:pPr>
              <w:spacing w:line="240" w:lineRule="auto"/>
              <w:jc w:val="both"/>
              <w:rPr>
                <w:rFonts w:ascii="Times New Roman" w:hAnsi="Times New Roman"/>
                <w:color w:val="000000"/>
                <w:spacing w:val="-2"/>
              </w:rPr>
            </w:pPr>
          </w:p>
          <w:p w:rsidR="00B42653" w:rsidRPr="00890C68" w:rsidRDefault="0058053B" w:rsidP="00B42653">
            <w:pPr>
              <w:spacing w:line="240" w:lineRule="auto"/>
              <w:jc w:val="both"/>
              <w:rPr>
                <w:rFonts w:ascii="Times New Roman" w:hAnsi="Times New Roman"/>
                <w:color w:val="000000"/>
                <w:spacing w:val="-2"/>
              </w:rPr>
            </w:pPr>
            <w:r w:rsidRPr="00890C68">
              <w:rPr>
                <w:rFonts w:ascii="Times New Roman" w:hAnsi="Times New Roman"/>
                <w:color w:val="000000"/>
                <w:spacing w:val="-2"/>
              </w:rPr>
              <w:lastRenderedPageBreak/>
              <w:t>1</w:t>
            </w:r>
            <w:r w:rsidR="00544AB2">
              <w:rPr>
                <w:rFonts w:ascii="Times New Roman" w:hAnsi="Times New Roman"/>
                <w:color w:val="000000"/>
                <w:spacing w:val="-2"/>
              </w:rPr>
              <w:t>0</w:t>
            </w:r>
            <w:r w:rsidR="00B42653" w:rsidRPr="00890C68">
              <w:rPr>
                <w:rFonts w:ascii="Times New Roman" w:hAnsi="Times New Roman"/>
                <w:color w:val="000000"/>
                <w:spacing w:val="-2"/>
              </w:rPr>
              <w:t>. Doprecyzowuje się przepisy dotyczące stosowania taryfy dotychczasowej przez przedsiębiorstwo energetyczne (art. 47 PE)</w:t>
            </w:r>
            <w:r w:rsidR="001B4C38" w:rsidRPr="00890C68">
              <w:rPr>
                <w:rFonts w:ascii="Times New Roman" w:hAnsi="Times New Roman"/>
                <w:color w:val="000000"/>
                <w:spacing w:val="-2"/>
              </w:rPr>
              <w:t xml:space="preserve"> oraz zmienia się miejsce publikacji taryf dla ciepła z dziennika wojewódzkiego na Biuletyn URE</w:t>
            </w:r>
            <w:r w:rsidR="00B42653" w:rsidRPr="00890C68">
              <w:rPr>
                <w:rFonts w:ascii="Times New Roman" w:hAnsi="Times New Roman"/>
                <w:color w:val="000000"/>
                <w:spacing w:val="-2"/>
              </w:rPr>
              <w:t>;</w:t>
            </w:r>
          </w:p>
          <w:p w:rsidR="00D3798D" w:rsidRPr="00890C68" w:rsidRDefault="00D3798D" w:rsidP="00B42653">
            <w:pPr>
              <w:spacing w:line="240" w:lineRule="auto"/>
              <w:jc w:val="both"/>
              <w:rPr>
                <w:rFonts w:ascii="Times New Roman" w:hAnsi="Times New Roman"/>
                <w:color w:val="000000"/>
                <w:spacing w:val="-2"/>
              </w:rPr>
            </w:pPr>
          </w:p>
          <w:p w:rsidR="00D3798D" w:rsidRPr="00890C68" w:rsidRDefault="00544AB2" w:rsidP="00B42653">
            <w:pPr>
              <w:spacing w:line="240" w:lineRule="auto"/>
              <w:jc w:val="both"/>
              <w:rPr>
                <w:rFonts w:ascii="Times New Roman" w:hAnsi="Times New Roman"/>
                <w:color w:val="000000"/>
                <w:spacing w:val="-2"/>
              </w:rPr>
            </w:pPr>
            <w:r>
              <w:rPr>
                <w:rFonts w:ascii="Times New Roman" w:hAnsi="Times New Roman"/>
                <w:color w:val="000000"/>
                <w:spacing w:val="-2"/>
              </w:rPr>
              <w:t>11</w:t>
            </w:r>
            <w:r w:rsidR="00D3798D" w:rsidRPr="00890C68">
              <w:rPr>
                <w:rFonts w:ascii="Times New Roman" w:hAnsi="Times New Roman"/>
                <w:color w:val="000000"/>
                <w:spacing w:val="-2"/>
              </w:rPr>
              <w:t>. Wprowadzono środki mające na celu przeciwdziałanie nieuczciwym praktykom niektórych sprzedawców wprowadzając zakazu zawierania umów sprzedaży paliw gazowych i energii elektrycznej poza lokalem przedsiębiorstwa;</w:t>
            </w:r>
          </w:p>
          <w:p w:rsidR="00B42653" w:rsidRPr="00890C68" w:rsidRDefault="00B42653" w:rsidP="00B42653">
            <w:pPr>
              <w:spacing w:line="240" w:lineRule="auto"/>
              <w:jc w:val="both"/>
              <w:rPr>
                <w:rFonts w:ascii="Times New Roman" w:hAnsi="Times New Roman"/>
                <w:color w:val="000000"/>
                <w:spacing w:val="-2"/>
              </w:rPr>
            </w:pPr>
          </w:p>
          <w:p w:rsidR="00B42653" w:rsidRPr="00890C68" w:rsidRDefault="00544AB2" w:rsidP="00B42653">
            <w:pPr>
              <w:spacing w:line="240" w:lineRule="auto"/>
              <w:jc w:val="both"/>
              <w:rPr>
                <w:rFonts w:ascii="Times New Roman" w:hAnsi="Times New Roman"/>
                <w:color w:val="000000"/>
                <w:spacing w:val="-2"/>
              </w:rPr>
            </w:pPr>
            <w:r>
              <w:rPr>
                <w:rFonts w:ascii="Times New Roman" w:hAnsi="Times New Roman"/>
                <w:color w:val="000000"/>
                <w:spacing w:val="-2"/>
              </w:rPr>
              <w:t>12</w:t>
            </w:r>
            <w:r w:rsidR="00B42653" w:rsidRPr="00890C68">
              <w:rPr>
                <w:rFonts w:ascii="Times New Roman" w:hAnsi="Times New Roman"/>
                <w:color w:val="000000"/>
                <w:spacing w:val="-2"/>
              </w:rPr>
              <w:t>.</w:t>
            </w:r>
            <w:r w:rsidR="00E44B10">
              <w:rPr>
                <w:rFonts w:ascii="Times New Roman" w:hAnsi="Times New Roman"/>
                <w:color w:val="000000"/>
                <w:spacing w:val="-2"/>
              </w:rPr>
              <w:t xml:space="preserve"> Umożliwia się prowadzenie postę</w:t>
            </w:r>
            <w:r w:rsidR="00B42653" w:rsidRPr="00890C68">
              <w:rPr>
                <w:rFonts w:ascii="Times New Roman" w:hAnsi="Times New Roman"/>
                <w:color w:val="000000"/>
                <w:spacing w:val="-2"/>
              </w:rPr>
              <w:t>powań ADR osobom zajmującym się obsługą Koordynatora;</w:t>
            </w:r>
          </w:p>
          <w:p w:rsidR="00D3798D" w:rsidRPr="00890C68" w:rsidRDefault="00D3798D" w:rsidP="00B42653">
            <w:pPr>
              <w:spacing w:line="240" w:lineRule="auto"/>
              <w:jc w:val="both"/>
              <w:rPr>
                <w:rFonts w:ascii="Times New Roman" w:hAnsi="Times New Roman"/>
                <w:color w:val="000000"/>
                <w:spacing w:val="-2"/>
              </w:rPr>
            </w:pPr>
          </w:p>
          <w:p w:rsidR="00D3798D" w:rsidRPr="00890C68" w:rsidRDefault="00544AB2" w:rsidP="00B42653">
            <w:pPr>
              <w:spacing w:line="240" w:lineRule="auto"/>
              <w:jc w:val="both"/>
              <w:rPr>
                <w:rFonts w:ascii="Times New Roman" w:hAnsi="Times New Roman"/>
                <w:color w:val="000000"/>
                <w:spacing w:val="-2"/>
              </w:rPr>
            </w:pPr>
            <w:r>
              <w:rPr>
                <w:rFonts w:ascii="Times New Roman" w:hAnsi="Times New Roman"/>
                <w:color w:val="000000"/>
                <w:spacing w:val="-2"/>
              </w:rPr>
              <w:t>13</w:t>
            </w:r>
            <w:r w:rsidR="00D3798D" w:rsidRPr="00890C68">
              <w:rPr>
                <w:rFonts w:ascii="Times New Roman" w:hAnsi="Times New Roman"/>
                <w:color w:val="000000"/>
                <w:spacing w:val="-2"/>
              </w:rPr>
              <w:t>. Szczegółowo uregulowano kwestię zabezpieczenia majątkowego w celu zaspokojenia roszczeń osób trzecich, mogących powstać wskutek niewłaściwego prowadzenia działalności objętej koncesją;</w:t>
            </w:r>
          </w:p>
          <w:p w:rsidR="00B42653" w:rsidRPr="00890C68" w:rsidRDefault="00B42653" w:rsidP="00B42653">
            <w:pPr>
              <w:spacing w:line="240" w:lineRule="auto"/>
              <w:jc w:val="both"/>
              <w:rPr>
                <w:rFonts w:ascii="Times New Roman" w:hAnsi="Times New Roman"/>
                <w:color w:val="000000"/>
                <w:spacing w:val="-2"/>
              </w:rPr>
            </w:pPr>
          </w:p>
          <w:p w:rsidR="00B42653" w:rsidRPr="00890C68" w:rsidRDefault="00544AB2" w:rsidP="00B42653">
            <w:pPr>
              <w:spacing w:line="240" w:lineRule="auto"/>
              <w:jc w:val="both"/>
              <w:rPr>
                <w:rFonts w:ascii="Times New Roman" w:hAnsi="Times New Roman"/>
                <w:color w:val="000000"/>
                <w:spacing w:val="-2"/>
              </w:rPr>
            </w:pPr>
            <w:r>
              <w:rPr>
                <w:rFonts w:ascii="Times New Roman" w:hAnsi="Times New Roman"/>
                <w:color w:val="000000"/>
                <w:spacing w:val="-2"/>
              </w:rPr>
              <w:t>14</w:t>
            </w:r>
            <w:r w:rsidR="00B42653" w:rsidRPr="00890C68">
              <w:rPr>
                <w:rFonts w:ascii="Times New Roman" w:hAnsi="Times New Roman"/>
                <w:color w:val="000000"/>
                <w:spacing w:val="-2"/>
              </w:rPr>
              <w:t>. Doprecyzowano d</w:t>
            </w:r>
            <w:r w:rsidR="006F68C9" w:rsidRPr="00890C68">
              <w:rPr>
                <w:rFonts w:ascii="Times New Roman" w:hAnsi="Times New Roman"/>
                <w:color w:val="000000"/>
                <w:spacing w:val="-2"/>
              </w:rPr>
              <w:t>efinicję</w:t>
            </w:r>
            <w:r w:rsidR="00B42653" w:rsidRPr="00890C68">
              <w:rPr>
                <w:rFonts w:ascii="Times New Roman" w:hAnsi="Times New Roman"/>
                <w:color w:val="000000"/>
                <w:spacing w:val="-2"/>
              </w:rPr>
              <w:t xml:space="preserve"> uczestnika rynku (włączając jednostki organizacyjne nieposiadające osobowości prawnej) oraz przepisy karne w zakresie REMITu zgodnie z uwagami Prezesa URE;</w:t>
            </w:r>
          </w:p>
          <w:p w:rsidR="00B42653" w:rsidRPr="00890C68" w:rsidRDefault="00B42653" w:rsidP="00B42653">
            <w:pPr>
              <w:spacing w:line="240" w:lineRule="auto"/>
              <w:jc w:val="both"/>
              <w:rPr>
                <w:rFonts w:ascii="Times New Roman" w:hAnsi="Times New Roman"/>
                <w:color w:val="000000"/>
                <w:spacing w:val="-2"/>
              </w:rPr>
            </w:pPr>
          </w:p>
          <w:p w:rsidR="00B42653" w:rsidRPr="00890C68" w:rsidRDefault="00544AB2" w:rsidP="00B42653">
            <w:pPr>
              <w:spacing w:line="240" w:lineRule="auto"/>
              <w:jc w:val="both"/>
              <w:rPr>
                <w:rFonts w:ascii="Times New Roman" w:hAnsi="Times New Roman"/>
                <w:color w:val="000000"/>
                <w:spacing w:val="-2"/>
              </w:rPr>
            </w:pPr>
            <w:r>
              <w:rPr>
                <w:rFonts w:ascii="Times New Roman" w:hAnsi="Times New Roman"/>
                <w:color w:val="000000"/>
                <w:spacing w:val="-2"/>
              </w:rPr>
              <w:t>15</w:t>
            </w:r>
            <w:r w:rsidR="00B42653" w:rsidRPr="00890C68">
              <w:rPr>
                <w:rFonts w:ascii="Times New Roman" w:hAnsi="Times New Roman"/>
                <w:color w:val="000000"/>
                <w:spacing w:val="-2"/>
              </w:rPr>
              <w:t>. Sprzedawca paliw gazowych lub energii elektrycznej został zobowiązany do zapewnienia publicznego dostępu aktualnego stanu prawnego związanego z prawami konsumenta energii;</w:t>
            </w:r>
          </w:p>
          <w:p w:rsidR="00B42653" w:rsidRPr="00890C68" w:rsidRDefault="00B42653" w:rsidP="00B42653">
            <w:pPr>
              <w:spacing w:line="240" w:lineRule="auto"/>
              <w:jc w:val="both"/>
              <w:rPr>
                <w:rFonts w:ascii="Times New Roman" w:hAnsi="Times New Roman"/>
                <w:color w:val="000000"/>
                <w:spacing w:val="-2"/>
              </w:rPr>
            </w:pPr>
          </w:p>
          <w:p w:rsidR="006A701A" w:rsidRPr="00890C68" w:rsidRDefault="00544AB2" w:rsidP="00B42653">
            <w:pPr>
              <w:spacing w:line="240" w:lineRule="auto"/>
              <w:jc w:val="both"/>
              <w:rPr>
                <w:rFonts w:ascii="Times New Roman" w:hAnsi="Times New Roman"/>
                <w:color w:val="000000"/>
                <w:spacing w:val="-2"/>
              </w:rPr>
            </w:pPr>
            <w:r>
              <w:rPr>
                <w:rFonts w:ascii="Times New Roman" w:hAnsi="Times New Roman"/>
                <w:color w:val="000000"/>
                <w:spacing w:val="-2"/>
              </w:rPr>
              <w:t>16</w:t>
            </w:r>
            <w:r w:rsidR="00B42653" w:rsidRPr="00890C68">
              <w:rPr>
                <w:rFonts w:ascii="Times New Roman" w:hAnsi="Times New Roman"/>
                <w:color w:val="000000"/>
                <w:spacing w:val="-2"/>
              </w:rPr>
              <w:t>. Znak towarowy OSD będącego częścią przedsiębiorstwa zintegrowanego pionowo nie będzie mógł wprowadzać w błąd co do odrębnej tożsamości sprzedawcy będącego częścią tego samego przedsię</w:t>
            </w:r>
            <w:r w:rsidR="009D3651" w:rsidRPr="00890C68">
              <w:rPr>
                <w:rFonts w:ascii="Times New Roman" w:hAnsi="Times New Roman"/>
                <w:color w:val="000000"/>
                <w:spacing w:val="-2"/>
              </w:rPr>
              <w:t>biorstwa zintegrowanego pionowo;</w:t>
            </w:r>
          </w:p>
          <w:p w:rsidR="009D3651" w:rsidRPr="00890C68" w:rsidRDefault="009D3651" w:rsidP="00B42653">
            <w:pPr>
              <w:spacing w:line="240" w:lineRule="auto"/>
              <w:jc w:val="both"/>
              <w:rPr>
                <w:rFonts w:ascii="Times New Roman" w:hAnsi="Times New Roman"/>
                <w:color w:val="000000"/>
                <w:spacing w:val="-2"/>
              </w:rPr>
            </w:pPr>
          </w:p>
          <w:p w:rsidR="009D3651" w:rsidRPr="00890C68" w:rsidRDefault="00544AB2" w:rsidP="00B42653">
            <w:pPr>
              <w:spacing w:line="240" w:lineRule="auto"/>
              <w:jc w:val="both"/>
              <w:rPr>
                <w:rFonts w:ascii="Times New Roman" w:hAnsi="Times New Roman"/>
                <w:color w:val="000000"/>
                <w:spacing w:val="-2"/>
              </w:rPr>
            </w:pPr>
            <w:r>
              <w:rPr>
                <w:rFonts w:ascii="Times New Roman" w:hAnsi="Times New Roman"/>
                <w:color w:val="000000"/>
                <w:spacing w:val="-2"/>
              </w:rPr>
              <w:t>17</w:t>
            </w:r>
            <w:r w:rsidR="009D3651" w:rsidRPr="00890C68">
              <w:rPr>
                <w:rFonts w:ascii="Times New Roman" w:hAnsi="Times New Roman"/>
                <w:color w:val="000000"/>
                <w:spacing w:val="-2"/>
              </w:rPr>
              <w:t>. Wprowadza się obowiązek opracowywania przez operatora systemu magazynowania instrukcji ruchu i eksploatacji instalacji magazynowej.</w:t>
            </w:r>
          </w:p>
          <w:p w:rsidR="00810D86" w:rsidRPr="00890C68" w:rsidRDefault="00810D86" w:rsidP="00810D86">
            <w:pPr>
              <w:spacing w:line="240" w:lineRule="auto"/>
              <w:jc w:val="both"/>
              <w:rPr>
                <w:rFonts w:ascii="Times New Roman" w:hAnsi="Times New Roman"/>
                <w:color w:val="000000"/>
                <w:spacing w:val="-2"/>
              </w:rPr>
            </w:pPr>
          </w:p>
          <w:p w:rsidR="00810D86" w:rsidRPr="00890C68" w:rsidRDefault="00544AB2" w:rsidP="00810D86">
            <w:pPr>
              <w:spacing w:line="240" w:lineRule="auto"/>
              <w:jc w:val="both"/>
              <w:rPr>
                <w:rFonts w:ascii="Times New Roman" w:hAnsi="Times New Roman"/>
                <w:color w:val="000000"/>
                <w:spacing w:val="-2"/>
              </w:rPr>
            </w:pPr>
            <w:r>
              <w:rPr>
                <w:rFonts w:ascii="Times New Roman" w:hAnsi="Times New Roman"/>
                <w:color w:val="000000"/>
                <w:spacing w:val="-2"/>
              </w:rPr>
              <w:t>18</w:t>
            </w:r>
            <w:r w:rsidR="00810D86" w:rsidRPr="00890C68">
              <w:rPr>
                <w:rFonts w:ascii="Times New Roman" w:hAnsi="Times New Roman"/>
                <w:color w:val="000000"/>
                <w:spacing w:val="-2"/>
              </w:rPr>
              <w:t>.Wzmacnia się kompetencje nadzorcze Prezesa URE nad rynkiem paliw ciekłych w celu zapobiegania sygnalizowanym przez ten organ nieprawidłowościom.</w:t>
            </w:r>
          </w:p>
          <w:p w:rsidR="00810D86" w:rsidRPr="00890C68" w:rsidRDefault="00810D86" w:rsidP="00810D86">
            <w:pPr>
              <w:spacing w:line="240" w:lineRule="auto"/>
              <w:jc w:val="both"/>
              <w:rPr>
                <w:rFonts w:ascii="Times New Roman" w:hAnsi="Times New Roman"/>
                <w:color w:val="000000"/>
                <w:spacing w:val="-2"/>
              </w:rPr>
            </w:pPr>
          </w:p>
          <w:p w:rsidR="00810D86" w:rsidRPr="00890C68" w:rsidRDefault="00544AB2" w:rsidP="00810D86">
            <w:pPr>
              <w:spacing w:line="240" w:lineRule="auto"/>
              <w:jc w:val="both"/>
              <w:rPr>
                <w:rFonts w:ascii="Times New Roman" w:hAnsi="Times New Roman"/>
                <w:color w:val="000000"/>
                <w:spacing w:val="-2"/>
              </w:rPr>
            </w:pPr>
            <w:r>
              <w:rPr>
                <w:rFonts w:ascii="Times New Roman" w:hAnsi="Times New Roman"/>
                <w:color w:val="000000"/>
                <w:spacing w:val="-2"/>
              </w:rPr>
              <w:t>19</w:t>
            </w:r>
            <w:r w:rsidR="00810D86" w:rsidRPr="00890C68">
              <w:rPr>
                <w:rFonts w:ascii="Times New Roman" w:hAnsi="Times New Roman"/>
                <w:color w:val="000000"/>
                <w:spacing w:val="-2"/>
              </w:rPr>
              <w:t>. Usuwa się zidentyfikowane luki w prawie oraz doprecyzowuje przepisy wywołujące rozbieżności interpretacyjne w ustawie - Prawo energetyczne.</w:t>
            </w:r>
          </w:p>
          <w:p w:rsidR="00091AE9" w:rsidRPr="00890C68" w:rsidRDefault="00091AE9" w:rsidP="00B42653">
            <w:pPr>
              <w:spacing w:line="240" w:lineRule="auto"/>
              <w:jc w:val="both"/>
              <w:rPr>
                <w:rFonts w:ascii="Times New Roman" w:hAnsi="Times New Roman"/>
                <w:color w:val="000000"/>
                <w:spacing w:val="-2"/>
              </w:rPr>
            </w:pPr>
          </w:p>
          <w:p w:rsidR="008B59AD" w:rsidRPr="00890C68" w:rsidRDefault="00544AB2" w:rsidP="00091AE9">
            <w:pPr>
              <w:spacing w:line="240" w:lineRule="auto"/>
              <w:jc w:val="both"/>
              <w:rPr>
                <w:rFonts w:ascii="Times New Roman" w:hAnsi="Times New Roman"/>
                <w:color w:val="000000"/>
                <w:spacing w:val="-2"/>
              </w:rPr>
            </w:pPr>
            <w:r>
              <w:rPr>
                <w:rFonts w:ascii="Times New Roman" w:hAnsi="Times New Roman"/>
                <w:color w:val="000000"/>
                <w:spacing w:val="-2"/>
              </w:rPr>
              <w:t>20</w:t>
            </w:r>
            <w:r w:rsidR="00091AE9" w:rsidRPr="00890C68">
              <w:rPr>
                <w:rFonts w:ascii="Times New Roman" w:hAnsi="Times New Roman"/>
                <w:color w:val="000000"/>
                <w:spacing w:val="-2"/>
              </w:rPr>
              <w:t>.</w:t>
            </w:r>
            <w:r w:rsidR="008B59AD" w:rsidRPr="00890C68">
              <w:rPr>
                <w:rFonts w:ascii="Times New Roman" w:hAnsi="Times New Roman"/>
                <w:color w:val="000000"/>
                <w:spacing w:val="-2"/>
              </w:rPr>
              <w:t xml:space="preserve"> Wdrożenie w Polsce systemu inteligentnego opomiarowania:</w:t>
            </w:r>
          </w:p>
          <w:p w:rsidR="00091AE9" w:rsidRPr="00890C68" w:rsidRDefault="00544AB2" w:rsidP="00091AE9">
            <w:pPr>
              <w:spacing w:line="240" w:lineRule="auto"/>
              <w:jc w:val="both"/>
              <w:rPr>
                <w:rFonts w:ascii="Times New Roman" w:hAnsi="Times New Roman"/>
                <w:color w:val="000000"/>
                <w:spacing w:val="-2"/>
              </w:rPr>
            </w:pPr>
            <w:r>
              <w:rPr>
                <w:rFonts w:ascii="Times New Roman" w:hAnsi="Times New Roman"/>
                <w:color w:val="000000"/>
                <w:spacing w:val="-2"/>
                <w:u w:val="single"/>
              </w:rPr>
              <w:t>20</w:t>
            </w:r>
            <w:r w:rsidR="008B59AD" w:rsidRPr="00890C68">
              <w:rPr>
                <w:rFonts w:ascii="Times New Roman" w:hAnsi="Times New Roman"/>
                <w:color w:val="000000"/>
                <w:spacing w:val="-2"/>
                <w:u w:val="single"/>
              </w:rPr>
              <w:t xml:space="preserve">. </w:t>
            </w:r>
            <w:r w:rsidR="00091AE9" w:rsidRPr="00890C68">
              <w:rPr>
                <w:rFonts w:ascii="Times New Roman" w:hAnsi="Times New Roman"/>
                <w:color w:val="000000"/>
                <w:spacing w:val="-2"/>
                <w:u w:val="single"/>
              </w:rPr>
              <w:t>1. Rekomendowane rozwiązanie</w:t>
            </w:r>
          </w:p>
          <w:p w:rsidR="00091AE9" w:rsidRPr="00890C68" w:rsidRDefault="00091AE9" w:rsidP="00091AE9">
            <w:pPr>
              <w:spacing w:line="240" w:lineRule="auto"/>
              <w:jc w:val="both"/>
              <w:rPr>
                <w:rFonts w:ascii="Times New Roman" w:hAnsi="Times New Roman"/>
                <w:color w:val="000000"/>
                <w:spacing w:val="-2"/>
              </w:rPr>
            </w:pPr>
            <w:r w:rsidRPr="00890C68">
              <w:rPr>
                <w:rFonts w:ascii="Times New Roman" w:hAnsi="Times New Roman"/>
                <w:color w:val="000000"/>
                <w:spacing w:val="-2"/>
              </w:rPr>
              <w:t xml:space="preserve">Projekt ustawy o zmianie ustawy – Prawo energetyczne ma na celu określenie zasad funkcjonowania systemu inteligentnego opomiarowania w sektorze elektroenergetycznym. </w:t>
            </w:r>
          </w:p>
          <w:p w:rsidR="00091AE9" w:rsidRPr="00890C68" w:rsidRDefault="00091AE9" w:rsidP="00091AE9">
            <w:pPr>
              <w:spacing w:line="240" w:lineRule="auto"/>
              <w:jc w:val="both"/>
              <w:rPr>
                <w:rFonts w:ascii="Times New Roman" w:hAnsi="Times New Roman"/>
                <w:color w:val="000000"/>
                <w:spacing w:val="-2"/>
              </w:rPr>
            </w:pPr>
            <w:r w:rsidRPr="00890C68">
              <w:rPr>
                <w:rFonts w:ascii="Times New Roman" w:hAnsi="Times New Roman"/>
                <w:color w:val="000000"/>
                <w:spacing w:val="-2"/>
              </w:rPr>
              <w:t>System inteligentnego opomiarowania zostanie wdrożony z zastosowaniem inteligentnych liczników pomiarowych zainstalowanych u odbiorców końcowych, z wykorzystaniem funkcji transmisji danych oraz wykonywania poleceń. Liczniki zdalnego odczytu będą umożliwiały komunikację dwukierunkową z systemem zdalnego odczytu w celu przesyłania informacji  pomiarowych) energii elektrycznej, zarówno wytworzonej lub wprowadzonej do sieci, jak i pobieranej z sieci.</w:t>
            </w:r>
          </w:p>
          <w:p w:rsidR="00091AE9" w:rsidRPr="00890C68" w:rsidRDefault="00091AE9" w:rsidP="00091AE9">
            <w:pPr>
              <w:spacing w:line="240" w:lineRule="auto"/>
              <w:jc w:val="both"/>
              <w:rPr>
                <w:rFonts w:ascii="Times New Roman" w:hAnsi="Times New Roman"/>
                <w:color w:val="000000"/>
                <w:spacing w:val="-2"/>
              </w:rPr>
            </w:pPr>
            <w:r w:rsidRPr="00890C68">
              <w:rPr>
                <w:rFonts w:ascii="Times New Roman" w:hAnsi="Times New Roman"/>
                <w:color w:val="000000"/>
                <w:spacing w:val="-2"/>
              </w:rPr>
              <w:t xml:space="preserve">Informacje i dane, za pośrednictwem systemu zdalnego odczytu, przekazywane będą do Centralnego Systemu Informacji </w:t>
            </w:r>
            <w:r w:rsidR="00FB4137" w:rsidRPr="00890C68">
              <w:rPr>
                <w:rFonts w:ascii="Times New Roman" w:hAnsi="Times New Roman"/>
                <w:color w:val="000000"/>
                <w:spacing w:val="-2"/>
              </w:rPr>
              <w:t xml:space="preserve">Rynku Energii </w:t>
            </w:r>
            <w:r w:rsidRPr="00890C68">
              <w:rPr>
                <w:rFonts w:ascii="Times New Roman" w:hAnsi="Times New Roman"/>
                <w:color w:val="000000"/>
                <w:spacing w:val="-2"/>
              </w:rPr>
              <w:t>(</w:t>
            </w:r>
            <w:r w:rsidR="00FB4137" w:rsidRPr="00890C68">
              <w:rPr>
                <w:rFonts w:ascii="Times New Roman" w:hAnsi="Times New Roman"/>
                <w:color w:val="000000"/>
                <w:spacing w:val="-2"/>
              </w:rPr>
              <w:t>CSIRE</w:t>
            </w:r>
            <w:r w:rsidRPr="00890C68">
              <w:rPr>
                <w:rFonts w:ascii="Times New Roman" w:hAnsi="Times New Roman"/>
                <w:color w:val="000000"/>
                <w:spacing w:val="-2"/>
              </w:rPr>
              <w:t>). Zarz</w:t>
            </w:r>
            <w:r w:rsidR="00E6432B" w:rsidRPr="00890C68">
              <w:rPr>
                <w:rFonts w:ascii="Times New Roman" w:hAnsi="Times New Roman"/>
                <w:color w:val="000000"/>
                <w:spacing w:val="-2"/>
              </w:rPr>
              <w:t>ą</w:t>
            </w:r>
            <w:r w:rsidRPr="00890C68">
              <w:rPr>
                <w:rFonts w:ascii="Times New Roman" w:hAnsi="Times New Roman"/>
                <w:color w:val="000000"/>
                <w:spacing w:val="-2"/>
              </w:rPr>
              <w:t>dzanie systemem teleinformatycznym (</w:t>
            </w:r>
            <w:r w:rsidR="00FB4137" w:rsidRPr="00890C68">
              <w:rPr>
                <w:rFonts w:ascii="Times New Roman" w:hAnsi="Times New Roman"/>
                <w:color w:val="000000"/>
                <w:spacing w:val="-2"/>
              </w:rPr>
              <w:t>CSIRE</w:t>
            </w:r>
            <w:r w:rsidRPr="00890C68">
              <w:rPr>
                <w:rFonts w:ascii="Times New Roman" w:hAnsi="Times New Roman"/>
                <w:color w:val="000000"/>
                <w:spacing w:val="-2"/>
              </w:rPr>
              <w:t xml:space="preserve">), w tym przetwarzanie danych ze wszystkich liczników inteligentnych będzie zadaniem Operatora Informacji </w:t>
            </w:r>
            <w:r w:rsidR="00C005EA" w:rsidRPr="00890C68">
              <w:rPr>
                <w:rFonts w:ascii="Times New Roman" w:hAnsi="Times New Roman"/>
                <w:color w:val="000000"/>
                <w:spacing w:val="-2"/>
              </w:rPr>
              <w:t>Rynku Energii</w:t>
            </w:r>
            <w:r w:rsidRPr="00890C68">
              <w:rPr>
                <w:rFonts w:ascii="Times New Roman" w:hAnsi="Times New Roman"/>
                <w:color w:val="000000"/>
                <w:spacing w:val="-2"/>
              </w:rPr>
              <w:t xml:space="preserve"> (</w:t>
            </w:r>
            <w:r w:rsidR="00C005EA" w:rsidRPr="00890C68">
              <w:rPr>
                <w:rFonts w:ascii="Times New Roman" w:hAnsi="Times New Roman"/>
                <w:color w:val="000000"/>
                <w:spacing w:val="-2"/>
              </w:rPr>
              <w:t>OIRE</w:t>
            </w:r>
            <w:r w:rsidRPr="00890C68">
              <w:rPr>
                <w:rFonts w:ascii="Times New Roman" w:hAnsi="Times New Roman"/>
                <w:color w:val="000000"/>
                <w:spacing w:val="-2"/>
              </w:rPr>
              <w:t>) - podmiotu wyznaczonego i regulowanego ustawowo. Funkcja OI</w:t>
            </w:r>
            <w:r w:rsidR="00C005EA" w:rsidRPr="00890C68">
              <w:rPr>
                <w:rFonts w:ascii="Times New Roman" w:hAnsi="Times New Roman"/>
                <w:color w:val="000000"/>
                <w:spacing w:val="-2"/>
              </w:rPr>
              <w:t>RE</w:t>
            </w:r>
            <w:r w:rsidRPr="00890C68">
              <w:rPr>
                <w:rFonts w:ascii="Times New Roman" w:hAnsi="Times New Roman"/>
                <w:color w:val="000000"/>
                <w:spacing w:val="-2"/>
              </w:rPr>
              <w:t xml:space="preserve"> zostanie powierzona Polskim Sieciom Elektroenergetycznym S.A., które pełnią w Polsce rolę Operatora Sytemu Przesyłowego.</w:t>
            </w:r>
          </w:p>
          <w:p w:rsidR="00091AE9" w:rsidRPr="00890C68" w:rsidRDefault="00091AE9" w:rsidP="00091AE9">
            <w:pPr>
              <w:spacing w:line="240" w:lineRule="auto"/>
              <w:jc w:val="both"/>
              <w:rPr>
                <w:rFonts w:ascii="Times New Roman" w:hAnsi="Times New Roman"/>
                <w:color w:val="000000"/>
                <w:spacing w:val="-2"/>
              </w:rPr>
            </w:pPr>
            <w:r w:rsidRPr="00890C68">
              <w:rPr>
                <w:rFonts w:ascii="Times New Roman" w:hAnsi="Times New Roman"/>
                <w:color w:val="000000"/>
                <w:spacing w:val="-2"/>
              </w:rPr>
              <w:t>Liczniki zdalnego odczytu zostaną zainstalowane u co najmniej 80% odbiorców końcowych w gospodarstwach domowych</w:t>
            </w:r>
            <w:r w:rsidR="00DD6544" w:rsidRPr="00890C68">
              <w:rPr>
                <w:rFonts w:ascii="Times New Roman" w:hAnsi="Times New Roman"/>
                <w:color w:val="000000"/>
                <w:spacing w:val="-2"/>
              </w:rPr>
              <w:t xml:space="preserve"> oraz odbiorców z grypy taryfowej C1x o mocy umownej mniejszej lub równej 16 kW</w:t>
            </w:r>
            <w:r w:rsidRPr="00890C68">
              <w:rPr>
                <w:rFonts w:ascii="Times New Roman" w:hAnsi="Times New Roman"/>
                <w:color w:val="000000"/>
                <w:spacing w:val="-2"/>
              </w:rPr>
              <w:t xml:space="preserve"> przez każdego OSD, w terminie do 31 grudnia 202</w:t>
            </w:r>
            <w:r w:rsidR="00F005B5" w:rsidRPr="00890C68">
              <w:rPr>
                <w:rFonts w:ascii="Times New Roman" w:hAnsi="Times New Roman"/>
                <w:color w:val="000000"/>
                <w:spacing w:val="-2"/>
              </w:rPr>
              <w:t>8</w:t>
            </w:r>
            <w:r w:rsidRPr="00890C68">
              <w:rPr>
                <w:rFonts w:ascii="Times New Roman" w:hAnsi="Times New Roman"/>
                <w:color w:val="000000"/>
                <w:spacing w:val="-2"/>
              </w:rPr>
              <w:t xml:space="preserve"> r. </w:t>
            </w:r>
          </w:p>
          <w:p w:rsidR="00091AE9" w:rsidRPr="00890C68" w:rsidRDefault="00544AB2" w:rsidP="00091AE9">
            <w:pPr>
              <w:spacing w:line="240" w:lineRule="auto"/>
              <w:jc w:val="both"/>
              <w:rPr>
                <w:rFonts w:ascii="Times New Roman" w:hAnsi="Times New Roman"/>
                <w:color w:val="000000"/>
                <w:spacing w:val="-2"/>
                <w:u w:val="single"/>
              </w:rPr>
            </w:pPr>
            <w:r>
              <w:rPr>
                <w:rFonts w:ascii="Times New Roman" w:hAnsi="Times New Roman"/>
                <w:color w:val="000000"/>
                <w:spacing w:val="-2"/>
                <w:u w:val="single"/>
              </w:rPr>
              <w:t>20</w:t>
            </w:r>
            <w:r w:rsidR="00091AE9" w:rsidRPr="00890C68">
              <w:rPr>
                <w:rFonts w:ascii="Times New Roman" w:hAnsi="Times New Roman"/>
                <w:color w:val="000000"/>
                <w:spacing w:val="-2"/>
                <w:u w:val="single"/>
              </w:rPr>
              <w:t>.2. Planowane narzędzia interwencji</w:t>
            </w:r>
          </w:p>
          <w:p w:rsidR="00091AE9" w:rsidRPr="00890C68" w:rsidRDefault="00091AE9" w:rsidP="00091AE9">
            <w:pPr>
              <w:spacing w:line="240" w:lineRule="auto"/>
              <w:jc w:val="both"/>
              <w:rPr>
                <w:rFonts w:ascii="Times New Roman" w:hAnsi="Times New Roman"/>
                <w:color w:val="000000"/>
                <w:spacing w:val="-2"/>
              </w:rPr>
            </w:pPr>
            <w:r w:rsidRPr="00890C68">
              <w:rPr>
                <w:rFonts w:ascii="Times New Roman" w:hAnsi="Times New Roman"/>
                <w:color w:val="000000"/>
                <w:spacing w:val="-2"/>
              </w:rPr>
              <w:t>Przepisy projektowanej ustawy określają harmonogram instalacji liczników zdalnego odczytu u odbiorców końcowych przez OSD. Podmiotem uprawnionym i zobowiązanym do oceny postępów realizacji procesu wdrożenia jak również funkcjonowania systemu będzie Prezes URE. Czynności w tym zakresie Prezes URE będzie realizował w oparciu o dane z OI</w:t>
            </w:r>
            <w:r w:rsidR="00A561FA" w:rsidRPr="00890C68">
              <w:rPr>
                <w:rFonts w:ascii="Times New Roman" w:hAnsi="Times New Roman"/>
                <w:color w:val="000000"/>
                <w:spacing w:val="-2"/>
              </w:rPr>
              <w:t>RE</w:t>
            </w:r>
            <w:r w:rsidRPr="00890C68">
              <w:rPr>
                <w:rFonts w:ascii="Times New Roman" w:hAnsi="Times New Roman"/>
                <w:color w:val="000000"/>
                <w:spacing w:val="-2"/>
              </w:rPr>
              <w:t>.</w:t>
            </w:r>
          </w:p>
          <w:p w:rsidR="00091AE9" w:rsidRPr="00890C68" w:rsidRDefault="00091AE9" w:rsidP="00091AE9">
            <w:pPr>
              <w:spacing w:line="240" w:lineRule="auto"/>
              <w:jc w:val="both"/>
              <w:rPr>
                <w:rFonts w:ascii="Times New Roman" w:hAnsi="Times New Roman"/>
                <w:color w:val="000000"/>
                <w:spacing w:val="-2"/>
              </w:rPr>
            </w:pPr>
            <w:r w:rsidRPr="00890C68">
              <w:rPr>
                <w:rFonts w:ascii="Times New Roman" w:hAnsi="Times New Roman"/>
                <w:color w:val="000000"/>
                <w:spacing w:val="-2"/>
              </w:rPr>
              <w:t>Wprowadzenie i uregulowanie funkcji OI</w:t>
            </w:r>
            <w:r w:rsidR="001763A6" w:rsidRPr="00890C68">
              <w:rPr>
                <w:rFonts w:ascii="Times New Roman" w:hAnsi="Times New Roman"/>
                <w:color w:val="000000"/>
                <w:spacing w:val="-2"/>
              </w:rPr>
              <w:t>RE</w:t>
            </w:r>
            <w:r w:rsidRPr="00890C68">
              <w:rPr>
                <w:rFonts w:ascii="Times New Roman" w:hAnsi="Times New Roman"/>
                <w:color w:val="000000"/>
                <w:spacing w:val="-2"/>
              </w:rPr>
              <w:t xml:space="preserve"> spowoduje przyporządkowanie zadań i odpowiedzialności w zakresie gromadzenia, przechowywania, udostępniania i usuwania danych i informacji pomiarowych. Procesy będą realizowane przez jednego właściciela biznesowego, według zestandaryzowanych rozwiązań, w sposób jednolity dla całej populacji użytkowników końcowych.</w:t>
            </w:r>
          </w:p>
          <w:p w:rsidR="00091AE9" w:rsidRPr="00890C68" w:rsidRDefault="00091AE9" w:rsidP="00091AE9">
            <w:pPr>
              <w:spacing w:line="240" w:lineRule="auto"/>
              <w:jc w:val="both"/>
              <w:rPr>
                <w:rFonts w:ascii="Times New Roman" w:hAnsi="Times New Roman"/>
                <w:color w:val="000000"/>
                <w:spacing w:val="-2"/>
              </w:rPr>
            </w:pPr>
            <w:r w:rsidRPr="00890C68">
              <w:rPr>
                <w:rFonts w:ascii="Times New Roman" w:hAnsi="Times New Roman"/>
                <w:color w:val="000000"/>
                <w:spacing w:val="-2"/>
              </w:rPr>
              <w:t xml:space="preserve">Rozliczenia zużycia energii elektrycznej, poboru mocy, oszczędności w aspekcie efektywności energetycznej będą przeprowadzane  na  jednorodnych, uporządkowanych zbiorach danych. </w:t>
            </w:r>
          </w:p>
          <w:p w:rsidR="00091AE9" w:rsidRPr="00890C68" w:rsidRDefault="00091AE9" w:rsidP="00091AE9">
            <w:pPr>
              <w:spacing w:line="240" w:lineRule="auto"/>
              <w:jc w:val="both"/>
              <w:rPr>
                <w:rFonts w:ascii="Times New Roman" w:hAnsi="Times New Roman"/>
                <w:color w:val="000000"/>
                <w:spacing w:val="-2"/>
              </w:rPr>
            </w:pPr>
            <w:r w:rsidRPr="00890C68">
              <w:rPr>
                <w:rFonts w:ascii="Times New Roman" w:hAnsi="Times New Roman"/>
                <w:color w:val="000000"/>
                <w:spacing w:val="-2"/>
              </w:rPr>
              <w:t>Projektowane przepisy ustawy będą umożliwiały odbiorcy końcowemu uzyskanie za pośrednictwem OI</w:t>
            </w:r>
            <w:r w:rsidR="001763A6" w:rsidRPr="00890C68">
              <w:rPr>
                <w:rFonts w:ascii="Times New Roman" w:hAnsi="Times New Roman"/>
                <w:color w:val="000000"/>
                <w:spacing w:val="-2"/>
              </w:rPr>
              <w:t>RE</w:t>
            </w:r>
            <w:r w:rsidRPr="00890C68">
              <w:rPr>
                <w:rFonts w:ascii="Times New Roman" w:hAnsi="Times New Roman"/>
                <w:color w:val="000000"/>
                <w:spacing w:val="-2"/>
              </w:rPr>
              <w:t xml:space="preserve"> bieżących i historycznych danych dotyczących jego poboru bądź produkcji energii elektrycznej.</w:t>
            </w:r>
          </w:p>
          <w:p w:rsidR="00091AE9" w:rsidRPr="00890C68" w:rsidRDefault="00091AE9" w:rsidP="00091AE9">
            <w:pPr>
              <w:spacing w:line="240" w:lineRule="auto"/>
              <w:jc w:val="both"/>
              <w:rPr>
                <w:rFonts w:ascii="Times New Roman" w:hAnsi="Times New Roman"/>
                <w:color w:val="000000"/>
                <w:spacing w:val="-2"/>
              </w:rPr>
            </w:pPr>
            <w:r w:rsidRPr="00890C68">
              <w:rPr>
                <w:rFonts w:ascii="Times New Roman" w:hAnsi="Times New Roman"/>
                <w:color w:val="000000"/>
                <w:spacing w:val="-2"/>
              </w:rPr>
              <w:t>Wymiana informacji i danych przy zmianie sprzedawcy energii elektrycznej będzie odbywać się w sposób uregulowany, monitorowany i scentralizowany.</w:t>
            </w:r>
          </w:p>
          <w:p w:rsidR="00091AE9" w:rsidRPr="00890C68" w:rsidRDefault="00091AE9" w:rsidP="00091AE9">
            <w:pPr>
              <w:spacing w:line="240" w:lineRule="auto"/>
              <w:jc w:val="both"/>
              <w:rPr>
                <w:rFonts w:ascii="Times New Roman" w:hAnsi="Times New Roman"/>
                <w:color w:val="000000"/>
                <w:spacing w:val="-2"/>
              </w:rPr>
            </w:pPr>
            <w:r w:rsidRPr="00890C68">
              <w:rPr>
                <w:rFonts w:ascii="Times New Roman" w:hAnsi="Times New Roman"/>
                <w:color w:val="000000"/>
                <w:spacing w:val="-2"/>
              </w:rPr>
              <w:t xml:space="preserve">Szczegółowe warunki funkcjonowania </w:t>
            </w:r>
            <w:r w:rsidR="00F63504" w:rsidRPr="00890C68">
              <w:rPr>
                <w:rFonts w:ascii="Times New Roman" w:hAnsi="Times New Roman"/>
                <w:color w:val="000000"/>
                <w:spacing w:val="-2"/>
              </w:rPr>
              <w:t xml:space="preserve">inteligentnego </w:t>
            </w:r>
            <w:r w:rsidRPr="00890C68">
              <w:rPr>
                <w:rFonts w:ascii="Times New Roman" w:hAnsi="Times New Roman"/>
                <w:color w:val="000000"/>
                <w:spacing w:val="-2"/>
              </w:rPr>
              <w:t xml:space="preserve">systemu pomiarowego określi Minister właściwy do spraw energii w drodze </w:t>
            </w:r>
            <w:r w:rsidR="00F63504" w:rsidRPr="00890C68">
              <w:rPr>
                <w:rFonts w:ascii="Times New Roman" w:hAnsi="Times New Roman"/>
                <w:color w:val="000000"/>
                <w:spacing w:val="-2"/>
              </w:rPr>
              <w:t>rozporządzeń wykonawczych.</w:t>
            </w:r>
          </w:p>
          <w:p w:rsidR="00091AE9" w:rsidRPr="00890C68" w:rsidRDefault="00544AB2" w:rsidP="00091AE9">
            <w:pPr>
              <w:spacing w:line="240" w:lineRule="auto"/>
              <w:jc w:val="both"/>
              <w:rPr>
                <w:rFonts w:ascii="Times New Roman" w:hAnsi="Times New Roman"/>
                <w:color w:val="000000"/>
                <w:spacing w:val="-2"/>
                <w:u w:val="single"/>
              </w:rPr>
            </w:pPr>
            <w:r>
              <w:rPr>
                <w:rFonts w:ascii="Times New Roman" w:hAnsi="Times New Roman"/>
                <w:color w:val="000000"/>
                <w:spacing w:val="-2"/>
                <w:u w:val="single"/>
              </w:rPr>
              <w:lastRenderedPageBreak/>
              <w:t>20</w:t>
            </w:r>
            <w:r w:rsidR="00091AE9" w:rsidRPr="00890C68">
              <w:rPr>
                <w:rFonts w:ascii="Times New Roman" w:hAnsi="Times New Roman"/>
                <w:color w:val="000000"/>
                <w:spacing w:val="-2"/>
                <w:u w:val="single"/>
              </w:rPr>
              <w:t>.3. Oczekiwany efekt</w:t>
            </w:r>
          </w:p>
          <w:p w:rsidR="00091AE9" w:rsidRPr="00890C68" w:rsidRDefault="00091AE9" w:rsidP="00091AE9">
            <w:pPr>
              <w:spacing w:line="240" w:lineRule="auto"/>
              <w:jc w:val="both"/>
              <w:rPr>
                <w:rFonts w:ascii="Times New Roman" w:hAnsi="Times New Roman"/>
                <w:color w:val="000000"/>
                <w:spacing w:val="-2"/>
              </w:rPr>
            </w:pPr>
            <w:r w:rsidRPr="00890C68">
              <w:rPr>
                <w:rFonts w:ascii="Times New Roman" w:hAnsi="Times New Roman"/>
                <w:color w:val="000000"/>
                <w:spacing w:val="-2"/>
              </w:rPr>
              <w:t>Podstawowym oczekiwanym efektem działania przepisów projektowanej ustawy jest zapewnienie ram prawnych dla instalacji liczników zdalnego odczytu pozostających w zgodności z przepisami prawa UE.</w:t>
            </w:r>
          </w:p>
          <w:p w:rsidR="00091AE9" w:rsidRPr="00890C68" w:rsidRDefault="00091AE9" w:rsidP="00091AE9">
            <w:pPr>
              <w:spacing w:line="240" w:lineRule="auto"/>
              <w:jc w:val="both"/>
              <w:rPr>
                <w:rFonts w:ascii="Times New Roman" w:hAnsi="Times New Roman"/>
                <w:color w:val="000000"/>
                <w:spacing w:val="-2"/>
              </w:rPr>
            </w:pPr>
            <w:r w:rsidRPr="00890C68">
              <w:rPr>
                <w:rFonts w:ascii="Times New Roman" w:hAnsi="Times New Roman"/>
                <w:color w:val="000000"/>
                <w:spacing w:val="-2"/>
              </w:rPr>
              <w:t>Pozostałe spodziewane efekty:</w:t>
            </w:r>
          </w:p>
          <w:p w:rsidR="00091AE9" w:rsidRPr="00890C68" w:rsidRDefault="00091AE9" w:rsidP="00091AE9">
            <w:pPr>
              <w:spacing w:line="240" w:lineRule="auto"/>
              <w:jc w:val="both"/>
              <w:rPr>
                <w:rFonts w:ascii="Times New Roman" w:hAnsi="Times New Roman"/>
                <w:color w:val="000000"/>
                <w:spacing w:val="-2"/>
              </w:rPr>
            </w:pPr>
            <w:r w:rsidRPr="00890C68">
              <w:rPr>
                <w:rFonts w:ascii="Times New Roman" w:hAnsi="Times New Roman"/>
                <w:color w:val="000000"/>
                <w:spacing w:val="-2"/>
              </w:rPr>
              <w:t>- terminowe wywiązanie się przez OSD z obowiązku zapewnienia, aby wszystkie posiadane przez nie układy pomiarowo-rozliczeniowe jednostek fizycznych wchodzących w skład jednostki rynku mocy spełniały wymagania techniczne, niezbędne  dla poprawnego prowadzenia rozliczeń;</w:t>
            </w:r>
          </w:p>
          <w:p w:rsidR="00091AE9" w:rsidRPr="00890C68" w:rsidRDefault="00091AE9" w:rsidP="00091AE9">
            <w:pPr>
              <w:spacing w:line="240" w:lineRule="auto"/>
              <w:jc w:val="both"/>
              <w:rPr>
                <w:rFonts w:ascii="Times New Roman" w:hAnsi="Times New Roman"/>
                <w:color w:val="000000"/>
                <w:spacing w:val="-2"/>
              </w:rPr>
            </w:pPr>
            <w:r w:rsidRPr="00890C68">
              <w:rPr>
                <w:rFonts w:ascii="Times New Roman" w:hAnsi="Times New Roman"/>
                <w:color w:val="000000"/>
                <w:spacing w:val="-2"/>
              </w:rPr>
              <w:t>- usprawnienie zarządzania popytem na rynku energii elektrycznej i obniżenie szczytowego zapotrzebowania na moc w dłuższej perspektywie, w tym za sprawą wprowadzenia taryf dynamicznych;</w:t>
            </w:r>
          </w:p>
          <w:p w:rsidR="00091AE9" w:rsidRPr="00890C68" w:rsidRDefault="00091AE9" w:rsidP="00091AE9">
            <w:pPr>
              <w:spacing w:line="240" w:lineRule="auto"/>
              <w:jc w:val="both"/>
              <w:rPr>
                <w:rFonts w:ascii="Times New Roman" w:hAnsi="Times New Roman"/>
                <w:color w:val="000000"/>
                <w:spacing w:val="-2"/>
              </w:rPr>
            </w:pPr>
            <w:r w:rsidRPr="00890C68">
              <w:rPr>
                <w:rFonts w:ascii="Times New Roman" w:hAnsi="Times New Roman"/>
                <w:color w:val="000000"/>
                <w:spacing w:val="-2"/>
              </w:rPr>
              <w:t>- rozliczanie odbiorców końcowych według rzeczywistego zużycia;</w:t>
            </w:r>
          </w:p>
          <w:p w:rsidR="00091AE9" w:rsidRPr="00890C68" w:rsidRDefault="00091AE9" w:rsidP="00091AE9">
            <w:pPr>
              <w:spacing w:line="240" w:lineRule="auto"/>
              <w:jc w:val="both"/>
              <w:rPr>
                <w:rFonts w:ascii="Times New Roman" w:hAnsi="Times New Roman"/>
                <w:color w:val="000000"/>
                <w:spacing w:val="-2"/>
              </w:rPr>
            </w:pPr>
            <w:r w:rsidRPr="00890C68">
              <w:rPr>
                <w:rFonts w:ascii="Times New Roman" w:hAnsi="Times New Roman"/>
                <w:color w:val="000000"/>
                <w:spacing w:val="-2"/>
              </w:rPr>
              <w:t xml:space="preserve">- aktywne zaangażowanie odbiorców w regulowanie własnego zużycia energii elektrycznej (minimalizowanie zużycia energii w okresach prognozowanego zapotrzebowania szczytowego) jako skutek uzyskania dostępu do swoich danych pomiarowych; </w:t>
            </w:r>
          </w:p>
          <w:p w:rsidR="00091AE9" w:rsidRPr="00890C68" w:rsidRDefault="00091AE9" w:rsidP="00091AE9">
            <w:pPr>
              <w:spacing w:line="240" w:lineRule="auto"/>
              <w:jc w:val="both"/>
              <w:rPr>
                <w:rFonts w:ascii="Times New Roman" w:hAnsi="Times New Roman"/>
                <w:color w:val="000000"/>
                <w:spacing w:val="-2"/>
              </w:rPr>
            </w:pPr>
            <w:r w:rsidRPr="00890C68">
              <w:rPr>
                <w:rFonts w:ascii="Times New Roman" w:hAnsi="Times New Roman"/>
                <w:color w:val="000000"/>
                <w:spacing w:val="-2"/>
              </w:rPr>
              <w:t>- większa świadomość odbiorcy indywidualnego w odniesieniu do roli jaką odgrywa użytkownik systemu elektroenergetycznego; kształtowanie dobrych nawyków w długim okresie;</w:t>
            </w:r>
          </w:p>
          <w:p w:rsidR="00091AE9" w:rsidRPr="00890C68" w:rsidRDefault="00091AE9" w:rsidP="00091AE9">
            <w:pPr>
              <w:spacing w:line="240" w:lineRule="auto"/>
              <w:jc w:val="both"/>
              <w:rPr>
                <w:rFonts w:ascii="Times New Roman" w:hAnsi="Times New Roman"/>
                <w:color w:val="000000"/>
                <w:spacing w:val="-2"/>
              </w:rPr>
            </w:pPr>
            <w:r w:rsidRPr="00890C68">
              <w:rPr>
                <w:rFonts w:ascii="Times New Roman" w:hAnsi="Times New Roman"/>
                <w:color w:val="000000"/>
                <w:spacing w:val="-2"/>
              </w:rPr>
              <w:t xml:space="preserve">- ograniczenie kosztów po stronie odbiorcy </w:t>
            </w:r>
            <w:r w:rsidR="00203F6A" w:rsidRPr="00890C68">
              <w:rPr>
                <w:rFonts w:ascii="Times New Roman" w:hAnsi="Times New Roman"/>
                <w:spacing w:val="-2"/>
              </w:rPr>
              <w:t>końcowego</w:t>
            </w:r>
            <w:r w:rsidRPr="00890C68">
              <w:rPr>
                <w:rFonts w:ascii="Times New Roman" w:hAnsi="Times New Roman"/>
                <w:color w:val="000000"/>
                <w:spacing w:val="-2"/>
              </w:rPr>
              <w:t xml:space="preserve"> w wyniku </w:t>
            </w:r>
            <w:r w:rsidR="001E45DE" w:rsidRPr="00890C68">
              <w:rPr>
                <w:rFonts w:ascii="Times New Roman" w:hAnsi="Times New Roman"/>
                <w:color w:val="000000"/>
                <w:spacing w:val="-2"/>
              </w:rPr>
              <w:t>dostępności  do korzystniejszych cenowo ofert</w:t>
            </w:r>
            <w:r w:rsidRPr="00890C68">
              <w:rPr>
                <w:rFonts w:ascii="Times New Roman" w:hAnsi="Times New Roman"/>
                <w:color w:val="000000"/>
                <w:spacing w:val="-2"/>
              </w:rPr>
              <w:t xml:space="preserve"> sprzedawców, dla których bodźcem do kształtowania korzystniejszych dla klienta warunków będzie uproszczenie i skrócenie (z maksymalnie 30  dni do 1 roboczego dnia) procesu zmiany sprzedawcy;</w:t>
            </w:r>
          </w:p>
          <w:p w:rsidR="00091AE9" w:rsidRPr="00890C68" w:rsidRDefault="00091AE9" w:rsidP="00091AE9">
            <w:pPr>
              <w:spacing w:line="240" w:lineRule="auto"/>
              <w:jc w:val="both"/>
              <w:rPr>
                <w:rFonts w:ascii="Times New Roman" w:hAnsi="Times New Roman"/>
                <w:color w:val="000000"/>
                <w:spacing w:val="-2"/>
              </w:rPr>
            </w:pPr>
            <w:r w:rsidRPr="00890C68">
              <w:rPr>
                <w:rFonts w:ascii="Times New Roman" w:hAnsi="Times New Roman"/>
                <w:color w:val="000000"/>
                <w:spacing w:val="-2"/>
              </w:rPr>
              <w:t>- umożliwienie skutecznego uzyskiwania przez odbiorców końcowych bonifikat wyliczanych w oparciu o zasady określone w Rozporządzeniu Ministra  Energii z dnia 29 grudnia 2017 r. w sprawie szczegółowych zasad kształtowania i kalkulacji taryf oraz rozliczeń w obrocie energią elektryczną;</w:t>
            </w:r>
          </w:p>
          <w:p w:rsidR="00091AE9" w:rsidRPr="00890C68" w:rsidRDefault="00091AE9" w:rsidP="00091AE9">
            <w:pPr>
              <w:spacing w:line="240" w:lineRule="auto"/>
              <w:jc w:val="both"/>
              <w:rPr>
                <w:rFonts w:ascii="Times New Roman" w:hAnsi="Times New Roman"/>
                <w:color w:val="000000"/>
                <w:spacing w:val="-2"/>
              </w:rPr>
            </w:pPr>
            <w:r w:rsidRPr="00890C68">
              <w:rPr>
                <w:rFonts w:ascii="Times New Roman" w:hAnsi="Times New Roman"/>
                <w:color w:val="000000"/>
                <w:spacing w:val="-2"/>
              </w:rPr>
              <w:t>- eliminacja barier dostępu do rynku energii elektrycznej dla poszczególnych podmiotów (zwiększenie konkurencyjności);</w:t>
            </w:r>
          </w:p>
          <w:p w:rsidR="00E25DB6" w:rsidRDefault="00091AE9" w:rsidP="00091AE9">
            <w:pPr>
              <w:spacing w:line="240" w:lineRule="auto"/>
              <w:jc w:val="both"/>
              <w:rPr>
                <w:rFonts w:ascii="Times New Roman" w:hAnsi="Times New Roman"/>
                <w:color w:val="000000"/>
                <w:spacing w:val="-2"/>
              </w:rPr>
            </w:pPr>
            <w:r w:rsidRPr="00890C68">
              <w:rPr>
                <w:rFonts w:ascii="Times New Roman" w:hAnsi="Times New Roman"/>
                <w:color w:val="000000"/>
                <w:spacing w:val="-2"/>
              </w:rPr>
              <w:t>- szansa dla polskich producentów liczników energii elektrycznej.</w:t>
            </w:r>
          </w:p>
          <w:p w:rsidR="00E25DB6" w:rsidRDefault="00E25DB6" w:rsidP="00091AE9">
            <w:pPr>
              <w:spacing w:line="240" w:lineRule="auto"/>
              <w:jc w:val="both"/>
              <w:rPr>
                <w:rFonts w:ascii="Times New Roman" w:hAnsi="Times New Roman"/>
                <w:color w:val="000000"/>
                <w:spacing w:val="-2"/>
              </w:rPr>
            </w:pPr>
          </w:p>
          <w:p w:rsidR="00E25DB6" w:rsidRPr="00E25DB6" w:rsidRDefault="00E25DB6" w:rsidP="00E25DB6">
            <w:pPr>
              <w:spacing w:line="240" w:lineRule="auto"/>
              <w:jc w:val="both"/>
              <w:rPr>
                <w:rFonts w:ascii="Times New Roman" w:hAnsi="Times New Roman"/>
                <w:color w:val="000000"/>
                <w:spacing w:val="-2"/>
              </w:rPr>
            </w:pPr>
            <w:r>
              <w:rPr>
                <w:rFonts w:ascii="Times New Roman" w:hAnsi="Times New Roman"/>
                <w:color w:val="000000"/>
                <w:spacing w:val="-2"/>
              </w:rPr>
              <w:t xml:space="preserve">21. </w:t>
            </w:r>
            <w:r w:rsidRPr="00E25DB6">
              <w:rPr>
                <w:rFonts w:ascii="Times New Roman" w:hAnsi="Times New Roman"/>
                <w:color w:val="000000"/>
                <w:spacing w:val="-2"/>
              </w:rPr>
              <w:t>Jedynym rozwiązaniem, jakie może być zastosowane jest</w:t>
            </w:r>
            <w:r w:rsidR="00054A55">
              <w:rPr>
                <w:rFonts w:ascii="Times New Roman" w:hAnsi="Times New Roman"/>
                <w:color w:val="000000"/>
                <w:spacing w:val="-2"/>
              </w:rPr>
              <w:t xml:space="preserve"> odroczenie legalizacji ponownej przyrządów pomiarowych</w:t>
            </w:r>
            <w:r w:rsidRPr="00E25DB6">
              <w:rPr>
                <w:rFonts w:ascii="Times New Roman" w:hAnsi="Times New Roman"/>
                <w:color w:val="000000"/>
                <w:spacing w:val="-2"/>
              </w:rPr>
              <w:t xml:space="preserve">. </w:t>
            </w:r>
          </w:p>
          <w:p w:rsidR="00E25DB6" w:rsidRPr="00E25DB6" w:rsidRDefault="00E25DB6" w:rsidP="00E25DB6">
            <w:pPr>
              <w:spacing w:line="240" w:lineRule="auto"/>
              <w:jc w:val="both"/>
              <w:rPr>
                <w:rFonts w:ascii="Times New Roman" w:hAnsi="Times New Roman"/>
                <w:color w:val="000000"/>
                <w:spacing w:val="-2"/>
              </w:rPr>
            </w:pPr>
            <w:r w:rsidRPr="00E25DB6">
              <w:rPr>
                <w:rFonts w:ascii="Times New Roman" w:hAnsi="Times New Roman"/>
                <w:color w:val="000000"/>
                <w:spacing w:val="-2"/>
              </w:rPr>
              <w:t>Proponuje się zmianę art. 26c ustawy z dnia 11 maja 2001 r. – Prawo o miarach, dodanego ustawą z dnia 31 marca 2020 r. o zmianie ustawy o szczególnych rozwiązaniach związanych z zapobieganiem, przeciwdziałaniem i zwalczaniem COVID-19, innych chorób zakaźnych oraz wywołanych nimi sytuacji kryzysowych oraz niektórych innych ustaw (Dz. U poz. 568).</w:t>
            </w:r>
          </w:p>
          <w:p w:rsidR="00E25DB6" w:rsidRPr="00E25DB6" w:rsidRDefault="00E25DB6" w:rsidP="00E25DB6">
            <w:pPr>
              <w:spacing w:line="240" w:lineRule="auto"/>
              <w:jc w:val="both"/>
              <w:rPr>
                <w:rFonts w:ascii="Times New Roman" w:hAnsi="Times New Roman"/>
                <w:color w:val="000000"/>
                <w:spacing w:val="-2"/>
              </w:rPr>
            </w:pPr>
            <w:r w:rsidRPr="00E25DB6">
              <w:rPr>
                <w:rFonts w:ascii="Times New Roman" w:hAnsi="Times New Roman"/>
                <w:color w:val="000000"/>
                <w:spacing w:val="-2"/>
              </w:rPr>
              <w:t xml:space="preserve">Projektowany przepis ma na celu zapewnienie, mimo trwającego stanu epidemii, możliwości użytkowania przyrządów pomiarowych w wielu kluczowych branżach gospodarki dla zapewnienia środków do życia i zdrowia ludzi bez konieczności przeprowadzania czynności sprawdzających podczas ich legalizacji ponownej. </w:t>
            </w:r>
          </w:p>
          <w:p w:rsidR="00E25DB6" w:rsidRPr="00E25DB6" w:rsidRDefault="00E25DB6" w:rsidP="00E25DB6">
            <w:pPr>
              <w:spacing w:line="240" w:lineRule="auto"/>
              <w:jc w:val="both"/>
              <w:rPr>
                <w:rFonts w:ascii="Times New Roman" w:hAnsi="Times New Roman"/>
                <w:color w:val="000000"/>
                <w:spacing w:val="-2"/>
              </w:rPr>
            </w:pPr>
            <w:r w:rsidRPr="00E25DB6">
              <w:rPr>
                <w:rFonts w:ascii="Times New Roman" w:hAnsi="Times New Roman"/>
                <w:color w:val="000000"/>
                <w:spacing w:val="-2"/>
              </w:rPr>
              <w:t xml:space="preserve">Co istotne, projektowane zmiany (art. 26c) dotyczą odroczenia terminów dokonania legalizacji tylko w roku 2020 oraz tylko w przypadku ogłoszenia stanu zagrożenia epidemicznego albo stanu epidemii albo w przypadku niebezpieczeństwa szerzenia się zakażenia lub choroby zakaźnej, które może stanowić zagrożenie dla zdrowia publicznego. Odroczenie terminu dokonania legalizacji i zezwolenie na dalsze użytkowanie przyrządu pomiarowego następuje w drodze decyzji administracyjnej, której wydanie jest bezpłatne i musi zostać poprzedzone złożeniem odpowiedniego wniosku przez podmiot uprawniony do złożenia wniosku o dokonanie legalizacji ponownej. Do wniosku dołączane będą oświadczenia że od dnia dokonania ostatniej legalizacji albo przeprowadzenia oceny zgodności nie wprowadzono zmian dotyczących konstrukcji, wykonania i warunków właściwego stosowania przyrządu pomiarowego i że spełnia on wymagania, w szczególności w zakresie charakterystyk metrologicznych oraz, że jego dalsze użytkowanie, w ocenie wnioskodawcy, nie stwarza zagrożenia dla wymaganej dokładności pomiarów, a także dla życia lub zdrowia ludzkiego oraz mienia i środowiska. Do wniosku o odroczenie legalizacji dołączana będzie klauzula dotycząca odpowiedzialności karnej za składanie fałszywego oświadczenia. W projektowanym akcie prawnym dodano również zapis, iż wniosek o odroczenie legalizacji można złożyć tylko do jednego organu administracji miar, eliminuje możliwość składania tego samego wniosku do wielu organów administracji miar.   </w:t>
            </w:r>
          </w:p>
          <w:p w:rsidR="00E25DB6" w:rsidRPr="00890C68" w:rsidRDefault="00E25DB6" w:rsidP="00E25DB6">
            <w:pPr>
              <w:spacing w:line="240" w:lineRule="auto"/>
              <w:jc w:val="both"/>
              <w:rPr>
                <w:rFonts w:ascii="Times New Roman" w:hAnsi="Times New Roman"/>
                <w:color w:val="000000"/>
                <w:spacing w:val="-2"/>
              </w:rPr>
            </w:pPr>
            <w:r w:rsidRPr="00E25DB6">
              <w:rPr>
                <w:rFonts w:ascii="Times New Roman" w:hAnsi="Times New Roman"/>
                <w:color w:val="000000"/>
                <w:spacing w:val="-2"/>
              </w:rPr>
              <w:t>Po terminie obowiązywania ww. decyzji, wszystkie przyrządy pomiarowe wobec których odroczono termin dokonania legalizacji ponownej i zezwolono na ich dalsze użytkowanie, będą musiały zostać zgłoszone do legalizacji ponownej, w celu sprawdzenia czy przyrząd pomiarowy spełnia wymagania.</w:t>
            </w:r>
          </w:p>
        </w:tc>
      </w:tr>
      <w:tr w:rsidR="006A701A" w:rsidRPr="00890C68" w:rsidTr="00641996">
        <w:trPr>
          <w:trHeight w:val="307"/>
        </w:trPr>
        <w:tc>
          <w:tcPr>
            <w:tcW w:w="11057" w:type="dxa"/>
            <w:gridSpan w:val="15"/>
            <w:shd w:val="clear" w:color="auto" w:fill="99CCFF"/>
            <w:vAlign w:val="center"/>
          </w:tcPr>
          <w:p w:rsidR="006A701A" w:rsidRPr="00890C68" w:rsidRDefault="009E3C4B" w:rsidP="007D2192">
            <w:pPr>
              <w:numPr>
                <w:ilvl w:val="0"/>
                <w:numId w:val="3"/>
              </w:numPr>
              <w:spacing w:before="60" w:after="60" w:line="240" w:lineRule="auto"/>
              <w:ind w:left="318" w:hanging="284"/>
              <w:jc w:val="both"/>
              <w:rPr>
                <w:rFonts w:ascii="Times New Roman" w:hAnsi="Times New Roman"/>
                <w:b/>
                <w:color w:val="000000"/>
              </w:rPr>
            </w:pPr>
            <w:r w:rsidRPr="00890C68">
              <w:rPr>
                <w:rFonts w:ascii="Times New Roman" w:hAnsi="Times New Roman"/>
                <w:b/>
                <w:spacing w:val="-2"/>
              </w:rPr>
              <w:lastRenderedPageBreak/>
              <w:t>Jak problem został rozwiązany w innych krajach, w szczególności krajach członkowskich OECD/UE</w:t>
            </w:r>
            <w:r w:rsidR="006A701A" w:rsidRPr="00890C68">
              <w:rPr>
                <w:rFonts w:ascii="Times New Roman" w:hAnsi="Times New Roman"/>
                <w:b/>
                <w:color w:val="000000"/>
              </w:rPr>
              <w:t>?</w:t>
            </w:r>
            <w:r w:rsidR="006A701A" w:rsidRPr="00890C68">
              <w:rPr>
                <w:rFonts w:ascii="Times New Roman" w:hAnsi="Times New Roman"/>
                <w:i/>
                <w:color w:val="000000"/>
              </w:rPr>
              <w:t xml:space="preserve"> </w:t>
            </w:r>
          </w:p>
        </w:tc>
      </w:tr>
      <w:tr w:rsidR="006A701A" w:rsidRPr="00890C68" w:rsidTr="00641996">
        <w:trPr>
          <w:trHeight w:val="24"/>
        </w:trPr>
        <w:tc>
          <w:tcPr>
            <w:tcW w:w="11057" w:type="dxa"/>
            <w:gridSpan w:val="15"/>
            <w:shd w:val="clear" w:color="auto" w:fill="auto"/>
          </w:tcPr>
          <w:p w:rsidR="00D705AD" w:rsidRPr="00890C68" w:rsidRDefault="00D705AD" w:rsidP="00D705AD">
            <w:pPr>
              <w:spacing w:line="240" w:lineRule="auto"/>
              <w:jc w:val="both"/>
              <w:rPr>
                <w:rFonts w:ascii="Times New Roman" w:hAnsi="Times New Roman"/>
                <w:color w:val="000000"/>
                <w:spacing w:val="-2"/>
              </w:rPr>
            </w:pPr>
            <w:r w:rsidRPr="00890C68">
              <w:rPr>
                <w:rFonts w:ascii="Times New Roman" w:hAnsi="Times New Roman"/>
                <w:color w:val="000000"/>
                <w:spacing w:val="-2"/>
              </w:rPr>
              <w:t xml:space="preserve">Odnośnie </w:t>
            </w:r>
            <w:r w:rsidRPr="00890C68">
              <w:rPr>
                <w:rFonts w:ascii="Times New Roman" w:hAnsi="Times New Roman"/>
                <w:color w:val="000000"/>
                <w:spacing w:val="-2"/>
                <w:u w:val="single"/>
              </w:rPr>
              <w:t xml:space="preserve">tzw. rekuperacji energii elektrycznej wprowadzanej ponownie do sieci trakcyjnej </w:t>
            </w:r>
            <w:r w:rsidRPr="00890C68">
              <w:rPr>
                <w:rFonts w:ascii="Times New Roman" w:hAnsi="Times New Roman"/>
                <w:color w:val="000000"/>
                <w:spacing w:val="-2"/>
              </w:rPr>
              <w:t>w następstwie hamowania pojazdu w Niemczech przyjęto model, w którym wytwarzanie energii elektrycznej przez pojazdy kolejowe w ramach procesu rekuperacji nie podlega szczególnym ograniczeniom prawnym. Energia ta może być sprzedawana przez przewoźnika kolejowego eksploatującego pojazd kolejowy, który wytwarza energię elektryczną i wprowadza ją do sieci trakcyjnej. Prawo niemieckie przewiduje stawki na energię elektryczną wprowadzoną do sieci trakcyjnej w wyniku procesu rekuperacji, lekko zróżnicowane w zależności od tego czy energia elektryczne jest wprowadzana w szczycie czy poza szczytem. Pozwala ono przewoźnikowi kolejowemu – uznanemu za wytwórcę rozproszonego – na otrzymywanie wynagrodzenia z tytułu unikniętych w wyniku rekuperacji kosztów korzystania z sieci elektroenergetycznej.</w:t>
            </w:r>
          </w:p>
          <w:p w:rsidR="006A701A" w:rsidRPr="00890C68" w:rsidRDefault="00D705AD" w:rsidP="00B37C80">
            <w:pPr>
              <w:spacing w:line="240" w:lineRule="auto"/>
              <w:jc w:val="both"/>
              <w:rPr>
                <w:rFonts w:ascii="Times New Roman" w:hAnsi="Times New Roman"/>
                <w:color w:val="000000"/>
                <w:spacing w:val="-2"/>
              </w:rPr>
            </w:pPr>
            <w:r w:rsidRPr="00890C68">
              <w:rPr>
                <w:rFonts w:ascii="Times New Roman" w:hAnsi="Times New Roman"/>
                <w:color w:val="000000"/>
                <w:spacing w:val="-2"/>
              </w:rPr>
              <w:t>W Belgii wprowadzono zerową stawkę akcyzy w stosunku do energii elektrycznej dostarczonej do odbiorców końcowych będących przedsiębiorcami na napięciu 1 kV lub wyższym. Od dnia 1 stycznia 2011 r. Wszystkie pojazdy kolejowe są rozliczane</w:t>
            </w:r>
            <w:r w:rsidR="00CD0A05" w:rsidRPr="00890C68">
              <w:rPr>
                <w:rFonts w:ascii="Times New Roman" w:hAnsi="Times New Roman"/>
                <w:color w:val="000000"/>
                <w:spacing w:val="-2"/>
              </w:rPr>
              <w:t xml:space="preserve"> </w:t>
            </w:r>
            <w:r w:rsidRPr="00890C68">
              <w:rPr>
                <w:rFonts w:ascii="Times New Roman" w:hAnsi="Times New Roman"/>
                <w:color w:val="000000"/>
                <w:spacing w:val="-2"/>
              </w:rPr>
              <w:t>ze zużycia energii elektrycznej na podstawie wskazań układów pomiarowo-rozliczeniowych na pod</w:t>
            </w:r>
            <w:r w:rsidR="00CD0A05" w:rsidRPr="00890C68">
              <w:rPr>
                <w:rFonts w:ascii="Times New Roman" w:hAnsi="Times New Roman"/>
                <w:color w:val="000000"/>
                <w:spacing w:val="-2"/>
              </w:rPr>
              <w:t>st</w:t>
            </w:r>
            <w:r w:rsidRPr="00890C68">
              <w:rPr>
                <w:rFonts w:ascii="Times New Roman" w:hAnsi="Times New Roman"/>
                <w:color w:val="000000"/>
                <w:spacing w:val="-2"/>
              </w:rPr>
              <w:t>awie rzeczywistego zużycia energii elektrycznej. Od dnia 1 stycznia 2015 r. Pojazdy kolejowe z systemami rekuper</w:t>
            </w:r>
            <w:r w:rsidR="00CD0A05" w:rsidRPr="00890C68">
              <w:rPr>
                <w:rFonts w:ascii="Times New Roman" w:hAnsi="Times New Roman"/>
                <w:color w:val="000000"/>
                <w:spacing w:val="-2"/>
              </w:rPr>
              <w:t>acji</w:t>
            </w:r>
            <w:r w:rsidRPr="00890C68">
              <w:rPr>
                <w:rFonts w:ascii="Times New Roman" w:hAnsi="Times New Roman"/>
                <w:color w:val="000000"/>
                <w:spacing w:val="-2"/>
              </w:rPr>
              <w:t xml:space="preserve"> są rozliczane z uwzględnieniem energii oddanej do sieci trakcyjnej w wyniku rekuperacji. Rozliczenie następuje na pod</w:t>
            </w:r>
            <w:r w:rsidR="00CD0A05" w:rsidRPr="00890C68">
              <w:rPr>
                <w:rFonts w:ascii="Times New Roman" w:hAnsi="Times New Roman"/>
                <w:color w:val="000000"/>
                <w:spacing w:val="-2"/>
              </w:rPr>
              <w:t>sta</w:t>
            </w:r>
            <w:r w:rsidRPr="00890C68">
              <w:rPr>
                <w:rFonts w:ascii="Times New Roman" w:hAnsi="Times New Roman"/>
                <w:color w:val="000000"/>
                <w:spacing w:val="-2"/>
              </w:rPr>
              <w:t xml:space="preserve">wie różnicy </w:t>
            </w:r>
            <w:r w:rsidRPr="00890C68">
              <w:rPr>
                <w:rFonts w:ascii="Times New Roman" w:hAnsi="Times New Roman"/>
                <w:color w:val="000000"/>
                <w:spacing w:val="-2"/>
              </w:rPr>
              <w:lastRenderedPageBreak/>
              <w:t>pomiędzy energią pobraną a oddaną do sieci tr</w:t>
            </w:r>
            <w:r w:rsidR="00645B39" w:rsidRPr="00890C68">
              <w:rPr>
                <w:rFonts w:ascii="Times New Roman" w:hAnsi="Times New Roman"/>
                <w:color w:val="000000"/>
                <w:spacing w:val="-2"/>
              </w:rPr>
              <w:t>a</w:t>
            </w:r>
            <w:r w:rsidRPr="00890C68">
              <w:rPr>
                <w:rFonts w:ascii="Times New Roman" w:hAnsi="Times New Roman"/>
                <w:color w:val="000000"/>
                <w:spacing w:val="-2"/>
              </w:rPr>
              <w:t>kcyjnej, jednakże do rozliczenia zostaje przyjęte jedynie 90 % energii z rekuperacji.</w:t>
            </w:r>
          </w:p>
          <w:p w:rsidR="0046468B" w:rsidRPr="00890C68" w:rsidRDefault="00165F1C" w:rsidP="00165F1C">
            <w:pPr>
              <w:spacing w:line="240" w:lineRule="auto"/>
              <w:jc w:val="both"/>
              <w:rPr>
                <w:rFonts w:ascii="Times New Roman" w:hAnsi="Times New Roman"/>
                <w:color w:val="000000"/>
                <w:spacing w:val="-2"/>
              </w:rPr>
            </w:pPr>
            <w:r w:rsidRPr="00890C68">
              <w:rPr>
                <w:rFonts w:ascii="Times New Roman" w:hAnsi="Times New Roman"/>
                <w:color w:val="000000"/>
                <w:spacing w:val="-2"/>
              </w:rPr>
              <w:t xml:space="preserve">Jeżeli zaś chodzi o </w:t>
            </w:r>
            <w:r w:rsidRPr="00890C68">
              <w:rPr>
                <w:rFonts w:ascii="Times New Roman" w:hAnsi="Times New Roman"/>
                <w:color w:val="000000"/>
                <w:spacing w:val="-2"/>
                <w:u w:val="single"/>
              </w:rPr>
              <w:t>magazynowanie energii elektrycznej</w:t>
            </w:r>
            <w:r w:rsidRPr="00890C68">
              <w:rPr>
                <w:rFonts w:ascii="Times New Roman" w:hAnsi="Times New Roman"/>
                <w:color w:val="000000"/>
                <w:spacing w:val="-2"/>
              </w:rPr>
              <w:t xml:space="preserve"> to w</w:t>
            </w:r>
            <w:r w:rsidR="0046468B" w:rsidRPr="00890C68">
              <w:rPr>
                <w:rFonts w:ascii="Times New Roman" w:hAnsi="Times New Roman"/>
                <w:color w:val="000000"/>
                <w:spacing w:val="-2"/>
              </w:rPr>
              <w:t xml:space="preserve"> Niemczech przepisy </w:t>
            </w:r>
            <w:r w:rsidRPr="00890C68">
              <w:rPr>
                <w:rFonts w:ascii="Times New Roman" w:hAnsi="Times New Roman"/>
                <w:color w:val="000000"/>
                <w:spacing w:val="-2"/>
              </w:rPr>
              <w:t xml:space="preserve">przewidują </w:t>
            </w:r>
            <w:r w:rsidR="0046468B" w:rsidRPr="00890C68">
              <w:rPr>
                <w:rFonts w:ascii="Times New Roman" w:hAnsi="Times New Roman"/>
                <w:color w:val="000000"/>
                <w:spacing w:val="-2"/>
              </w:rPr>
              <w:t xml:space="preserve">rozróżnienie </w:t>
            </w:r>
            <w:r w:rsidRPr="00890C68">
              <w:rPr>
                <w:rFonts w:ascii="Times New Roman" w:hAnsi="Times New Roman"/>
                <w:color w:val="000000"/>
                <w:spacing w:val="-2"/>
              </w:rPr>
              <w:t>na magazyny połączone</w:t>
            </w:r>
            <w:r w:rsidR="0046468B" w:rsidRPr="00890C68">
              <w:rPr>
                <w:rFonts w:ascii="Times New Roman" w:hAnsi="Times New Roman"/>
                <w:color w:val="000000"/>
                <w:spacing w:val="-2"/>
              </w:rPr>
              <w:t xml:space="preserve"> z instalacją OZE i </w:t>
            </w:r>
            <w:r w:rsidRPr="00890C68">
              <w:rPr>
                <w:rFonts w:ascii="Times New Roman" w:hAnsi="Times New Roman"/>
                <w:color w:val="000000"/>
                <w:spacing w:val="-2"/>
              </w:rPr>
              <w:t>magazyny przyłączone bezpośrednio do sieci. Niemiecka u</w:t>
            </w:r>
            <w:r w:rsidR="0046468B" w:rsidRPr="00890C68">
              <w:rPr>
                <w:rFonts w:ascii="Times New Roman" w:hAnsi="Times New Roman"/>
                <w:color w:val="000000"/>
                <w:spacing w:val="-2"/>
              </w:rPr>
              <w:t xml:space="preserve">stawa </w:t>
            </w:r>
            <w:r w:rsidRPr="00890C68">
              <w:rPr>
                <w:rFonts w:ascii="Times New Roman" w:hAnsi="Times New Roman"/>
                <w:color w:val="000000"/>
                <w:spacing w:val="-2"/>
              </w:rPr>
              <w:t xml:space="preserve">(Gesetz über die Elektrizitäts und Gasversorgung) </w:t>
            </w:r>
            <w:r w:rsidR="0046468B" w:rsidRPr="00890C68">
              <w:rPr>
                <w:rFonts w:ascii="Times New Roman" w:hAnsi="Times New Roman"/>
                <w:color w:val="000000"/>
                <w:spacing w:val="-2"/>
              </w:rPr>
              <w:t>wprowadza zwolnienie z opłat sieciowych</w:t>
            </w:r>
            <w:r w:rsidR="00A41811" w:rsidRPr="00890C68">
              <w:rPr>
                <w:rFonts w:ascii="Times New Roman" w:hAnsi="Times New Roman"/>
                <w:color w:val="000000"/>
                <w:spacing w:val="-2"/>
              </w:rPr>
              <w:t xml:space="preserve"> dla</w:t>
            </w:r>
            <w:r w:rsidR="0046468B" w:rsidRPr="00890C68">
              <w:rPr>
                <w:rFonts w:ascii="Times New Roman" w:hAnsi="Times New Roman"/>
                <w:color w:val="000000"/>
                <w:spacing w:val="-2"/>
              </w:rPr>
              <w:t xml:space="preserve"> energii elektrycznej wprowadzanej z sieci do magazynu energii</w:t>
            </w:r>
            <w:r w:rsidRPr="00890C68">
              <w:rPr>
                <w:rFonts w:ascii="Times New Roman" w:hAnsi="Times New Roman"/>
                <w:color w:val="000000"/>
                <w:spacing w:val="-2"/>
              </w:rPr>
              <w:t xml:space="preserve"> elektrycznej</w:t>
            </w:r>
            <w:r w:rsidR="0046468B" w:rsidRPr="00890C68">
              <w:rPr>
                <w:rFonts w:ascii="Times New Roman" w:hAnsi="Times New Roman"/>
                <w:color w:val="000000"/>
                <w:spacing w:val="-2"/>
              </w:rPr>
              <w:t xml:space="preserve">. W przypadku magazynów zintegrowanych z instalacją OZE przepisy gwarantują uzyskanie wsparcia dla generacji OZE z chwilą wprowadzenia energii </w:t>
            </w:r>
            <w:r w:rsidR="00A41811" w:rsidRPr="00890C68">
              <w:rPr>
                <w:rFonts w:ascii="Times New Roman" w:hAnsi="Times New Roman"/>
                <w:color w:val="000000"/>
                <w:spacing w:val="-2"/>
              </w:rPr>
              <w:t xml:space="preserve">elektrycznej </w:t>
            </w:r>
            <w:r w:rsidR="0046468B" w:rsidRPr="00890C68">
              <w:rPr>
                <w:rFonts w:ascii="Times New Roman" w:hAnsi="Times New Roman"/>
                <w:color w:val="000000"/>
                <w:spacing w:val="-2"/>
              </w:rPr>
              <w:t>z magazynu do sieci.</w:t>
            </w:r>
          </w:p>
          <w:p w:rsidR="00A41811" w:rsidRPr="00890C68" w:rsidRDefault="00A41811" w:rsidP="00A41811">
            <w:pPr>
              <w:spacing w:line="240" w:lineRule="auto"/>
              <w:jc w:val="both"/>
              <w:rPr>
                <w:rFonts w:ascii="Times New Roman" w:hAnsi="Times New Roman"/>
                <w:color w:val="000000"/>
                <w:spacing w:val="-2"/>
              </w:rPr>
            </w:pPr>
            <w:r w:rsidRPr="00890C68">
              <w:rPr>
                <w:rFonts w:ascii="Times New Roman" w:hAnsi="Times New Roman"/>
                <w:color w:val="000000"/>
                <w:spacing w:val="-2"/>
              </w:rPr>
              <w:t>We Włoszech magazynowanie energii elektrycznej traktowane jest jako działalność wytwórcza. Przepisy dopuszczają możliwość posiadania i korzystania z magazynów energii elektrycznej przez OSP i OSD, jeżeli usług w oparciu magazyn energii elektrycznej nie można pozyskać na rynku. Przepisy regulujące tą kwestię ujęte są w dekrecie „Italian decree law 93/11”, Art 36, paragraph 4, który warunkuje uzyskanie akceptacji regulatora na posiadanie magazynu energii elektrycznej wykonaniem analizy kosztów i oczekiwanych korzyści (cost-benefit analysis), która wskazywałaby na efektywność kosztową planowanych magazynów energii elektrycznej w porównaniu do innych środków.</w:t>
            </w:r>
          </w:p>
          <w:p w:rsidR="00A41811" w:rsidRPr="00890C68" w:rsidRDefault="00A41811" w:rsidP="00A41811">
            <w:pPr>
              <w:spacing w:line="240" w:lineRule="auto"/>
              <w:jc w:val="both"/>
              <w:rPr>
                <w:rFonts w:ascii="Times New Roman" w:hAnsi="Times New Roman"/>
                <w:color w:val="000000"/>
                <w:spacing w:val="-2"/>
              </w:rPr>
            </w:pPr>
            <w:r w:rsidRPr="00890C68">
              <w:rPr>
                <w:rFonts w:ascii="Times New Roman" w:hAnsi="Times New Roman"/>
                <w:color w:val="000000"/>
                <w:spacing w:val="-2"/>
              </w:rPr>
              <w:t>W Wielkiej Brytanii magazynowanie energii elektrycznej w aspekcie regulacyjnym jest traktowane jak wytwarzanie i jako usługa systemowa, którą OSP może zamówić u innych podmiotów działających na wolnym rynku. OSP nie może posiadać ani eksploatować magazynów energii elektrycznej, które wymagają koncesji na wytwarzanie energii elektrycznej. W prawie brytyjskim istnieje jednak wyjątek dla małych jednostek wytwórczych, które nie mają obowiązku posiadania koncesji na wytwarzanie energii elektrycznej i to powoduje, że jest możliwe posiadanie przez operatorów jednostek o małej mocy. Obecnie brytyjski regulator OFGEM i Rząd przygotowują nową regulację dotyczącą magazynowania energii elektrycznej.</w:t>
            </w:r>
          </w:p>
          <w:p w:rsidR="00987208" w:rsidRPr="00890C68" w:rsidRDefault="00987208" w:rsidP="00987208">
            <w:pPr>
              <w:spacing w:line="240" w:lineRule="auto"/>
              <w:jc w:val="both"/>
              <w:rPr>
                <w:rFonts w:ascii="Times New Roman" w:hAnsi="Times New Roman"/>
                <w:color w:val="000000"/>
                <w:spacing w:val="-2"/>
              </w:rPr>
            </w:pPr>
            <w:r w:rsidRPr="00890C68">
              <w:rPr>
                <w:rFonts w:ascii="Times New Roman" w:hAnsi="Times New Roman"/>
                <w:color w:val="000000"/>
                <w:spacing w:val="-2"/>
              </w:rPr>
              <w:t>W USA Gubernator stanu Nowy Jork Andrew Cuomo podpisał ustawę (AB 6571) w celu opracowania programu wdrażania magazynowania energii, w tym celu dotyczącego magazynowania w 2030 r. Głównym celem ustawy jest wsparcie nowojorskiego projektu, który mówi o 50% udziału OZE do 2030 r. Projekt jest kontynuacją programu NY-Sun wprowadzonego przez gubernatora Cuomo w 2012 r. który przewiduje:</w:t>
            </w:r>
          </w:p>
          <w:p w:rsidR="00987208" w:rsidRPr="00890C68" w:rsidRDefault="00987208" w:rsidP="00987208">
            <w:pPr>
              <w:spacing w:line="240" w:lineRule="auto"/>
              <w:jc w:val="both"/>
              <w:rPr>
                <w:rFonts w:ascii="Times New Roman" w:hAnsi="Times New Roman"/>
                <w:color w:val="000000"/>
                <w:spacing w:val="-2"/>
              </w:rPr>
            </w:pPr>
            <w:r w:rsidRPr="00890C68">
              <w:rPr>
                <w:rFonts w:ascii="Times New Roman" w:hAnsi="Times New Roman"/>
                <w:color w:val="000000"/>
                <w:spacing w:val="-2"/>
              </w:rPr>
              <w:t>- 1 miliard USD na rozwój rynku energii słonecznej w ciągu 10 lat,</w:t>
            </w:r>
          </w:p>
          <w:p w:rsidR="00987208" w:rsidRPr="00890C68" w:rsidRDefault="00987208" w:rsidP="00987208">
            <w:pPr>
              <w:spacing w:line="240" w:lineRule="auto"/>
              <w:jc w:val="both"/>
              <w:rPr>
                <w:rFonts w:ascii="Times New Roman" w:hAnsi="Times New Roman"/>
                <w:color w:val="000000"/>
                <w:spacing w:val="-2"/>
              </w:rPr>
            </w:pPr>
            <w:r w:rsidRPr="00890C68">
              <w:rPr>
                <w:rFonts w:ascii="Times New Roman" w:hAnsi="Times New Roman"/>
                <w:color w:val="000000"/>
                <w:spacing w:val="-2"/>
              </w:rPr>
              <w:t>- dodanie ponad 3000 MW mocy słonecznej w stanie do 2023 r.,</w:t>
            </w:r>
          </w:p>
          <w:p w:rsidR="00987208" w:rsidRPr="00890C68" w:rsidRDefault="00987208" w:rsidP="00987208">
            <w:pPr>
              <w:spacing w:line="240" w:lineRule="auto"/>
              <w:jc w:val="both"/>
              <w:rPr>
                <w:rFonts w:ascii="Times New Roman" w:hAnsi="Times New Roman"/>
                <w:color w:val="000000"/>
                <w:spacing w:val="-2"/>
              </w:rPr>
            </w:pPr>
            <w:r w:rsidRPr="00890C68">
              <w:rPr>
                <w:rFonts w:ascii="Times New Roman" w:hAnsi="Times New Roman"/>
                <w:color w:val="000000"/>
                <w:spacing w:val="-2"/>
              </w:rPr>
              <w:t>- osiągnięcie wzrostu o 181% na państwowym rynku energii słonecznej.</w:t>
            </w:r>
          </w:p>
          <w:p w:rsidR="00987208" w:rsidRPr="00890C68" w:rsidRDefault="00987208" w:rsidP="00987208">
            <w:pPr>
              <w:spacing w:line="240" w:lineRule="auto"/>
              <w:jc w:val="both"/>
              <w:rPr>
                <w:rFonts w:ascii="Times New Roman" w:hAnsi="Times New Roman"/>
                <w:color w:val="000000"/>
                <w:spacing w:val="-2"/>
                <w:lang w:val="en-US"/>
              </w:rPr>
            </w:pPr>
            <w:r w:rsidRPr="00890C68">
              <w:rPr>
                <w:rFonts w:ascii="Times New Roman" w:hAnsi="Times New Roman"/>
                <w:color w:val="000000"/>
                <w:spacing w:val="-2"/>
                <w:lang w:val="en-US"/>
              </w:rPr>
              <w:t>Źródło: electrek.co/2017/12/01/new-york-energy-storage-targets/</w:t>
            </w:r>
          </w:p>
          <w:p w:rsidR="00987208" w:rsidRPr="00890C68" w:rsidRDefault="00987208" w:rsidP="00987208">
            <w:pPr>
              <w:spacing w:line="240" w:lineRule="auto"/>
              <w:jc w:val="both"/>
              <w:rPr>
                <w:rFonts w:ascii="Times New Roman" w:hAnsi="Times New Roman"/>
                <w:color w:val="000000"/>
                <w:spacing w:val="-2"/>
              </w:rPr>
            </w:pPr>
            <w:r w:rsidRPr="00890C68">
              <w:rPr>
                <w:rFonts w:ascii="Times New Roman" w:hAnsi="Times New Roman"/>
                <w:color w:val="000000"/>
                <w:spacing w:val="-2"/>
              </w:rPr>
              <w:t xml:space="preserve">Federalna Komisja Regulacji Energetyki (FERC) wydała regulacje ułatwiające wprowadzenie magazynów energii do systemu elektroenergetycznego. The Final Rule  ustala model uczestnictwa: </w:t>
            </w:r>
          </w:p>
          <w:p w:rsidR="00987208" w:rsidRPr="00890C68" w:rsidRDefault="00987208" w:rsidP="00987208">
            <w:pPr>
              <w:spacing w:line="240" w:lineRule="auto"/>
              <w:jc w:val="both"/>
              <w:rPr>
                <w:rFonts w:ascii="Times New Roman" w:hAnsi="Times New Roman"/>
                <w:color w:val="000000"/>
                <w:spacing w:val="-2"/>
              </w:rPr>
            </w:pPr>
            <w:r w:rsidRPr="00890C68">
              <w:rPr>
                <w:rFonts w:ascii="Times New Roman" w:hAnsi="Times New Roman"/>
                <w:color w:val="000000"/>
                <w:spacing w:val="-2"/>
              </w:rPr>
              <w:t xml:space="preserve">• FERC wprowadziła dodatkowe opłaty za usługę regulacji sieci – do opłaty za moc dodała opłaty za możliwą szybkość interwencji w sieci przez dane źródło, co spowodowało prawie dwukrotny wzrost opłacalności biznesu polegającego na oferowaniu rezerw interwencyjnych w postaci magazynów energii w systemie energetycznym USA. W tej usłudze została doceniona nie tylko wielkość mocy, jaką posiada dane źródło, ale też możliwość szybkiej reakcji na zakłócenia częstotliwości w sieci. </w:t>
            </w:r>
          </w:p>
          <w:p w:rsidR="00987208" w:rsidRPr="00890C68" w:rsidRDefault="00987208" w:rsidP="00987208">
            <w:pPr>
              <w:spacing w:line="240" w:lineRule="auto"/>
              <w:jc w:val="both"/>
              <w:rPr>
                <w:rFonts w:ascii="Times New Roman" w:hAnsi="Times New Roman"/>
                <w:color w:val="000000"/>
                <w:spacing w:val="-2"/>
              </w:rPr>
            </w:pPr>
            <w:r w:rsidRPr="00890C68">
              <w:rPr>
                <w:rFonts w:ascii="Times New Roman" w:hAnsi="Times New Roman"/>
                <w:color w:val="000000"/>
                <w:spacing w:val="-2"/>
              </w:rPr>
              <w:t>• Model uczestnictwa musi określić zasady rynkowe, które mają gwarantować, że magazyny korzystające z tego modelu są zdolne do zapewnienia wszystkich mocy produkcyjnych, energetycznych i pomocniczych, które są w stanie technicznie zapewnić.</w:t>
            </w:r>
          </w:p>
          <w:p w:rsidR="00987208" w:rsidRPr="00890C68" w:rsidRDefault="00987208" w:rsidP="00987208">
            <w:pPr>
              <w:spacing w:line="240" w:lineRule="auto"/>
              <w:jc w:val="both"/>
              <w:rPr>
                <w:rFonts w:ascii="Times New Roman" w:hAnsi="Times New Roman"/>
                <w:color w:val="000000"/>
                <w:spacing w:val="-2"/>
              </w:rPr>
            </w:pPr>
            <w:r w:rsidRPr="00890C68">
              <w:rPr>
                <w:rFonts w:ascii="Times New Roman" w:hAnsi="Times New Roman"/>
                <w:color w:val="000000"/>
                <w:spacing w:val="-2"/>
              </w:rPr>
              <w:t>• Akumulatory, koła zamachowe i inne technologie umożliwiają przepływ mocy w obie strony i reagują znacznie szybciej. FERC zauważyła, że zasady rynkowe opracowane dla tradycyjnych metod wytwarzania mogą stwarzać bariery wejścia dla nowych technologii, takich jak magazyny energii. Zaproponowała, aby operatorzy sieci stworzyli odpowiednie taryfy w celu określenia modelu uczestnictwa, analizując fizyczne i operacyjne właściwości magazynów, co zwiększy konkurencję i ograniczy stawki. FERC zaproponowała, aby każdy operator zdefiniował kryteria w swojej taryfie, które nie mogą ograniczać uczestnictwa różnych typów magazynów. Uczestnictwo będzie uwzględniało jedynie parametry fizyczne i operacyjne, co umożliwi wprowadzenie nowych technologii bez potrzeby zmiany taryf.</w:t>
            </w:r>
          </w:p>
          <w:p w:rsidR="00987208" w:rsidRPr="00890C68" w:rsidRDefault="00987208" w:rsidP="00987208">
            <w:pPr>
              <w:spacing w:line="240" w:lineRule="auto"/>
              <w:jc w:val="both"/>
              <w:rPr>
                <w:rFonts w:ascii="Times New Roman" w:hAnsi="Times New Roman"/>
                <w:color w:val="000000"/>
                <w:spacing w:val="-2"/>
              </w:rPr>
            </w:pPr>
            <w:r w:rsidRPr="00890C68">
              <w:rPr>
                <w:rFonts w:ascii="Times New Roman" w:hAnsi="Times New Roman"/>
                <w:color w:val="000000"/>
                <w:spacing w:val="-2"/>
              </w:rPr>
              <w:t>• FERC wymaga, aby taryfy określające model uczestnictwa magazynów energii uwzględniały jedynie magazyny o mocy co najmniej 100 kW. Ten wymóg obejmuje wszystkie minimalne wymagania dotyczące pojemności, minimalną ofertę sprzedaży oraz zakupu.</w:t>
            </w:r>
          </w:p>
          <w:p w:rsidR="00987208" w:rsidRPr="00890C68" w:rsidRDefault="00987208" w:rsidP="00987208">
            <w:pPr>
              <w:spacing w:line="240" w:lineRule="auto"/>
              <w:jc w:val="both"/>
              <w:rPr>
                <w:rFonts w:ascii="Times New Roman" w:hAnsi="Times New Roman"/>
                <w:color w:val="000000"/>
                <w:spacing w:val="-2"/>
              </w:rPr>
            </w:pPr>
            <w:r w:rsidRPr="00890C68">
              <w:rPr>
                <w:rFonts w:ascii="Times New Roman" w:hAnsi="Times New Roman"/>
                <w:color w:val="000000"/>
                <w:spacing w:val="-2"/>
              </w:rPr>
              <w:t>• FERC wymaga, aby sprzedaż energii elektrycznej z rynku OSD i OSP do magazynu energii, którą następnie odsprzeda z powrotem na te rynki, odbywała się po cenie hurtowej za energię elektryczną. Ponadto wymaga od operatorów posiadania liczników mierzących całą energię wchodzącą i wychodzącą. Natomiast magazyny OSD i u odbiorcy za licznikiem wymagają innego rozwiązania.</w:t>
            </w:r>
          </w:p>
          <w:p w:rsidR="00987208" w:rsidRPr="00890C68" w:rsidRDefault="00987208" w:rsidP="00987208">
            <w:pPr>
              <w:widowControl w:val="0"/>
              <w:autoSpaceDE w:val="0"/>
              <w:autoSpaceDN w:val="0"/>
              <w:adjustRightInd w:val="0"/>
              <w:spacing w:line="240" w:lineRule="auto"/>
              <w:jc w:val="both"/>
              <w:rPr>
                <w:rFonts w:ascii="Times New Roman" w:eastAsia="Times New Roman" w:hAnsi="Times New Roman"/>
                <w:shd w:val="clear" w:color="auto" w:fill="FFFFFF"/>
                <w:lang w:eastAsia="pl-PL"/>
              </w:rPr>
            </w:pPr>
            <w:r w:rsidRPr="00890C68">
              <w:rPr>
                <w:rFonts w:ascii="Times New Roman" w:eastAsia="Times New Roman" w:hAnsi="Times New Roman"/>
                <w:shd w:val="clear" w:color="auto" w:fill="FFFFFF"/>
                <w:lang w:eastAsia="pl-PL"/>
              </w:rPr>
              <w:t>W przypadku instalacji magazynowania energii w Japonii wymagane są określone pozwolenia, które zostały omówione w poniższej tabeli.</w:t>
            </w:r>
          </w:p>
          <w:tbl>
            <w:tblPr>
              <w:tblW w:w="9629" w:type="dxa"/>
              <w:jc w:val="center"/>
              <w:tblLayout w:type="fixed"/>
              <w:tblCellMar>
                <w:left w:w="0" w:type="dxa"/>
                <w:right w:w="0" w:type="dxa"/>
              </w:tblCellMar>
              <w:tblLook w:val="04A0" w:firstRow="1" w:lastRow="0" w:firstColumn="1" w:lastColumn="0" w:noHBand="0" w:noVBand="1"/>
            </w:tblPr>
            <w:tblGrid>
              <w:gridCol w:w="1429"/>
              <w:gridCol w:w="2410"/>
              <w:gridCol w:w="3118"/>
              <w:gridCol w:w="2672"/>
            </w:tblGrid>
            <w:tr w:rsidR="00987208" w:rsidRPr="00890C68" w:rsidTr="000C1164">
              <w:trPr>
                <w:trHeight w:val="250"/>
                <w:jc w:val="center"/>
              </w:trPr>
              <w:tc>
                <w:tcPr>
                  <w:tcW w:w="1429" w:type="dxa"/>
                  <w:tcBorders>
                    <w:top w:val="single" w:sz="8" w:space="0" w:color="auto"/>
                    <w:left w:val="single" w:sz="8" w:space="0" w:color="auto"/>
                    <w:bottom w:val="single" w:sz="8" w:space="0" w:color="auto"/>
                    <w:right w:val="single" w:sz="8" w:space="0" w:color="auto"/>
                  </w:tcBorders>
                  <w:shd w:val="clear" w:color="auto" w:fill="04498C"/>
                  <w:vAlign w:val="center"/>
                </w:tcPr>
                <w:p w:rsidR="00987208" w:rsidRPr="00890C68" w:rsidRDefault="00987208" w:rsidP="00987208">
                  <w:pPr>
                    <w:widowControl w:val="0"/>
                    <w:autoSpaceDE w:val="0"/>
                    <w:autoSpaceDN w:val="0"/>
                    <w:adjustRightInd w:val="0"/>
                    <w:spacing w:line="360" w:lineRule="auto"/>
                    <w:jc w:val="center"/>
                    <w:rPr>
                      <w:rFonts w:ascii="Times New Roman" w:eastAsia="Times New Roman" w:hAnsi="Times New Roman"/>
                      <w:b/>
                      <w:sz w:val="24"/>
                      <w:szCs w:val="20"/>
                      <w:lang w:eastAsia="pl-PL"/>
                    </w:rPr>
                  </w:pPr>
                  <w:r w:rsidRPr="00890C68">
                    <w:rPr>
                      <w:rFonts w:ascii="Times New Roman" w:eastAsia="Times New Roman" w:hAnsi="Times New Roman"/>
                      <w:b/>
                      <w:sz w:val="24"/>
                      <w:szCs w:val="20"/>
                      <w:lang w:eastAsia="pl-PL"/>
                    </w:rPr>
                    <w:t>Typ</w:t>
                  </w:r>
                </w:p>
              </w:tc>
              <w:tc>
                <w:tcPr>
                  <w:tcW w:w="5528" w:type="dxa"/>
                  <w:gridSpan w:val="2"/>
                  <w:tcBorders>
                    <w:top w:val="single" w:sz="8" w:space="0" w:color="auto"/>
                    <w:bottom w:val="single" w:sz="8" w:space="0" w:color="auto"/>
                    <w:right w:val="single" w:sz="8" w:space="0" w:color="auto"/>
                  </w:tcBorders>
                  <w:shd w:val="clear" w:color="auto" w:fill="04498C"/>
                  <w:vAlign w:val="center"/>
                </w:tcPr>
                <w:p w:rsidR="00987208" w:rsidRPr="00890C68" w:rsidRDefault="00987208" w:rsidP="00987208">
                  <w:pPr>
                    <w:widowControl w:val="0"/>
                    <w:autoSpaceDE w:val="0"/>
                    <w:autoSpaceDN w:val="0"/>
                    <w:adjustRightInd w:val="0"/>
                    <w:spacing w:line="360" w:lineRule="auto"/>
                    <w:jc w:val="center"/>
                    <w:rPr>
                      <w:rFonts w:ascii="Times New Roman" w:eastAsia="Times New Roman" w:hAnsi="Times New Roman"/>
                      <w:b/>
                      <w:sz w:val="24"/>
                      <w:szCs w:val="20"/>
                      <w:lang w:eastAsia="pl-PL"/>
                    </w:rPr>
                  </w:pPr>
                  <w:r w:rsidRPr="00890C68">
                    <w:rPr>
                      <w:rFonts w:ascii="Times New Roman" w:eastAsia="Times New Roman" w:hAnsi="Times New Roman"/>
                      <w:b/>
                      <w:sz w:val="24"/>
                      <w:szCs w:val="20"/>
                      <w:lang w:eastAsia="pl-PL"/>
                    </w:rPr>
                    <w:t>Regulacje prawne</w:t>
                  </w:r>
                </w:p>
              </w:tc>
              <w:tc>
                <w:tcPr>
                  <w:tcW w:w="2672" w:type="dxa"/>
                  <w:tcBorders>
                    <w:top w:val="single" w:sz="8" w:space="0" w:color="auto"/>
                    <w:bottom w:val="single" w:sz="8" w:space="0" w:color="auto"/>
                    <w:right w:val="single" w:sz="8" w:space="0" w:color="auto"/>
                  </w:tcBorders>
                  <w:shd w:val="clear" w:color="auto" w:fill="04498C"/>
                  <w:vAlign w:val="center"/>
                </w:tcPr>
                <w:p w:rsidR="00987208" w:rsidRPr="00890C68" w:rsidRDefault="00987208" w:rsidP="00987208">
                  <w:pPr>
                    <w:widowControl w:val="0"/>
                    <w:autoSpaceDE w:val="0"/>
                    <w:autoSpaceDN w:val="0"/>
                    <w:adjustRightInd w:val="0"/>
                    <w:spacing w:line="360" w:lineRule="auto"/>
                    <w:jc w:val="center"/>
                    <w:rPr>
                      <w:rFonts w:ascii="Times New Roman" w:eastAsia="Times New Roman" w:hAnsi="Times New Roman"/>
                      <w:b/>
                      <w:sz w:val="24"/>
                      <w:szCs w:val="20"/>
                      <w:lang w:eastAsia="pl-PL"/>
                    </w:rPr>
                  </w:pPr>
                  <w:r w:rsidRPr="00890C68">
                    <w:rPr>
                      <w:rFonts w:ascii="Times New Roman" w:eastAsia="Times New Roman" w:hAnsi="Times New Roman"/>
                      <w:b/>
                      <w:sz w:val="24"/>
                      <w:szCs w:val="20"/>
                      <w:lang w:eastAsia="pl-PL"/>
                    </w:rPr>
                    <w:t>Organizacja</w:t>
                  </w:r>
                </w:p>
              </w:tc>
            </w:tr>
            <w:tr w:rsidR="00987208" w:rsidRPr="00890C68" w:rsidTr="008B59AD">
              <w:trPr>
                <w:trHeight w:val="120"/>
                <w:jc w:val="center"/>
              </w:trPr>
              <w:tc>
                <w:tcPr>
                  <w:tcW w:w="1429" w:type="dxa"/>
                  <w:vMerge w:val="restart"/>
                  <w:tcBorders>
                    <w:top w:val="single" w:sz="8" w:space="0" w:color="auto"/>
                    <w:left w:val="single" w:sz="8" w:space="0" w:color="auto"/>
                    <w:right w:val="single" w:sz="4" w:space="0" w:color="auto"/>
                  </w:tcBorders>
                  <w:shd w:val="clear" w:color="auto" w:fill="FFFFFF"/>
                  <w:vAlign w:val="center"/>
                </w:tcPr>
                <w:p w:rsidR="00987208" w:rsidRPr="00890C68" w:rsidRDefault="00987208" w:rsidP="00987208">
                  <w:pPr>
                    <w:widowControl w:val="0"/>
                    <w:autoSpaceDE w:val="0"/>
                    <w:autoSpaceDN w:val="0"/>
                    <w:adjustRightInd w:val="0"/>
                    <w:spacing w:line="240" w:lineRule="auto"/>
                    <w:jc w:val="center"/>
                    <w:rPr>
                      <w:rFonts w:ascii="Times New Roman" w:eastAsia="Times New Roman" w:hAnsi="Times New Roman"/>
                      <w:sz w:val="20"/>
                      <w:szCs w:val="20"/>
                      <w:lang w:eastAsia="pl-PL"/>
                    </w:rPr>
                  </w:pPr>
                  <w:r w:rsidRPr="00890C68">
                    <w:rPr>
                      <w:rFonts w:ascii="Times New Roman" w:eastAsia="Times New Roman" w:hAnsi="Times New Roman"/>
                      <w:sz w:val="20"/>
                      <w:szCs w:val="20"/>
                      <w:lang w:eastAsia="pl-PL"/>
                    </w:rPr>
                    <w:t>Wytyczne (Wymagania techniczne)</w:t>
                  </w:r>
                </w:p>
              </w:tc>
              <w:tc>
                <w:tcPr>
                  <w:tcW w:w="5528" w:type="dxa"/>
                  <w:gridSpan w:val="2"/>
                  <w:tcBorders>
                    <w:top w:val="single" w:sz="8" w:space="0" w:color="auto"/>
                    <w:left w:val="single" w:sz="4" w:space="0" w:color="auto"/>
                    <w:bottom w:val="single" w:sz="8" w:space="0" w:color="auto"/>
                    <w:right w:val="single" w:sz="8" w:space="0" w:color="auto"/>
                  </w:tcBorders>
                  <w:shd w:val="clear" w:color="auto" w:fill="FFFFFF"/>
                  <w:vAlign w:val="center"/>
                </w:tcPr>
                <w:p w:rsidR="00987208" w:rsidRPr="00890C68" w:rsidRDefault="00987208" w:rsidP="00987208">
                  <w:pPr>
                    <w:widowControl w:val="0"/>
                    <w:autoSpaceDE w:val="0"/>
                    <w:autoSpaceDN w:val="0"/>
                    <w:adjustRightInd w:val="0"/>
                    <w:spacing w:line="240" w:lineRule="auto"/>
                    <w:ind w:left="100"/>
                    <w:jc w:val="center"/>
                    <w:rPr>
                      <w:rFonts w:ascii="Times New Roman" w:eastAsia="Times New Roman" w:hAnsi="Times New Roman"/>
                      <w:sz w:val="20"/>
                      <w:szCs w:val="20"/>
                      <w:lang w:eastAsia="pl-PL"/>
                    </w:rPr>
                  </w:pPr>
                  <w:r w:rsidRPr="00890C68">
                    <w:rPr>
                      <w:rFonts w:ascii="Times New Roman" w:eastAsia="Times New Roman" w:hAnsi="Times New Roman"/>
                      <w:sz w:val="20"/>
                      <w:szCs w:val="20"/>
                      <w:lang w:eastAsia="pl-PL"/>
                    </w:rPr>
                    <w:t>Wytyczne techniczne dotyczące połączeń sieci w celu zapewnienia bezpiecznej jakości energii elektrycznej (2013)</w:t>
                  </w:r>
                </w:p>
              </w:tc>
              <w:tc>
                <w:tcPr>
                  <w:tcW w:w="2672" w:type="dxa"/>
                  <w:tcBorders>
                    <w:top w:val="single" w:sz="8" w:space="0" w:color="auto"/>
                    <w:left w:val="single" w:sz="8" w:space="0" w:color="auto"/>
                    <w:bottom w:val="single" w:sz="8" w:space="0" w:color="auto"/>
                    <w:right w:val="single" w:sz="8" w:space="0" w:color="auto"/>
                  </w:tcBorders>
                  <w:shd w:val="clear" w:color="auto" w:fill="FFFFFF"/>
                  <w:vAlign w:val="center"/>
                </w:tcPr>
                <w:p w:rsidR="00987208" w:rsidRPr="00890C68" w:rsidRDefault="00987208" w:rsidP="00987208">
                  <w:pPr>
                    <w:widowControl w:val="0"/>
                    <w:autoSpaceDE w:val="0"/>
                    <w:autoSpaceDN w:val="0"/>
                    <w:adjustRightInd w:val="0"/>
                    <w:spacing w:line="240" w:lineRule="auto"/>
                    <w:jc w:val="center"/>
                    <w:rPr>
                      <w:rFonts w:ascii="Times New Roman" w:eastAsia="Times New Roman" w:hAnsi="Times New Roman"/>
                      <w:sz w:val="20"/>
                      <w:szCs w:val="20"/>
                      <w:lang w:eastAsia="pl-PL"/>
                    </w:rPr>
                  </w:pPr>
                  <w:r w:rsidRPr="00890C68">
                    <w:rPr>
                      <w:rFonts w:ascii="Times New Roman" w:eastAsia="Times New Roman" w:hAnsi="Times New Roman"/>
                      <w:sz w:val="20"/>
                      <w:szCs w:val="20"/>
                      <w:lang w:eastAsia="pl-PL"/>
                    </w:rPr>
                    <w:t>Ministerstwo Gospodarki, Handlu i Przemysłu (METI)</w:t>
                  </w:r>
                </w:p>
              </w:tc>
            </w:tr>
            <w:tr w:rsidR="00987208" w:rsidRPr="00890C68" w:rsidTr="008B59AD">
              <w:trPr>
                <w:trHeight w:val="572"/>
                <w:jc w:val="center"/>
              </w:trPr>
              <w:tc>
                <w:tcPr>
                  <w:tcW w:w="1429" w:type="dxa"/>
                  <w:vMerge/>
                  <w:tcBorders>
                    <w:left w:val="single" w:sz="8" w:space="0" w:color="auto"/>
                    <w:bottom w:val="single" w:sz="8" w:space="0" w:color="auto"/>
                    <w:right w:val="single" w:sz="4" w:space="0" w:color="auto"/>
                  </w:tcBorders>
                  <w:shd w:val="clear" w:color="auto" w:fill="FFFFFF"/>
                  <w:vAlign w:val="center"/>
                </w:tcPr>
                <w:p w:rsidR="00987208" w:rsidRPr="00890C68" w:rsidRDefault="00987208" w:rsidP="00987208">
                  <w:pPr>
                    <w:widowControl w:val="0"/>
                    <w:autoSpaceDE w:val="0"/>
                    <w:autoSpaceDN w:val="0"/>
                    <w:adjustRightInd w:val="0"/>
                    <w:spacing w:line="240" w:lineRule="auto"/>
                    <w:ind w:left="120"/>
                    <w:jc w:val="both"/>
                    <w:rPr>
                      <w:rFonts w:ascii="Times New Roman" w:eastAsia="Times New Roman" w:hAnsi="Times New Roman"/>
                      <w:sz w:val="20"/>
                      <w:szCs w:val="20"/>
                      <w:lang w:eastAsia="pl-PL"/>
                    </w:rPr>
                  </w:pPr>
                </w:p>
              </w:tc>
              <w:tc>
                <w:tcPr>
                  <w:tcW w:w="5528" w:type="dxa"/>
                  <w:gridSpan w:val="2"/>
                  <w:tcBorders>
                    <w:top w:val="single" w:sz="8" w:space="0" w:color="auto"/>
                    <w:left w:val="single" w:sz="4" w:space="0" w:color="auto"/>
                    <w:right w:val="single" w:sz="8" w:space="0" w:color="auto"/>
                  </w:tcBorders>
                  <w:shd w:val="clear" w:color="auto" w:fill="FFFFFF"/>
                  <w:vAlign w:val="center"/>
                </w:tcPr>
                <w:p w:rsidR="00987208" w:rsidRPr="00890C68" w:rsidRDefault="00987208" w:rsidP="00987208">
                  <w:pPr>
                    <w:widowControl w:val="0"/>
                    <w:autoSpaceDE w:val="0"/>
                    <w:autoSpaceDN w:val="0"/>
                    <w:adjustRightInd w:val="0"/>
                    <w:spacing w:line="240" w:lineRule="auto"/>
                    <w:ind w:left="100"/>
                    <w:jc w:val="center"/>
                    <w:rPr>
                      <w:rFonts w:ascii="Times New Roman" w:eastAsia="Times New Roman" w:hAnsi="Times New Roman"/>
                      <w:sz w:val="20"/>
                      <w:szCs w:val="20"/>
                      <w:lang w:eastAsia="pl-PL"/>
                    </w:rPr>
                  </w:pPr>
                  <w:r w:rsidRPr="00890C68">
                    <w:rPr>
                      <w:rFonts w:ascii="Times New Roman" w:eastAsia="Times New Roman" w:hAnsi="Times New Roman"/>
                      <w:sz w:val="20"/>
                      <w:szCs w:val="20"/>
                      <w:lang w:eastAsia="pl-PL"/>
                    </w:rPr>
                    <w:t>Kodeks połączeń sieciowych (JEAC 9701-2012)</w:t>
                  </w:r>
                </w:p>
              </w:tc>
              <w:tc>
                <w:tcPr>
                  <w:tcW w:w="2672" w:type="dxa"/>
                  <w:tcBorders>
                    <w:top w:val="single" w:sz="8" w:space="0" w:color="auto"/>
                    <w:right w:val="single" w:sz="8" w:space="0" w:color="auto"/>
                  </w:tcBorders>
                  <w:shd w:val="clear" w:color="auto" w:fill="FFFFFF"/>
                  <w:vAlign w:val="center"/>
                </w:tcPr>
                <w:p w:rsidR="00987208" w:rsidRPr="00890C68" w:rsidRDefault="00987208" w:rsidP="00987208">
                  <w:pPr>
                    <w:widowControl w:val="0"/>
                    <w:autoSpaceDE w:val="0"/>
                    <w:autoSpaceDN w:val="0"/>
                    <w:adjustRightInd w:val="0"/>
                    <w:spacing w:line="240" w:lineRule="auto"/>
                    <w:ind w:left="100"/>
                    <w:jc w:val="center"/>
                    <w:rPr>
                      <w:rFonts w:ascii="Times New Roman" w:eastAsia="Times New Roman" w:hAnsi="Times New Roman"/>
                      <w:sz w:val="20"/>
                      <w:szCs w:val="20"/>
                      <w:lang w:eastAsia="pl-PL"/>
                    </w:rPr>
                  </w:pPr>
                  <w:r w:rsidRPr="00890C68">
                    <w:rPr>
                      <w:rFonts w:ascii="Times New Roman" w:eastAsia="Times New Roman" w:hAnsi="Times New Roman"/>
                      <w:sz w:val="20"/>
                      <w:szCs w:val="20"/>
                      <w:lang w:eastAsia="pl-PL"/>
                    </w:rPr>
                    <w:t>Stowarzyszenie Elektryki Japonii (JEA)</w:t>
                  </w:r>
                </w:p>
              </w:tc>
            </w:tr>
            <w:tr w:rsidR="00987208" w:rsidRPr="00890C68" w:rsidTr="008B59AD">
              <w:trPr>
                <w:trHeight w:val="242"/>
                <w:jc w:val="center"/>
              </w:trPr>
              <w:tc>
                <w:tcPr>
                  <w:tcW w:w="1429" w:type="dxa"/>
                  <w:vMerge w:val="restart"/>
                  <w:tcBorders>
                    <w:top w:val="single" w:sz="8" w:space="0" w:color="auto"/>
                    <w:left w:val="single" w:sz="8" w:space="0" w:color="auto"/>
                    <w:bottom w:val="single" w:sz="4" w:space="0" w:color="auto"/>
                    <w:right w:val="single" w:sz="4" w:space="0" w:color="auto"/>
                  </w:tcBorders>
                  <w:shd w:val="clear" w:color="auto" w:fill="FFFFFF"/>
                  <w:vAlign w:val="center"/>
                </w:tcPr>
                <w:p w:rsidR="00987208" w:rsidRPr="00890C68" w:rsidRDefault="00987208" w:rsidP="00987208">
                  <w:pPr>
                    <w:widowControl w:val="0"/>
                    <w:autoSpaceDE w:val="0"/>
                    <w:autoSpaceDN w:val="0"/>
                    <w:adjustRightInd w:val="0"/>
                    <w:spacing w:line="240" w:lineRule="auto"/>
                    <w:jc w:val="center"/>
                    <w:rPr>
                      <w:rFonts w:ascii="Times New Roman" w:eastAsia="Times New Roman" w:hAnsi="Times New Roman"/>
                      <w:sz w:val="20"/>
                      <w:szCs w:val="20"/>
                      <w:lang w:eastAsia="pl-PL"/>
                    </w:rPr>
                  </w:pPr>
                  <w:r w:rsidRPr="00890C68">
                    <w:rPr>
                      <w:rFonts w:ascii="Times New Roman" w:eastAsia="Times New Roman" w:hAnsi="Times New Roman"/>
                      <w:sz w:val="20"/>
                      <w:szCs w:val="20"/>
                      <w:lang w:eastAsia="pl-PL"/>
                    </w:rPr>
                    <w:t>Pozostałe</w:t>
                  </w:r>
                </w:p>
              </w:tc>
              <w:tc>
                <w:tcPr>
                  <w:tcW w:w="2410" w:type="dxa"/>
                  <w:tcBorders>
                    <w:top w:val="single" w:sz="8" w:space="0" w:color="auto"/>
                    <w:left w:val="single" w:sz="4" w:space="0" w:color="auto"/>
                    <w:bottom w:val="single" w:sz="8" w:space="0" w:color="auto"/>
                    <w:right w:val="single" w:sz="8" w:space="0" w:color="auto"/>
                  </w:tcBorders>
                  <w:shd w:val="clear" w:color="auto" w:fill="FFFFFF"/>
                  <w:vAlign w:val="center"/>
                </w:tcPr>
                <w:p w:rsidR="00987208" w:rsidRPr="00890C68" w:rsidRDefault="00987208" w:rsidP="00987208">
                  <w:pPr>
                    <w:widowControl w:val="0"/>
                    <w:autoSpaceDE w:val="0"/>
                    <w:autoSpaceDN w:val="0"/>
                    <w:adjustRightInd w:val="0"/>
                    <w:spacing w:line="240" w:lineRule="auto"/>
                    <w:ind w:left="100"/>
                    <w:jc w:val="center"/>
                    <w:rPr>
                      <w:rFonts w:ascii="Times New Roman" w:eastAsia="Times New Roman" w:hAnsi="Times New Roman"/>
                      <w:sz w:val="20"/>
                      <w:szCs w:val="20"/>
                      <w:lang w:eastAsia="pl-PL"/>
                    </w:rPr>
                  </w:pPr>
                  <w:r w:rsidRPr="00890C68">
                    <w:rPr>
                      <w:rFonts w:ascii="Times New Roman" w:eastAsia="Times New Roman" w:hAnsi="Times New Roman"/>
                      <w:sz w:val="20"/>
                      <w:szCs w:val="20"/>
                      <w:lang w:eastAsia="pl-PL"/>
                    </w:rPr>
                    <w:t>Akt prawny dotyczący energii elektrycznej</w:t>
                  </w:r>
                </w:p>
              </w:tc>
              <w:tc>
                <w:tcPr>
                  <w:tcW w:w="3118" w:type="dxa"/>
                  <w:tcBorders>
                    <w:top w:val="single" w:sz="8" w:space="0" w:color="auto"/>
                    <w:bottom w:val="single" w:sz="8" w:space="0" w:color="auto"/>
                    <w:right w:val="single" w:sz="8" w:space="0" w:color="auto"/>
                  </w:tcBorders>
                  <w:shd w:val="clear" w:color="auto" w:fill="FFFFFF"/>
                  <w:vAlign w:val="center"/>
                </w:tcPr>
                <w:p w:rsidR="00987208" w:rsidRPr="00890C68" w:rsidRDefault="00987208" w:rsidP="00987208">
                  <w:pPr>
                    <w:widowControl w:val="0"/>
                    <w:autoSpaceDE w:val="0"/>
                    <w:autoSpaceDN w:val="0"/>
                    <w:adjustRightInd w:val="0"/>
                    <w:spacing w:line="240" w:lineRule="auto"/>
                    <w:ind w:left="100"/>
                    <w:jc w:val="center"/>
                    <w:rPr>
                      <w:rFonts w:ascii="Times New Roman" w:eastAsia="Times New Roman" w:hAnsi="Times New Roman"/>
                      <w:sz w:val="20"/>
                      <w:szCs w:val="20"/>
                      <w:lang w:eastAsia="pl-PL"/>
                    </w:rPr>
                  </w:pPr>
                  <w:r w:rsidRPr="00890C68">
                    <w:rPr>
                      <w:rFonts w:ascii="Times New Roman" w:eastAsia="Times New Roman" w:hAnsi="Times New Roman"/>
                      <w:sz w:val="20"/>
                      <w:szCs w:val="20"/>
                      <w:lang w:eastAsia="pl-PL"/>
                    </w:rPr>
                    <w:t>Wymagane zatwierdzenie dla dużych  magazynów energii (większych niż 80,000kWh)</w:t>
                  </w:r>
                </w:p>
              </w:tc>
              <w:tc>
                <w:tcPr>
                  <w:tcW w:w="2672" w:type="dxa"/>
                  <w:tcBorders>
                    <w:top w:val="single" w:sz="8" w:space="0" w:color="auto"/>
                    <w:bottom w:val="single" w:sz="8" w:space="0" w:color="auto"/>
                    <w:right w:val="single" w:sz="8" w:space="0" w:color="auto"/>
                  </w:tcBorders>
                  <w:shd w:val="clear" w:color="auto" w:fill="FFFFFF"/>
                  <w:vAlign w:val="center"/>
                </w:tcPr>
                <w:p w:rsidR="00987208" w:rsidRPr="00890C68" w:rsidRDefault="00987208" w:rsidP="00987208">
                  <w:pPr>
                    <w:widowControl w:val="0"/>
                    <w:autoSpaceDE w:val="0"/>
                    <w:autoSpaceDN w:val="0"/>
                    <w:adjustRightInd w:val="0"/>
                    <w:spacing w:line="240" w:lineRule="auto"/>
                    <w:ind w:left="100"/>
                    <w:jc w:val="center"/>
                    <w:rPr>
                      <w:rFonts w:ascii="Times New Roman" w:eastAsia="Times New Roman" w:hAnsi="Times New Roman"/>
                      <w:sz w:val="20"/>
                      <w:szCs w:val="20"/>
                      <w:lang w:eastAsia="pl-PL"/>
                    </w:rPr>
                  </w:pPr>
                  <w:r w:rsidRPr="00890C68">
                    <w:rPr>
                      <w:rFonts w:ascii="Times New Roman" w:eastAsia="Times New Roman" w:hAnsi="Times New Roman"/>
                      <w:sz w:val="20"/>
                      <w:szCs w:val="20"/>
                      <w:lang w:eastAsia="pl-PL"/>
                    </w:rPr>
                    <w:t>Ministerstwo Gospodarki, Handlu i Przemysłu (METI)</w:t>
                  </w:r>
                </w:p>
              </w:tc>
            </w:tr>
            <w:tr w:rsidR="00987208" w:rsidRPr="00890C68" w:rsidTr="008B59AD">
              <w:trPr>
                <w:trHeight w:val="177"/>
                <w:jc w:val="center"/>
              </w:trPr>
              <w:tc>
                <w:tcPr>
                  <w:tcW w:w="1429" w:type="dxa"/>
                  <w:vMerge/>
                  <w:tcBorders>
                    <w:top w:val="single" w:sz="4" w:space="0" w:color="auto"/>
                    <w:left w:val="single" w:sz="8" w:space="0" w:color="auto"/>
                    <w:right w:val="single" w:sz="4" w:space="0" w:color="auto"/>
                  </w:tcBorders>
                  <w:shd w:val="clear" w:color="auto" w:fill="FFFFFF"/>
                  <w:vAlign w:val="center"/>
                </w:tcPr>
                <w:p w:rsidR="00987208" w:rsidRPr="00890C68" w:rsidRDefault="00987208" w:rsidP="00987208">
                  <w:pPr>
                    <w:widowControl w:val="0"/>
                    <w:autoSpaceDE w:val="0"/>
                    <w:autoSpaceDN w:val="0"/>
                    <w:adjustRightInd w:val="0"/>
                    <w:spacing w:line="240" w:lineRule="auto"/>
                    <w:ind w:left="120"/>
                    <w:jc w:val="center"/>
                    <w:rPr>
                      <w:rFonts w:ascii="Times New Roman" w:eastAsia="Times New Roman" w:hAnsi="Times New Roman"/>
                      <w:sz w:val="20"/>
                      <w:szCs w:val="20"/>
                      <w:lang w:eastAsia="pl-PL"/>
                    </w:rPr>
                  </w:pPr>
                </w:p>
              </w:tc>
              <w:tc>
                <w:tcPr>
                  <w:tcW w:w="2410" w:type="dxa"/>
                  <w:tcBorders>
                    <w:top w:val="single" w:sz="8" w:space="0" w:color="auto"/>
                    <w:left w:val="single" w:sz="4" w:space="0" w:color="auto"/>
                    <w:bottom w:val="single" w:sz="8" w:space="0" w:color="auto"/>
                    <w:right w:val="single" w:sz="8" w:space="0" w:color="auto"/>
                  </w:tcBorders>
                  <w:shd w:val="clear" w:color="auto" w:fill="FFFFFF"/>
                  <w:vAlign w:val="center"/>
                </w:tcPr>
                <w:p w:rsidR="00987208" w:rsidRPr="00890C68" w:rsidRDefault="00987208" w:rsidP="00987208">
                  <w:pPr>
                    <w:widowControl w:val="0"/>
                    <w:autoSpaceDE w:val="0"/>
                    <w:autoSpaceDN w:val="0"/>
                    <w:adjustRightInd w:val="0"/>
                    <w:spacing w:line="240" w:lineRule="auto"/>
                    <w:ind w:left="100"/>
                    <w:jc w:val="center"/>
                    <w:rPr>
                      <w:rFonts w:ascii="Times New Roman" w:eastAsia="Times New Roman" w:hAnsi="Times New Roman"/>
                      <w:sz w:val="20"/>
                      <w:szCs w:val="20"/>
                      <w:lang w:eastAsia="pl-PL"/>
                    </w:rPr>
                  </w:pPr>
                  <w:r w:rsidRPr="00890C68">
                    <w:rPr>
                      <w:rFonts w:ascii="Times New Roman" w:eastAsia="Times New Roman" w:hAnsi="Times New Roman"/>
                      <w:sz w:val="20"/>
                      <w:szCs w:val="20"/>
                      <w:lang w:eastAsia="pl-PL"/>
                    </w:rPr>
                    <w:t>Przepisy przeciwpożarowe</w:t>
                  </w:r>
                </w:p>
              </w:tc>
              <w:tc>
                <w:tcPr>
                  <w:tcW w:w="3118" w:type="dxa"/>
                  <w:tcBorders>
                    <w:top w:val="single" w:sz="8" w:space="0" w:color="auto"/>
                    <w:bottom w:val="single" w:sz="8" w:space="0" w:color="auto"/>
                    <w:right w:val="single" w:sz="8" w:space="0" w:color="auto"/>
                  </w:tcBorders>
                  <w:shd w:val="clear" w:color="auto" w:fill="FFFFFF"/>
                  <w:vAlign w:val="center"/>
                </w:tcPr>
                <w:p w:rsidR="00987208" w:rsidRPr="00890C68" w:rsidRDefault="00987208" w:rsidP="00987208">
                  <w:pPr>
                    <w:widowControl w:val="0"/>
                    <w:autoSpaceDE w:val="0"/>
                    <w:autoSpaceDN w:val="0"/>
                    <w:adjustRightInd w:val="0"/>
                    <w:spacing w:line="240" w:lineRule="auto"/>
                    <w:ind w:left="100"/>
                    <w:jc w:val="center"/>
                    <w:rPr>
                      <w:rFonts w:ascii="Times New Roman" w:eastAsia="Times New Roman" w:hAnsi="Times New Roman"/>
                      <w:sz w:val="20"/>
                      <w:szCs w:val="20"/>
                      <w:lang w:eastAsia="pl-PL"/>
                    </w:rPr>
                  </w:pPr>
                  <w:r w:rsidRPr="00890C68">
                    <w:rPr>
                      <w:rFonts w:ascii="Times New Roman" w:eastAsia="Times New Roman" w:hAnsi="Times New Roman"/>
                      <w:sz w:val="20"/>
                      <w:szCs w:val="20"/>
                      <w:lang w:eastAsia="pl-PL"/>
                    </w:rPr>
                    <w:t>Niebezpieczny materiał dla ponad 1,000l organicznego roztworu elektrolitu</w:t>
                  </w:r>
                </w:p>
              </w:tc>
              <w:tc>
                <w:tcPr>
                  <w:tcW w:w="2672" w:type="dxa"/>
                  <w:vMerge w:val="restart"/>
                  <w:tcBorders>
                    <w:top w:val="single" w:sz="8" w:space="0" w:color="auto"/>
                    <w:right w:val="single" w:sz="8" w:space="0" w:color="auto"/>
                  </w:tcBorders>
                  <w:shd w:val="clear" w:color="auto" w:fill="FFFFFF"/>
                  <w:vAlign w:val="center"/>
                </w:tcPr>
                <w:p w:rsidR="00987208" w:rsidRPr="00890C68" w:rsidRDefault="00987208" w:rsidP="00987208">
                  <w:pPr>
                    <w:widowControl w:val="0"/>
                    <w:autoSpaceDE w:val="0"/>
                    <w:autoSpaceDN w:val="0"/>
                    <w:adjustRightInd w:val="0"/>
                    <w:spacing w:line="240" w:lineRule="auto"/>
                    <w:jc w:val="center"/>
                    <w:rPr>
                      <w:rFonts w:ascii="Times New Roman" w:eastAsia="Times New Roman" w:hAnsi="Times New Roman"/>
                      <w:sz w:val="20"/>
                      <w:szCs w:val="20"/>
                      <w:lang w:eastAsia="pl-PL"/>
                    </w:rPr>
                  </w:pPr>
                  <w:r w:rsidRPr="00890C68">
                    <w:rPr>
                      <w:rFonts w:ascii="Times New Roman" w:eastAsia="Times New Roman" w:hAnsi="Times New Roman"/>
                      <w:sz w:val="20"/>
                      <w:szCs w:val="20"/>
                      <w:lang w:eastAsia="pl-PL"/>
                    </w:rPr>
                    <w:t>Agencja Zarządzania Pożarami i Katastrofami, Ministerstwo Spraw Wewnętrznych i Komunikacji</w:t>
                  </w:r>
                </w:p>
              </w:tc>
            </w:tr>
            <w:tr w:rsidR="00987208" w:rsidRPr="00890C68" w:rsidTr="008B59AD">
              <w:trPr>
                <w:trHeight w:val="572"/>
                <w:jc w:val="center"/>
              </w:trPr>
              <w:tc>
                <w:tcPr>
                  <w:tcW w:w="1429" w:type="dxa"/>
                  <w:vMerge/>
                  <w:tcBorders>
                    <w:top w:val="single" w:sz="4" w:space="0" w:color="auto"/>
                    <w:left w:val="single" w:sz="8" w:space="0" w:color="auto"/>
                    <w:right w:val="single" w:sz="4" w:space="0" w:color="auto"/>
                  </w:tcBorders>
                  <w:shd w:val="clear" w:color="auto" w:fill="FFFFFF"/>
                  <w:vAlign w:val="center"/>
                </w:tcPr>
                <w:p w:rsidR="00987208" w:rsidRPr="00890C68" w:rsidRDefault="00987208" w:rsidP="00987208">
                  <w:pPr>
                    <w:widowControl w:val="0"/>
                    <w:autoSpaceDE w:val="0"/>
                    <w:autoSpaceDN w:val="0"/>
                    <w:adjustRightInd w:val="0"/>
                    <w:spacing w:line="240" w:lineRule="auto"/>
                    <w:ind w:left="120"/>
                    <w:jc w:val="center"/>
                    <w:rPr>
                      <w:rFonts w:ascii="Times New Roman" w:eastAsia="Times New Roman" w:hAnsi="Times New Roman"/>
                      <w:sz w:val="20"/>
                      <w:szCs w:val="20"/>
                      <w:lang w:eastAsia="pl-PL"/>
                    </w:rPr>
                  </w:pPr>
                </w:p>
              </w:tc>
              <w:tc>
                <w:tcPr>
                  <w:tcW w:w="2410" w:type="dxa"/>
                  <w:tcBorders>
                    <w:top w:val="single" w:sz="4" w:space="0" w:color="auto"/>
                    <w:left w:val="single" w:sz="4" w:space="0" w:color="auto"/>
                    <w:right w:val="single" w:sz="8" w:space="0" w:color="auto"/>
                  </w:tcBorders>
                  <w:shd w:val="clear" w:color="auto" w:fill="FFFFFF"/>
                  <w:vAlign w:val="center"/>
                </w:tcPr>
                <w:p w:rsidR="00987208" w:rsidRPr="00890C68" w:rsidRDefault="00987208" w:rsidP="00987208">
                  <w:pPr>
                    <w:widowControl w:val="0"/>
                    <w:autoSpaceDE w:val="0"/>
                    <w:autoSpaceDN w:val="0"/>
                    <w:adjustRightInd w:val="0"/>
                    <w:spacing w:line="240" w:lineRule="auto"/>
                    <w:ind w:left="100"/>
                    <w:jc w:val="center"/>
                    <w:rPr>
                      <w:rFonts w:ascii="Times New Roman" w:eastAsia="Times New Roman" w:hAnsi="Times New Roman"/>
                      <w:sz w:val="20"/>
                      <w:szCs w:val="20"/>
                      <w:lang w:eastAsia="pl-PL"/>
                    </w:rPr>
                  </w:pPr>
                  <w:r w:rsidRPr="00890C68">
                    <w:rPr>
                      <w:rFonts w:ascii="Times New Roman" w:eastAsia="Times New Roman" w:hAnsi="Times New Roman"/>
                      <w:sz w:val="20"/>
                      <w:szCs w:val="20"/>
                      <w:lang w:eastAsia="pl-PL"/>
                    </w:rPr>
                    <w:t>Rozporządzenie przeciwpożarowe</w:t>
                  </w:r>
                </w:p>
              </w:tc>
              <w:tc>
                <w:tcPr>
                  <w:tcW w:w="3118" w:type="dxa"/>
                  <w:tcBorders>
                    <w:top w:val="single" w:sz="8" w:space="0" w:color="auto"/>
                    <w:right w:val="single" w:sz="8" w:space="0" w:color="auto"/>
                  </w:tcBorders>
                  <w:shd w:val="clear" w:color="auto" w:fill="FFFFFF"/>
                  <w:vAlign w:val="center"/>
                </w:tcPr>
                <w:p w:rsidR="00987208" w:rsidRPr="00890C68" w:rsidRDefault="00987208" w:rsidP="00987208">
                  <w:pPr>
                    <w:widowControl w:val="0"/>
                    <w:autoSpaceDE w:val="0"/>
                    <w:autoSpaceDN w:val="0"/>
                    <w:adjustRightInd w:val="0"/>
                    <w:spacing w:line="240" w:lineRule="auto"/>
                    <w:ind w:left="100"/>
                    <w:jc w:val="center"/>
                    <w:rPr>
                      <w:rFonts w:ascii="Times New Roman" w:eastAsia="Times New Roman" w:hAnsi="Times New Roman"/>
                      <w:sz w:val="20"/>
                      <w:szCs w:val="20"/>
                      <w:lang w:eastAsia="pl-PL"/>
                    </w:rPr>
                  </w:pPr>
                  <w:r w:rsidRPr="00890C68">
                    <w:rPr>
                      <w:rFonts w:ascii="Times New Roman" w:eastAsia="Times New Roman" w:hAnsi="Times New Roman"/>
                      <w:sz w:val="20"/>
                      <w:szCs w:val="20"/>
                      <w:lang w:eastAsia="pl-PL"/>
                    </w:rPr>
                    <w:t>Wymagane pozwolenie dla dużych baterii (4,800Ah/ogniwo)</w:t>
                  </w:r>
                </w:p>
              </w:tc>
              <w:tc>
                <w:tcPr>
                  <w:tcW w:w="2672" w:type="dxa"/>
                  <w:vMerge/>
                  <w:tcBorders>
                    <w:right w:val="single" w:sz="8" w:space="0" w:color="auto"/>
                  </w:tcBorders>
                  <w:shd w:val="clear" w:color="auto" w:fill="FFFFFF"/>
                  <w:vAlign w:val="center"/>
                </w:tcPr>
                <w:p w:rsidR="00987208" w:rsidRPr="00890C68" w:rsidRDefault="00987208" w:rsidP="00987208">
                  <w:pPr>
                    <w:widowControl w:val="0"/>
                    <w:autoSpaceDE w:val="0"/>
                    <w:autoSpaceDN w:val="0"/>
                    <w:adjustRightInd w:val="0"/>
                    <w:spacing w:line="240" w:lineRule="auto"/>
                    <w:ind w:left="100"/>
                    <w:jc w:val="center"/>
                    <w:rPr>
                      <w:rFonts w:ascii="Times New Roman" w:eastAsia="Times New Roman" w:hAnsi="Times New Roman"/>
                      <w:sz w:val="20"/>
                      <w:szCs w:val="20"/>
                      <w:lang w:eastAsia="pl-PL"/>
                    </w:rPr>
                  </w:pPr>
                </w:p>
              </w:tc>
            </w:tr>
            <w:tr w:rsidR="00987208" w:rsidRPr="00890C68" w:rsidTr="008B59AD">
              <w:trPr>
                <w:trHeight w:val="240"/>
                <w:jc w:val="center"/>
              </w:trPr>
              <w:tc>
                <w:tcPr>
                  <w:tcW w:w="1429" w:type="dxa"/>
                  <w:vMerge/>
                  <w:tcBorders>
                    <w:left w:val="single" w:sz="8" w:space="0" w:color="auto"/>
                    <w:bottom w:val="single" w:sz="4" w:space="0" w:color="auto"/>
                    <w:right w:val="single" w:sz="4" w:space="0" w:color="auto"/>
                  </w:tcBorders>
                  <w:shd w:val="clear" w:color="auto" w:fill="FFFFFF"/>
                  <w:vAlign w:val="center"/>
                </w:tcPr>
                <w:p w:rsidR="00987208" w:rsidRPr="00890C68" w:rsidRDefault="00987208" w:rsidP="00987208">
                  <w:pPr>
                    <w:widowControl w:val="0"/>
                    <w:autoSpaceDE w:val="0"/>
                    <w:autoSpaceDN w:val="0"/>
                    <w:adjustRightInd w:val="0"/>
                    <w:spacing w:line="240" w:lineRule="auto"/>
                    <w:ind w:left="120"/>
                    <w:jc w:val="center"/>
                    <w:rPr>
                      <w:rFonts w:ascii="Times New Roman" w:eastAsia="Times New Roman" w:hAnsi="Times New Roman"/>
                      <w:sz w:val="20"/>
                      <w:szCs w:val="20"/>
                      <w:lang w:eastAsia="pl-PL"/>
                    </w:rPr>
                  </w:pPr>
                </w:p>
              </w:tc>
              <w:tc>
                <w:tcPr>
                  <w:tcW w:w="2410" w:type="dxa"/>
                  <w:tcBorders>
                    <w:top w:val="single" w:sz="8" w:space="0" w:color="auto"/>
                    <w:left w:val="single" w:sz="4" w:space="0" w:color="auto"/>
                    <w:bottom w:val="single" w:sz="4" w:space="0" w:color="auto"/>
                    <w:right w:val="single" w:sz="8" w:space="0" w:color="auto"/>
                  </w:tcBorders>
                  <w:shd w:val="clear" w:color="auto" w:fill="FFFFFF"/>
                  <w:vAlign w:val="center"/>
                </w:tcPr>
                <w:p w:rsidR="00987208" w:rsidRPr="00890C68" w:rsidRDefault="00987208" w:rsidP="00987208">
                  <w:pPr>
                    <w:widowControl w:val="0"/>
                    <w:autoSpaceDE w:val="0"/>
                    <w:autoSpaceDN w:val="0"/>
                    <w:adjustRightInd w:val="0"/>
                    <w:spacing w:line="240" w:lineRule="auto"/>
                    <w:ind w:left="100"/>
                    <w:jc w:val="center"/>
                    <w:rPr>
                      <w:rFonts w:ascii="Times New Roman" w:eastAsia="Times New Roman" w:hAnsi="Times New Roman"/>
                      <w:sz w:val="20"/>
                      <w:szCs w:val="20"/>
                      <w:lang w:eastAsia="pl-PL"/>
                    </w:rPr>
                  </w:pPr>
                  <w:r w:rsidRPr="00890C68">
                    <w:rPr>
                      <w:rFonts w:ascii="Times New Roman" w:eastAsia="Times New Roman" w:hAnsi="Times New Roman"/>
                      <w:sz w:val="20"/>
                      <w:szCs w:val="20"/>
                      <w:lang w:eastAsia="pl-PL"/>
                    </w:rPr>
                    <w:t>Przepisy budowlane</w:t>
                  </w:r>
                </w:p>
              </w:tc>
              <w:tc>
                <w:tcPr>
                  <w:tcW w:w="3118" w:type="dxa"/>
                  <w:tcBorders>
                    <w:top w:val="single" w:sz="8" w:space="0" w:color="auto"/>
                    <w:left w:val="single" w:sz="8" w:space="0" w:color="auto"/>
                    <w:bottom w:val="single" w:sz="8" w:space="0" w:color="auto"/>
                    <w:right w:val="single" w:sz="8" w:space="0" w:color="auto"/>
                  </w:tcBorders>
                  <w:shd w:val="clear" w:color="auto" w:fill="FFFFFF"/>
                  <w:vAlign w:val="center"/>
                </w:tcPr>
                <w:p w:rsidR="00987208" w:rsidRPr="00890C68" w:rsidRDefault="00987208" w:rsidP="00987208">
                  <w:pPr>
                    <w:widowControl w:val="0"/>
                    <w:autoSpaceDE w:val="0"/>
                    <w:autoSpaceDN w:val="0"/>
                    <w:adjustRightInd w:val="0"/>
                    <w:spacing w:line="240" w:lineRule="auto"/>
                    <w:ind w:left="100"/>
                    <w:jc w:val="center"/>
                    <w:rPr>
                      <w:rFonts w:ascii="Times New Roman" w:eastAsia="Times New Roman" w:hAnsi="Times New Roman"/>
                      <w:sz w:val="20"/>
                      <w:szCs w:val="20"/>
                      <w:lang w:eastAsia="pl-PL"/>
                    </w:rPr>
                  </w:pPr>
                  <w:r w:rsidRPr="00890C68">
                    <w:rPr>
                      <w:rFonts w:ascii="Times New Roman" w:eastAsia="Times New Roman" w:hAnsi="Times New Roman"/>
                      <w:sz w:val="20"/>
                      <w:szCs w:val="20"/>
                      <w:lang w:eastAsia="pl-PL"/>
                    </w:rPr>
                    <w:t>Aplikacja budowlana dla budynku w zakresie właściwości przeciwpożarowych</w:t>
                  </w:r>
                </w:p>
              </w:tc>
              <w:tc>
                <w:tcPr>
                  <w:tcW w:w="2672" w:type="dxa"/>
                  <w:tcBorders>
                    <w:top w:val="single" w:sz="8" w:space="0" w:color="auto"/>
                    <w:left w:val="single" w:sz="8" w:space="0" w:color="auto"/>
                    <w:bottom w:val="single" w:sz="8" w:space="0" w:color="auto"/>
                    <w:right w:val="single" w:sz="8" w:space="0" w:color="auto"/>
                  </w:tcBorders>
                  <w:shd w:val="clear" w:color="auto" w:fill="FFFFFF"/>
                  <w:vAlign w:val="center"/>
                </w:tcPr>
                <w:p w:rsidR="00987208" w:rsidRPr="00890C68" w:rsidRDefault="00987208" w:rsidP="00987208">
                  <w:pPr>
                    <w:widowControl w:val="0"/>
                    <w:autoSpaceDE w:val="0"/>
                    <w:autoSpaceDN w:val="0"/>
                    <w:adjustRightInd w:val="0"/>
                    <w:spacing w:line="240" w:lineRule="auto"/>
                    <w:jc w:val="center"/>
                    <w:rPr>
                      <w:rFonts w:ascii="Times New Roman" w:eastAsia="Times New Roman" w:hAnsi="Times New Roman"/>
                      <w:sz w:val="20"/>
                      <w:szCs w:val="20"/>
                      <w:lang w:eastAsia="pl-PL"/>
                    </w:rPr>
                  </w:pPr>
                  <w:r w:rsidRPr="00890C68">
                    <w:rPr>
                      <w:rFonts w:ascii="Times New Roman" w:eastAsia="Times New Roman" w:hAnsi="Times New Roman"/>
                      <w:sz w:val="20"/>
                      <w:szCs w:val="20"/>
                      <w:lang w:eastAsia="pl-PL"/>
                    </w:rPr>
                    <w:t>Ministerstwo Infrastruktury, Transportu i Turystyki</w:t>
                  </w:r>
                </w:p>
              </w:tc>
            </w:tr>
          </w:tbl>
          <w:p w:rsidR="00987208" w:rsidRPr="00890C68" w:rsidRDefault="00987208" w:rsidP="00987208">
            <w:pPr>
              <w:spacing w:line="240" w:lineRule="auto"/>
              <w:jc w:val="both"/>
              <w:rPr>
                <w:rFonts w:ascii="Times New Roman" w:hAnsi="Times New Roman"/>
                <w:color w:val="000000"/>
                <w:spacing w:val="-2"/>
              </w:rPr>
            </w:pPr>
          </w:p>
          <w:p w:rsidR="008B59AD" w:rsidRPr="00890C68" w:rsidRDefault="008B59AD" w:rsidP="00091AE9">
            <w:pPr>
              <w:spacing w:line="240" w:lineRule="auto"/>
              <w:jc w:val="both"/>
              <w:rPr>
                <w:rFonts w:ascii="Times New Roman" w:hAnsi="Times New Roman"/>
                <w:color w:val="000000"/>
                <w:spacing w:val="-2"/>
                <w:u w:val="single"/>
              </w:rPr>
            </w:pPr>
            <w:r w:rsidRPr="00890C68">
              <w:rPr>
                <w:rFonts w:ascii="Times New Roman" w:hAnsi="Times New Roman"/>
                <w:color w:val="000000"/>
                <w:spacing w:val="-2"/>
                <w:u w:val="single"/>
              </w:rPr>
              <w:t>Wdrożenie w Polsce systemu inteligentnego opomiarowania:</w:t>
            </w:r>
          </w:p>
          <w:p w:rsidR="00091AE9" w:rsidRPr="00890C68" w:rsidRDefault="00091AE9" w:rsidP="00091AE9">
            <w:pPr>
              <w:spacing w:line="240" w:lineRule="auto"/>
              <w:jc w:val="both"/>
              <w:rPr>
                <w:rFonts w:ascii="Times New Roman" w:hAnsi="Times New Roman"/>
                <w:color w:val="000000"/>
                <w:spacing w:val="-2"/>
              </w:rPr>
            </w:pPr>
            <w:r w:rsidRPr="00890C68">
              <w:rPr>
                <w:rFonts w:ascii="Times New Roman" w:hAnsi="Times New Roman"/>
                <w:color w:val="000000"/>
                <w:spacing w:val="-2"/>
              </w:rPr>
              <w:t>Jeżeli chodzi o inteligentne opomiarowanie to większość krajów UE jest w fazie wdrażania centralnych systemów inteligentnego opomiarowania (m.in. Norwegia, Szwecja, Finlandia) lub takie systemy posiadają  (m.in. Estonia, Holandia, Dania, Włochy). Systemy te obejmują centralne gromadzenie lub centralny dostęp do danych pomiarowych.</w:t>
            </w:r>
            <w:r w:rsidRPr="00890C68">
              <w:rPr>
                <w:rStyle w:val="Odwoanieprzypisudolnego"/>
                <w:rFonts w:ascii="Times New Roman" w:hAnsi="Times New Roman"/>
                <w:color w:val="000000"/>
                <w:spacing w:val="-2"/>
              </w:rPr>
              <w:footnoteReference w:id="5"/>
            </w:r>
            <w:r w:rsidRPr="00890C68">
              <w:rPr>
                <w:rFonts w:ascii="Times New Roman" w:hAnsi="Times New Roman"/>
                <w:color w:val="000000"/>
                <w:spacing w:val="-2"/>
              </w:rPr>
              <w:t xml:space="preserve"> </w:t>
            </w:r>
          </w:p>
          <w:p w:rsidR="00091AE9" w:rsidRPr="00890C68" w:rsidRDefault="00091AE9" w:rsidP="00091AE9">
            <w:pPr>
              <w:spacing w:line="240" w:lineRule="auto"/>
              <w:jc w:val="both"/>
              <w:rPr>
                <w:rFonts w:ascii="Times New Roman" w:hAnsi="Times New Roman"/>
                <w:color w:val="000000"/>
                <w:spacing w:val="-2"/>
              </w:rPr>
            </w:pPr>
            <w:r w:rsidRPr="00890C68">
              <w:rPr>
                <w:rFonts w:ascii="Times New Roman" w:hAnsi="Times New Roman"/>
                <w:color w:val="000000"/>
                <w:spacing w:val="-2"/>
              </w:rPr>
              <w:t xml:space="preserve">Rozwiązania te są zbliżone co do swej istoty do modelu proponowanego do wdrożenia w Polsce. Funkcje zarządzających centralnymi systemami danych pełnią zazwyczaj podmioty niezależne organizacyjnie i funkcjonalnie od OSD i sprzedawców, najczęściej są to spółki powiązane z Operatorami Systemu Przesyłowego (w większości krajów UE jest jeden OSP). Rolę </w:t>
            </w:r>
            <w:r w:rsidR="00672811" w:rsidRPr="00890C68">
              <w:rPr>
                <w:rFonts w:ascii="Times New Roman" w:hAnsi="Times New Roman"/>
                <w:color w:val="000000"/>
                <w:spacing w:val="-2"/>
              </w:rPr>
              <w:t xml:space="preserve">OIRE </w:t>
            </w:r>
            <w:r w:rsidRPr="00890C68">
              <w:rPr>
                <w:rFonts w:ascii="Times New Roman" w:hAnsi="Times New Roman"/>
                <w:color w:val="000000"/>
                <w:spacing w:val="-2"/>
              </w:rPr>
              <w:t xml:space="preserve">może również pełnić bezpośrednio OSP. Działalność w obszarze zarządzania informacjami pomiarowymi jest działalnością regulowaną. </w:t>
            </w:r>
          </w:p>
          <w:p w:rsidR="00091AE9" w:rsidRPr="00890C68" w:rsidRDefault="00091AE9" w:rsidP="00091AE9">
            <w:pPr>
              <w:spacing w:line="240" w:lineRule="auto"/>
              <w:jc w:val="both"/>
              <w:rPr>
                <w:rFonts w:ascii="Times New Roman" w:hAnsi="Times New Roman"/>
                <w:color w:val="000000"/>
                <w:spacing w:val="-2"/>
              </w:rPr>
            </w:pPr>
            <w:r w:rsidRPr="00890C68">
              <w:rPr>
                <w:rFonts w:ascii="Times New Roman" w:hAnsi="Times New Roman"/>
                <w:color w:val="000000"/>
                <w:spacing w:val="-2"/>
              </w:rPr>
              <w:t>Systemy najbardziej zbliżone do proponowanych rozwiązań, opierające się na scentralizowanym modelu zarządzania danymi i informacjami pomiarowymi, wprowadzone zostały w Danii. Na uwagę zasługuje szereg podobieństw pomiędzy strukturami rynku energii elektrycznej w Danii i w Polsce: jeden OSP, duża liczba OSD, duża liczba sprzedawców, bardzo duża liczba interakcji między tymi uczestnikami.</w:t>
            </w:r>
          </w:p>
          <w:p w:rsidR="00091AE9" w:rsidRPr="00890C68" w:rsidRDefault="00091AE9" w:rsidP="00091AE9">
            <w:pPr>
              <w:spacing w:line="240" w:lineRule="auto"/>
              <w:jc w:val="both"/>
              <w:rPr>
                <w:rFonts w:ascii="Times New Roman" w:hAnsi="Times New Roman"/>
                <w:color w:val="000000"/>
                <w:spacing w:val="-2"/>
              </w:rPr>
            </w:pPr>
            <w:r w:rsidRPr="00890C68">
              <w:rPr>
                <w:rFonts w:ascii="Times New Roman" w:hAnsi="Times New Roman"/>
                <w:color w:val="000000"/>
                <w:spacing w:val="-2"/>
              </w:rPr>
              <w:t xml:space="preserve">Z kolei zdecentralizowany system zarządzania danymi pomiarowymi oznacza utrzymanie kontroli poszczególnych OSD nad tymi danymi (wzmocnienie pozycji monopolisty na danym obszarze dystrybucyjnym, co w połączeniu z zależnościami kapitałowymi z niektórymi sprzedawcami może dawać przewagę konkurencyjną). Taki stan ma obecnie miejsce w Niemczech z uwagi na stosunkowo niewielką liczbę liczników zdalnego odczytu.  </w:t>
            </w:r>
          </w:p>
          <w:p w:rsidR="00091AE9" w:rsidRPr="00890C68" w:rsidRDefault="00091AE9" w:rsidP="00091AE9">
            <w:pPr>
              <w:spacing w:line="240" w:lineRule="auto"/>
              <w:jc w:val="both"/>
              <w:rPr>
                <w:rFonts w:ascii="Times New Roman" w:hAnsi="Times New Roman"/>
                <w:color w:val="000000"/>
                <w:spacing w:val="-2"/>
              </w:rPr>
            </w:pPr>
            <w:r w:rsidRPr="00890C68">
              <w:rPr>
                <w:rFonts w:ascii="Times New Roman" w:hAnsi="Times New Roman"/>
                <w:color w:val="000000"/>
                <w:spacing w:val="-2"/>
              </w:rPr>
              <w:t xml:space="preserve">Brak jest funkcjonujących przykładów zdecentralizowanych systemów zarządzania danymi pomiarowymi przez wiele podmiotów, które byłyby niezależne od OSD, na zasadach wolnej konkurencji.  </w:t>
            </w:r>
          </w:p>
          <w:p w:rsidR="00091AE9" w:rsidRPr="00890C68" w:rsidRDefault="00091AE9" w:rsidP="00091AE9">
            <w:pPr>
              <w:spacing w:line="240" w:lineRule="auto"/>
              <w:jc w:val="both"/>
              <w:rPr>
                <w:rFonts w:ascii="Times New Roman" w:hAnsi="Times New Roman"/>
                <w:color w:val="000000"/>
                <w:spacing w:val="-2"/>
              </w:rPr>
            </w:pPr>
            <w:r w:rsidRPr="00890C68">
              <w:rPr>
                <w:rFonts w:ascii="Times New Roman" w:hAnsi="Times New Roman"/>
                <w:color w:val="000000"/>
                <w:spacing w:val="-2"/>
              </w:rPr>
              <w:t>Poniżej przedstawiono syntetycznie sposób funkcjonowania systemów pomiarowych w kilku państwach UE</w:t>
            </w:r>
            <w:r w:rsidRPr="00890C68">
              <w:rPr>
                <w:rStyle w:val="Odwoanieprzypisudolnego"/>
                <w:rFonts w:ascii="Times New Roman" w:hAnsi="Times New Roman"/>
                <w:color w:val="000000"/>
                <w:spacing w:val="-2"/>
              </w:rPr>
              <w:footnoteReference w:id="6"/>
            </w:r>
            <w:r w:rsidRPr="00890C68">
              <w:rPr>
                <w:rFonts w:ascii="Times New Roman" w:hAnsi="Times New Roman"/>
                <w:color w:val="000000"/>
                <w:spacing w:val="-2"/>
              </w:rPr>
              <w:t>.</w:t>
            </w:r>
          </w:p>
          <w:p w:rsidR="00091AE9" w:rsidRPr="00890C68" w:rsidRDefault="00091AE9" w:rsidP="00091AE9">
            <w:pPr>
              <w:spacing w:line="240" w:lineRule="auto"/>
              <w:jc w:val="both"/>
              <w:rPr>
                <w:rFonts w:ascii="Times New Roman" w:hAnsi="Times New Roman"/>
                <w:color w:val="000000"/>
                <w:spacing w:val="-2"/>
              </w:rPr>
            </w:pPr>
          </w:p>
          <w:p w:rsidR="00091AE9" w:rsidRPr="00890C68" w:rsidRDefault="00091AE9" w:rsidP="00091AE9">
            <w:pPr>
              <w:spacing w:line="240" w:lineRule="auto"/>
              <w:jc w:val="both"/>
              <w:rPr>
                <w:rFonts w:ascii="Times New Roman" w:hAnsi="Times New Roman"/>
                <w:color w:val="000000"/>
                <w:spacing w:val="-2"/>
              </w:rPr>
            </w:pPr>
            <w:r w:rsidRPr="00890C68">
              <w:rPr>
                <w:rFonts w:ascii="Times New Roman" w:hAnsi="Times New Roman"/>
                <w:color w:val="000000"/>
                <w:spacing w:val="-2"/>
              </w:rPr>
              <w:t>NIEMCY</w:t>
            </w:r>
          </w:p>
          <w:p w:rsidR="00091AE9" w:rsidRPr="00890C68" w:rsidRDefault="00091AE9" w:rsidP="00091AE9">
            <w:pPr>
              <w:spacing w:line="240" w:lineRule="auto"/>
              <w:jc w:val="both"/>
              <w:rPr>
                <w:rFonts w:ascii="Times New Roman" w:hAnsi="Times New Roman"/>
                <w:color w:val="000000"/>
                <w:spacing w:val="-2"/>
              </w:rPr>
            </w:pPr>
            <w:r w:rsidRPr="00890C68">
              <w:rPr>
                <w:rFonts w:ascii="Times New Roman" w:hAnsi="Times New Roman"/>
                <w:color w:val="000000"/>
                <w:spacing w:val="-2"/>
              </w:rPr>
              <w:t xml:space="preserve">Odbiorcą danych pomiarowych jest OSD, które opowiada za weryfikację i przeprowadzanie niezbędnych korekt danych. Dane mogą zostać dalej udostępnione tym interesariuszom, którzy, ze względu na wykonywane przez siebie funkcje w systemie – na podstawie przepisów prawa mają do nich dostęp w określonym zakresie.  </w:t>
            </w:r>
          </w:p>
          <w:p w:rsidR="00091AE9" w:rsidRPr="00890C68" w:rsidRDefault="00091AE9" w:rsidP="00091AE9">
            <w:pPr>
              <w:spacing w:line="240" w:lineRule="auto"/>
              <w:jc w:val="both"/>
              <w:rPr>
                <w:rFonts w:ascii="Times New Roman" w:hAnsi="Times New Roman"/>
                <w:color w:val="000000"/>
                <w:spacing w:val="-2"/>
              </w:rPr>
            </w:pPr>
            <w:r w:rsidRPr="00890C68">
              <w:rPr>
                <w:rFonts w:ascii="Times New Roman" w:hAnsi="Times New Roman"/>
                <w:color w:val="000000"/>
                <w:spacing w:val="-2"/>
              </w:rPr>
              <w:t xml:space="preserve">Przewidywane zmiany funkcjonowania systemów pomiarowych dotyczą konieczności zmiany podmiotu udostępniającego dane pomiarowe w związku z technologicznymi uwarunkowaniami stosowania liczników zdalnego odczytu. </w:t>
            </w:r>
          </w:p>
          <w:p w:rsidR="00091AE9" w:rsidRPr="00890C68" w:rsidRDefault="00091AE9" w:rsidP="00091AE9">
            <w:pPr>
              <w:spacing w:line="240" w:lineRule="auto"/>
              <w:jc w:val="both"/>
              <w:rPr>
                <w:rFonts w:ascii="Times New Roman" w:hAnsi="Times New Roman"/>
                <w:color w:val="000000"/>
                <w:spacing w:val="-2"/>
              </w:rPr>
            </w:pPr>
            <w:r w:rsidRPr="00890C68">
              <w:rPr>
                <w:rFonts w:ascii="Times New Roman" w:hAnsi="Times New Roman"/>
                <w:color w:val="000000"/>
                <w:spacing w:val="-2"/>
              </w:rPr>
              <w:t>Wyniki przeprowadzonej przez Niemcy oceny ekonomicznej  kosztów i korzyści wskazały na brak uzasadnienia dla pełnego (100%) wdrożenia liczników zdalnego odczytu. Obowiązek dostarczenia i zainstalowania inteligentnych liczników ma być ograniczony do odbiorców, którzy pobierają powyżej 6 000 kWh energii rocznie oraz dostawców (prosumentów i producentów energii elektrycznej połączonych z siecią), których maksymalna moc wytwórcza przekracza 7 kW. Pozostali uczestnicy systemu będą mieli możliwość wyboru, czy instalować liczniki zdalnego odczytu  czy pozostać przy licznikach statycznych.</w:t>
            </w:r>
          </w:p>
          <w:p w:rsidR="00091AE9" w:rsidRPr="00890C68" w:rsidRDefault="00091AE9" w:rsidP="00091AE9">
            <w:pPr>
              <w:spacing w:line="240" w:lineRule="auto"/>
              <w:jc w:val="both"/>
              <w:rPr>
                <w:rFonts w:ascii="Times New Roman" w:hAnsi="Times New Roman"/>
                <w:color w:val="000000"/>
                <w:spacing w:val="-2"/>
              </w:rPr>
            </w:pPr>
          </w:p>
          <w:p w:rsidR="00091AE9" w:rsidRPr="00890C68" w:rsidRDefault="00091AE9" w:rsidP="00091AE9">
            <w:pPr>
              <w:spacing w:line="240" w:lineRule="auto"/>
              <w:jc w:val="both"/>
              <w:rPr>
                <w:rFonts w:ascii="Times New Roman" w:hAnsi="Times New Roman"/>
                <w:color w:val="000000"/>
                <w:spacing w:val="-2"/>
              </w:rPr>
            </w:pPr>
            <w:r w:rsidRPr="00890C68">
              <w:rPr>
                <w:rFonts w:ascii="Times New Roman" w:hAnsi="Times New Roman"/>
                <w:color w:val="000000"/>
                <w:spacing w:val="-2"/>
              </w:rPr>
              <w:t>HOLANDIA</w:t>
            </w:r>
          </w:p>
          <w:p w:rsidR="00091AE9" w:rsidRPr="00890C68" w:rsidRDefault="00091AE9" w:rsidP="00091AE9">
            <w:pPr>
              <w:spacing w:line="240" w:lineRule="auto"/>
              <w:jc w:val="both"/>
              <w:rPr>
                <w:rFonts w:ascii="Times New Roman" w:hAnsi="Times New Roman"/>
                <w:color w:val="000000"/>
                <w:spacing w:val="-2"/>
              </w:rPr>
            </w:pPr>
            <w:r w:rsidRPr="00890C68">
              <w:rPr>
                <w:rFonts w:ascii="Times New Roman" w:hAnsi="Times New Roman"/>
                <w:color w:val="000000"/>
                <w:spacing w:val="-2"/>
              </w:rPr>
              <w:t>W Holandii funkcjonuje system, w którym scentralizowany jest obszar komunikacji z użyciem wielu baz danych (</w:t>
            </w:r>
            <w:r w:rsidRPr="00890C68">
              <w:rPr>
                <w:rFonts w:ascii="Times New Roman" w:hAnsi="Times New Roman"/>
                <w:i/>
                <w:color w:val="000000"/>
                <w:spacing w:val="-2"/>
              </w:rPr>
              <w:t>multiple databases hub</w:t>
            </w:r>
            <w:r w:rsidRPr="00890C68">
              <w:rPr>
                <w:rFonts w:ascii="Times New Roman" w:hAnsi="Times New Roman"/>
                <w:color w:val="000000"/>
                <w:spacing w:val="-2"/>
              </w:rPr>
              <w:t>), natomiast obszar gromadzenia i przechowywania danych jest scentralizowany częściowo. Zarządzanie skojarzonymi bazami danych powierzone zostało organizacji (ESDN), w której udziały posiadają wszystkie OSD. Poszczególne, uprawnione podmioty (sprzedawcy, operator platformy wymiany danych, OSD) posiadają odpowiedni dostęp do poszczególnych baz w systemie, zarówno w aspekcie zakresu danych jak i celu ich przetwarzania.  Przeprowadzanie odczytów odbywa się metodą inkasencką lub automatycznie – z udziałem liczników zdalnego odczytu. W pierwszym przypadku, dane przekazywane są do sprzedawcy energii elektrycznej, w drugim -  dane są zbierane i przechowywane przez OSD, a następnie przekazywanie do sprzedawcy energii elektrycznej.</w:t>
            </w:r>
          </w:p>
          <w:p w:rsidR="00091AE9" w:rsidRPr="00890C68" w:rsidRDefault="00091AE9" w:rsidP="00091AE9">
            <w:pPr>
              <w:spacing w:line="240" w:lineRule="auto"/>
              <w:jc w:val="both"/>
              <w:rPr>
                <w:rFonts w:ascii="Times New Roman" w:hAnsi="Times New Roman"/>
                <w:color w:val="000000"/>
                <w:spacing w:val="-2"/>
              </w:rPr>
            </w:pPr>
            <w:r w:rsidRPr="00890C68">
              <w:rPr>
                <w:rFonts w:ascii="Times New Roman" w:hAnsi="Times New Roman"/>
                <w:color w:val="000000"/>
                <w:spacing w:val="-2"/>
              </w:rPr>
              <w:t>Odczyty realizowane są z częstotliwością raz na rok lub w okresach dwumiesięcznych (inkasent) albo codziennie (pomiar zdalny). W przypadku, gdy urządzenie zainstalowane u odbiorcy umożliwia odczyt zdalny, sprzedawca jest zobowiązany do przeprowadzania odczytu i pozyskiwania danych w ten sposób, za pośrednictwem OSD, co najmniej raz na dwa miesiące. Informacje te, wraz z danymi odbiorców, są przechowywane w centralnej bazie OSD zarządzanej przez ESDN.</w:t>
            </w:r>
          </w:p>
          <w:p w:rsidR="00091AE9" w:rsidRPr="00890C68" w:rsidRDefault="00091AE9" w:rsidP="00091AE9">
            <w:pPr>
              <w:spacing w:line="240" w:lineRule="auto"/>
              <w:jc w:val="both"/>
              <w:rPr>
                <w:rFonts w:ascii="Times New Roman" w:hAnsi="Times New Roman"/>
                <w:color w:val="000000"/>
                <w:spacing w:val="-2"/>
              </w:rPr>
            </w:pPr>
            <w:r w:rsidRPr="00890C68">
              <w:rPr>
                <w:rFonts w:ascii="Times New Roman" w:hAnsi="Times New Roman"/>
                <w:color w:val="000000"/>
                <w:spacing w:val="-2"/>
              </w:rPr>
              <w:t xml:space="preserve">OSD zobligowane są do wdrożenia inteligentnego systemu pomiarowego z zastosowaniem liczników zdalnego odczytu do końca 2020 roku. </w:t>
            </w:r>
          </w:p>
          <w:p w:rsidR="00091AE9" w:rsidRPr="00890C68" w:rsidRDefault="00091AE9" w:rsidP="00091AE9">
            <w:pPr>
              <w:spacing w:line="240" w:lineRule="auto"/>
              <w:jc w:val="both"/>
              <w:rPr>
                <w:rFonts w:ascii="Times New Roman" w:hAnsi="Times New Roman"/>
                <w:color w:val="000000"/>
                <w:spacing w:val="-2"/>
              </w:rPr>
            </w:pPr>
          </w:p>
          <w:p w:rsidR="00091AE9" w:rsidRPr="00890C68" w:rsidRDefault="00091AE9" w:rsidP="00091AE9">
            <w:pPr>
              <w:spacing w:line="240" w:lineRule="auto"/>
              <w:jc w:val="both"/>
              <w:rPr>
                <w:rFonts w:ascii="Times New Roman" w:hAnsi="Times New Roman"/>
                <w:color w:val="000000"/>
                <w:spacing w:val="-2"/>
              </w:rPr>
            </w:pPr>
            <w:r w:rsidRPr="00890C68">
              <w:rPr>
                <w:rFonts w:ascii="Times New Roman" w:hAnsi="Times New Roman"/>
                <w:color w:val="000000"/>
                <w:spacing w:val="-2"/>
              </w:rPr>
              <w:t>DANIA</w:t>
            </w:r>
          </w:p>
          <w:p w:rsidR="00091AE9" w:rsidRPr="00890C68" w:rsidRDefault="00091AE9" w:rsidP="00091AE9">
            <w:pPr>
              <w:spacing w:line="240" w:lineRule="auto"/>
              <w:jc w:val="both"/>
              <w:rPr>
                <w:rFonts w:ascii="Times New Roman" w:hAnsi="Times New Roman"/>
                <w:color w:val="000000"/>
                <w:spacing w:val="-2"/>
              </w:rPr>
            </w:pPr>
            <w:r w:rsidRPr="00890C68">
              <w:rPr>
                <w:rFonts w:ascii="Times New Roman" w:hAnsi="Times New Roman"/>
                <w:color w:val="000000"/>
                <w:spacing w:val="-2"/>
              </w:rPr>
              <w:t xml:space="preserve">Model wyjściowy w Danii wykazywał wiele podobieństw do uwarunkowań występujących w Polsce. Można ocenić, że przyczyny wdrożenia były analogiczne - brak wystarczającego rozdziału pomiędzy OSD oraz niektórymi (największymi) sprzedawcami i wynikająca z tego negatywna ocena możliwości  rozwoju rynku konkurencyjnego. </w:t>
            </w:r>
          </w:p>
          <w:p w:rsidR="00091AE9" w:rsidRPr="00890C68" w:rsidRDefault="00091AE9" w:rsidP="00091AE9">
            <w:pPr>
              <w:spacing w:line="240" w:lineRule="auto"/>
              <w:jc w:val="both"/>
              <w:rPr>
                <w:rFonts w:ascii="Times New Roman" w:hAnsi="Times New Roman"/>
                <w:color w:val="000000"/>
                <w:spacing w:val="-2"/>
              </w:rPr>
            </w:pPr>
            <w:r w:rsidRPr="00890C68">
              <w:rPr>
                <w:rFonts w:ascii="Times New Roman" w:hAnsi="Times New Roman"/>
                <w:color w:val="000000"/>
                <w:spacing w:val="-2"/>
              </w:rPr>
              <w:t xml:space="preserve">Począwszy od marca 2013 r. w Danii funkcjonuje DataHub, który jest centralną platformą rynkową obsługującą w sposób kompleksowy wymianę informacji i procesy realizowane pomiędzy uczestnikami rynku energii. W konsekwencji wprowadzenia w Danii nowego modelu rynkowego priorytetyzującego odbiorcę końcowego, w kwietniu 2016 r. uruchomiono DataHub drugiej generacji. Produkt ten został zrealizowany przez OSP Danii, oraz jest przez niego obsługiwany. </w:t>
            </w:r>
          </w:p>
          <w:p w:rsidR="00091AE9" w:rsidRPr="00890C68" w:rsidRDefault="00091AE9" w:rsidP="00091AE9">
            <w:pPr>
              <w:spacing w:line="240" w:lineRule="auto"/>
              <w:jc w:val="both"/>
              <w:rPr>
                <w:rFonts w:ascii="Times New Roman" w:hAnsi="Times New Roman"/>
                <w:color w:val="000000"/>
                <w:spacing w:val="-2"/>
              </w:rPr>
            </w:pPr>
            <w:r w:rsidRPr="00890C68">
              <w:rPr>
                <w:rFonts w:ascii="Times New Roman" w:hAnsi="Times New Roman"/>
                <w:color w:val="000000"/>
                <w:spacing w:val="-2"/>
              </w:rPr>
              <w:t xml:space="preserve">Odbiorca końcowy posiada relację z rynkiem wyłącznie za pośrednictwem sprzedawcy energii, od którego otrzymuje jeden rachunek wygenerowany na podstawie kompleksowych danych zgormadzonych w DataHub. Po stronie sprzedawcy leży rozliczenie z OSP i OSD, a także z organami podatkowymi. Wszystkie dane i informacje pomiarowe są zbierane przez OSD, a następnie przekazywane do DataHub, z poziomu którego są udostępniane uprawnionym podmiotom w odpowiednim dla nich zakresie. Należy podkreślić, że konsumenci mogą w pełni kontrolować, w jaki sposób, kiedy i jakie podmioty mogą uzyskiwać dostęp do ich danych dotyczących zużycia energii elektrycznej. W tak funkcjonującym modelu firmy (przedsiębiorstwa dystrybucyjne i sprzedawcy energii elektrycznej) nie wymieniają danych bezpośrednio pomiędzy sobą. </w:t>
            </w:r>
          </w:p>
          <w:p w:rsidR="00091AE9" w:rsidRPr="00890C68" w:rsidRDefault="00091AE9" w:rsidP="00091AE9">
            <w:pPr>
              <w:spacing w:line="240" w:lineRule="auto"/>
              <w:jc w:val="both"/>
              <w:rPr>
                <w:rFonts w:ascii="Times New Roman" w:hAnsi="Times New Roman"/>
                <w:color w:val="000000"/>
                <w:spacing w:val="-2"/>
              </w:rPr>
            </w:pPr>
            <w:r w:rsidRPr="00890C68">
              <w:rPr>
                <w:rFonts w:ascii="Times New Roman" w:hAnsi="Times New Roman"/>
                <w:color w:val="000000"/>
                <w:spacing w:val="-2"/>
              </w:rPr>
              <w:t xml:space="preserve">Użytkownicy końcowi posiadają bezpośredni dostęp do swoich danych i informacji w DataHub, gdzie są identyfikowani i uwierzytelniani na podstawie podpisu cyfrowego. Sprzedawcy energii mają dowolność w wyborze formy prezentowania klientom informacji o zużyciu, przy czym obowiązują ich określone wymagania mające na celu zapewnienie przejrzystości. </w:t>
            </w:r>
          </w:p>
          <w:p w:rsidR="00091AE9" w:rsidRPr="00890C68" w:rsidRDefault="00091AE9" w:rsidP="00091AE9">
            <w:pPr>
              <w:spacing w:line="240" w:lineRule="auto"/>
              <w:jc w:val="both"/>
              <w:rPr>
                <w:rFonts w:ascii="Times New Roman" w:hAnsi="Times New Roman"/>
                <w:color w:val="000000"/>
                <w:spacing w:val="-2"/>
              </w:rPr>
            </w:pPr>
          </w:p>
          <w:p w:rsidR="00091AE9" w:rsidRPr="00890C68" w:rsidRDefault="00091AE9" w:rsidP="00091AE9">
            <w:pPr>
              <w:spacing w:line="240" w:lineRule="auto"/>
              <w:jc w:val="both"/>
              <w:rPr>
                <w:rFonts w:ascii="Times New Roman" w:hAnsi="Times New Roman"/>
                <w:color w:val="000000"/>
                <w:spacing w:val="-2"/>
              </w:rPr>
            </w:pPr>
            <w:r w:rsidRPr="00890C68">
              <w:rPr>
                <w:rFonts w:ascii="Times New Roman" w:hAnsi="Times New Roman"/>
                <w:color w:val="000000"/>
                <w:spacing w:val="-2"/>
              </w:rPr>
              <w:t xml:space="preserve">WŁOCHY </w:t>
            </w:r>
          </w:p>
          <w:p w:rsidR="00091AE9" w:rsidRPr="00890C68" w:rsidRDefault="00091AE9" w:rsidP="00091AE9">
            <w:pPr>
              <w:spacing w:line="240" w:lineRule="auto"/>
              <w:jc w:val="both"/>
              <w:rPr>
                <w:rFonts w:ascii="Times New Roman" w:hAnsi="Times New Roman"/>
                <w:color w:val="000000"/>
                <w:spacing w:val="-2"/>
              </w:rPr>
            </w:pPr>
            <w:r w:rsidRPr="00890C68">
              <w:rPr>
                <w:rFonts w:ascii="Times New Roman" w:hAnsi="Times New Roman"/>
                <w:color w:val="000000"/>
                <w:spacing w:val="-2"/>
              </w:rPr>
              <w:t xml:space="preserve">Włochy będąc pionierem w UE w zakresie budowy systemów AMI (advanced meter infrastructure) zakończyły wymianę liczników na inteligentne w 2006 roku. </w:t>
            </w:r>
          </w:p>
          <w:p w:rsidR="00091AE9" w:rsidRPr="00890C68" w:rsidRDefault="00091AE9" w:rsidP="00091AE9">
            <w:pPr>
              <w:spacing w:line="240" w:lineRule="auto"/>
              <w:jc w:val="both"/>
              <w:rPr>
                <w:rFonts w:ascii="Times New Roman" w:hAnsi="Times New Roman"/>
                <w:color w:val="000000"/>
                <w:spacing w:val="-2"/>
              </w:rPr>
            </w:pPr>
            <w:r w:rsidRPr="00890C68">
              <w:rPr>
                <w:rFonts w:ascii="Times New Roman" w:hAnsi="Times New Roman"/>
                <w:color w:val="000000"/>
                <w:spacing w:val="-2"/>
              </w:rPr>
              <w:t xml:space="preserve">Obecny model jest zdecentralizowany w aspekcie komunikacji. Wymiana danych odbywa się bezpośrednio pomiędzy OSD a sprzedawcami, w sposób zestandaryzowany. W zakresie odpowiedzialności OSD zawiera się: przeprowadzanie odczytów, gromadzenie i przechowywanie danych pomiarowych, ich walidacja i zapewnienie dostępności danych dla uczestników rynku na niedyskryminujących zasadach. </w:t>
            </w:r>
          </w:p>
          <w:p w:rsidR="00091AE9" w:rsidRPr="00890C68" w:rsidRDefault="00091AE9" w:rsidP="00091AE9">
            <w:pPr>
              <w:spacing w:line="240" w:lineRule="auto"/>
              <w:jc w:val="both"/>
              <w:rPr>
                <w:rFonts w:ascii="Times New Roman" w:hAnsi="Times New Roman"/>
                <w:color w:val="000000"/>
                <w:spacing w:val="-2"/>
              </w:rPr>
            </w:pPr>
            <w:r w:rsidRPr="00890C68">
              <w:rPr>
                <w:rFonts w:ascii="Times New Roman" w:hAnsi="Times New Roman"/>
                <w:color w:val="000000"/>
                <w:spacing w:val="-2"/>
              </w:rPr>
              <w:t>Dane z obszaru komercyjnego są przetwarzane w systemie informacji zintegrowanej SII (na warunkach określonych w kodeksie dotyczącym ochrony prywatności), który to system - według przewidywań  – stanie się w przyszłości centralną bazą zawierającą dane o zużyciu energii przez odbiorców, jak też będzie wykorzystywany przez OSD jako miejsce obsługi procesów związanych z zarządzaniem licznikiem.  Należy zauważyć, że system SII jest w założeniach dedykowany zarówno dla sektora elektroenergetycznego jak  i dla sektora gazowego.</w:t>
            </w:r>
          </w:p>
          <w:p w:rsidR="00091AE9" w:rsidRPr="00890C68" w:rsidRDefault="00091AE9" w:rsidP="00091AE9">
            <w:pPr>
              <w:spacing w:line="240" w:lineRule="auto"/>
              <w:jc w:val="both"/>
              <w:rPr>
                <w:rFonts w:ascii="Times New Roman" w:hAnsi="Times New Roman"/>
                <w:color w:val="000000"/>
                <w:spacing w:val="-2"/>
              </w:rPr>
            </w:pPr>
            <w:r w:rsidRPr="00890C68">
              <w:rPr>
                <w:rFonts w:ascii="Times New Roman" w:hAnsi="Times New Roman"/>
                <w:color w:val="000000"/>
                <w:spacing w:val="-2"/>
              </w:rPr>
              <w:t>Liczniki inteligentne przesyłają wielkości zmierzonej energii do OSD automatycznie w interwałach miesięcznych.</w:t>
            </w:r>
          </w:p>
          <w:p w:rsidR="00091AE9" w:rsidRPr="00890C68" w:rsidRDefault="00091AE9" w:rsidP="00091AE9">
            <w:pPr>
              <w:spacing w:line="240" w:lineRule="auto"/>
              <w:jc w:val="both"/>
              <w:rPr>
                <w:rFonts w:ascii="Times New Roman" w:hAnsi="Times New Roman"/>
                <w:color w:val="000000"/>
                <w:spacing w:val="-2"/>
              </w:rPr>
            </w:pPr>
            <w:r w:rsidRPr="00890C68">
              <w:rPr>
                <w:rFonts w:ascii="Times New Roman" w:hAnsi="Times New Roman"/>
                <w:color w:val="000000"/>
                <w:spacing w:val="-2"/>
              </w:rPr>
              <w:t>Operatorzy systemów dystrybucyjnych we Włoszech przygotowują się do uruchomienia nowej infrastruktury komunikacyjnej, która umożliwi wykorzystanie w pełni potencjału liczników zdalnego odczytu drugiej generacji.</w:t>
            </w:r>
          </w:p>
          <w:p w:rsidR="00091AE9" w:rsidRPr="00890C68" w:rsidRDefault="00091AE9" w:rsidP="00091AE9">
            <w:pPr>
              <w:spacing w:line="240" w:lineRule="auto"/>
              <w:jc w:val="both"/>
              <w:rPr>
                <w:rFonts w:ascii="Times New Roman" w:hAnsi="Times New Roman"/>
                <w:color w:val="000000"/>
                <w:spacing w:val="-2"/>
              </w:rPr>
            </w:pPr>
          </w:p>
          <w:p w:rsidR="00091AE9" w:rsidRPr="00890C68" w:rsidRDefault="00091AE9" w:rsidP="00091AE9">
            <w:pPr>
              <w:spacing w:line="240" w:lineRule="auto"/>
              <w:jc w:val="both"/>
              <w:rPr>
                <w:rFonts w:ascii="Times New Roman" w:hAnsi="Times New Roman"/>
                <w:color w:val="000000"/>
                <w:spacing w:val="-2"/>
              </w:rPr>
            </w:pPr>
            <w:r w:rsidRPr="00890C68">
              <w:rPr>
                <w:rFonts w:ascii="Times New Roman" w:hAnsi="Times New Roman"/>
                <w:color w:val="000000"/>
                <w:spacing w:val="-2"/>
              </w:rPr>
              <w:t>NORWEGIA</w:t>
            </w:r>
          </w:p>
          <w:p w:rsidR="00091AE9" w:rsidRPr="00890C68" w:rsidRDefault="00091AE9" w:rsidP="00091AE9">
            <w:pPr>
              <w:spacing w:line="240" w:lineRule="auto"/>
              <w:jc w:val="both"/>
              <w:rPr>
                <w:rFonts w:ascii="Times New Roman" w:hAnsi="Times New Roman"/>
                <w:color w:val="000000"/>
                <w:spacing w:val="-2"/>
              </w:rPr>
            </w:pPr>
            <w:r w:rsidRPr="00890C68">
              <w:rPr>
                <w:rFonts w:ascii="Times New Roman" w:hAnsi="Times New Roman"/>
                <w:color w:val="000000"/>
                <w:spacing w:val="-2"/>
              </w:rPr>
              <w:t>Działający system wymiany informacji (Ediel) jest systemem zestandaryzowanym, przy czym funkcjonuje w modelu zdecentralizowanym, w związku z czym wszystkie OSD są odpowiedzialne za utrzymanie danych i prawidłowego dostępu do danych. Przetwarzanie danych (w tym danych o użytkownikach końcowych) we wszystkich obszarach w systemie jest regulowane przez NRA (National Regulatory Agency). Dane z odczytów i dane użytkowników są gromadzone, zarządzane i przechowywane przez OSD.</w:t>
            </w:r>
          </w:p>
          <w:p w:rsidR="00091AE9" w:rsidRPr="00890C68" w:rsidRDefault="00091AE9" w:rsidP="00091AE9">
            <w:pPr>
              <w:spacing w:line="240" w:lineRule="auto"/>
              <w:jc w:val="both"/>
              <w:rPr>
                <w:rFonts w:ascii="Times New Roman" w:hAnsi="Times New Roman"/>
                <w:color w:val="000000"/>
                <w:spacing w:val="-2"/>
              </w:rPr>
            </w:pPr>
            <w:r w:rsidRPr="00890C68">
              <w:rPr>
                <w:rFonts w:ascii="Times New Roman" w:hAnsi="Times New Roman"/>
                <w:color w:val="000000"/>
                <w:spacing w:val="-2"/>
              </w:rPr>
              <w:t>Obecnie fazę obowiązkowych testów przechodzi system Elhub – oparty na modelu scentralizowanym, umożliwiający gromadzenie historycznych danych zużycia energii, wyposażony w szereg innych funkcjonalności. Według aktualnych informacji płynących ze Statnett</w:t>
            </w:r>
            <w:r w:rsidRPr="00890C68">
              <w:rPr>
                <w:rStyle w:val="Odwoanieprzypisudolnego"/>
                <w:rFonts w:ascii="Times New Roman" w:hAnsi="Times New Roman"/>
                <w:color w:val="000000"/>
                <w:spacing w:val="-2"/>
              </w:rPr>
              <w:footnoteReference w:id="7"/>
            </w:r>
            <w:r w:rsidRPr="00890C68">
              <w:rPr>
                <w:rFonts w:ascii="Times New Roman" w:hAnsi="Times New Roman"/>
                <w:color w:val="000000"/>
                <w:spacing w:val="-2"/>
              </w:rPr>
              <w:t xml:space="preserve">(norweskiego operatora systemu przesyłowego), proces uruchomienia Elhub zakończy się w lutym 2019. </w:t>
            </w:r>
          </w:p>
          <w:p w:rsidR="00091AE9" w:rsidRPr="00890C68" w:rsidRDefault="00091AE9" w:rsidP="00091AE9">
            <w:pPr>
              <w:spacing w:line="240" w:lineRule="auto"/>
              <w:jc w:val="both"/>
              <w:rPr>
                <w:rFonts w:ascii="Times New Roman" w:hAnsi="Times New Roman"/>
                <w:color w:val="000000"/>
                <w:spacing w:val="-2"/>
              </w:rPr>
            </w:pPr>
            <w:r w:rsidRPr="00890C68">
              <w:rPr>
                <w:rFonts w:ascii="Times New Roman" w:hAnsi="Times New Roman"/>
                <w:color w:val="000000"/>
                <w:spacing w:val="-2"/>
              </w:rPr>
              <w:t>Wdrożenie systemu będzie skutkowało dla wszystkich uczestników rynku odczuwalną zmianą: jeden podmiot (Elhub) będzie odpowiedzialny za zarządzanie danymi. Rolą OSD będzie dostarczanie danych z odczytów i danych o punktach pomiarowych do Elhub, podczas gdy sprzedawcy energii będą dostarczać dane o użytkownikach dla każdego punktu pomiarowego. Przewiduje się, że efektem wdrożenia będzie poprawa efektywności zarządzania rynkiem detalicznym. Za sprawą funkcjonowania zcentralizowanego ośrodka zarządzania danymi, OSD zredukują swoje koszty. Dzięki takiemu rozwiązaniu konsumenci uzyskają dostęp do danych historycznych o własnym zużyciu i będą mogli zarządzać dostępem do tych danych. W następstwie pełnego wdrożenia, spodziewanego na początku 2019 roku, odbiorcy końcowi (konsumenci) i upoważnieni uczestnicy rynku energii będą mieli możliwość dostępu do danych bieżących o zużyciu (w czasie rzeczywistym) bezpośrednio z liczników zdalnego odczytu, wyposażonych w zestandaryzowany interfejs dostarczony przez  Norwegian Electronic Committee (NEK).</w:t>
            </w:r>
          </w:p>
          <w:p w:rsidR="00091AE9" w:rsidRPr="00890C68" w:rsidRDefault="00091AE9" w:rsidP="00091AE9">
            <w:pPr>
              <w:spacing w:line="240" w:lineRule="auto"/>
              <w:jc w:val="both"/>
              <w:rPr>
                <w:rFonts w:ascii="Times New Roman" w:hAnsi="Times New Roman"/>
                <w:color w:val="000000"/>
                <w:spacing w:val="-2"/>
              </w:rPr>
            </w:pPr>
          </w:p>
          <w:p w:rsidR="00091AE9" w:rsidRPr="00890C68" w:rsidRDefault="00091AE9" w:rsidP="00091AE9">
            <w:pPr>
              <w:spacing w:line="240" w:lineRule="auto"/>
              <w:jc w:val="both"/>
              <w:rPr>
                <w:rFonts w:ascii="Times New Roman" w:hAnsi="Times New Roman"/>
                <w:color w:val="000000"/>
                <w:spacing w:val="-2"/>
              </w:rPr>
            </w:pPr>
            <w:r w:rsidRPr="00890C68">
              <w:rPr>
                <w:rFonts w:ascii="Times New Roman" w:hAnsi="Times New Roman"/>
                <w:color w:val="000000"/>
                <w:spacing w:val="-2"/>
              </w:rPr>
              <w:lastRenderedPageBreak/>
              <w:t>ESTONIA</w:t>
            </w:r>
            <w:r w:rsidRPr="00890C68">
              <w:rPr>
                <w:rStyle w:val="Odwoanieprzypisudolnego"/>
                <w:rFonts w:ascii="Times New Roman" w:hAnsi="Times New Roman"/>
                <w:color w:val="000000"/>
                <w:spacing w:val="-2"/>
              </w:rPr>
              <w:footnoteReference w:id="8"/>
            </w:r>
          </w:p>
          <w:p w:rsidR="00091AE9" w:rsidRPr="00890C68" w:rsidRDefault="00091AE9" w:rsidP="00091AE9">
            <w:pPr>
              <w:spacing w:line="240" w:lineRule="auto"/>
              <w:jc w:val="both"/>
              <w:rPr>
                <w:rFonts w:ascii="Times New Roman" w:hAnsi="Times New Roman"/>
                <w:color w:val="000000"/>
                <w:spacing w:val="-2"/>
              </w:rPr>
            </w:pPr>
            <w:r w:rsidRPr="00890C68">
              <w:rPr>
                <w:rFonts w:ascii="Times New Roman" w:hAnsi="Times New Roman"/>
                <w:color w:val="000000"/>
                <w:spacing w:val="-2"/>
              </w:rPr>
              <w:t xml:space="preserve">Estonia zrealizowała w pełni plan wdrożenia liczników zdalnego odczytu do stycznia 2017 roku. </w:t>
            </w:r>
            <w:r w:rsidRPr="00890C68">
              <w:rPr>
                <w:rFonts w:ascii="Times New Roman" w:hAnsi="Times New Roman"/>
                <w:color w:val="000000"/>
                <w:spacing w:val="-2"/>
              </w:rPr>
              <w:br/>
              <w:t xml:space="preserve">W celu wsparcia procesów zachodzących na rynku energii elektrycznej, utworzono Electricity Data Hub (dalej: Data Hub), który- w powiązaniu z Esfeed (platforma wymiany danych) i z wykorzystaniem jego funkcjonalności - wspomaga zmianę sprzedawcy energii oraz zapewnia udostępnianie danych pomiarowych uprawnionym interesariuszom. </w:t>
            </w:r>
          </w:p>
          <w:p w:rsidR="00091AE9" w:rsidRPr="00890C68" w:rsidRDefault="00091AE9" w:rsidP="00091AE9">
            <w:pPr>
              <w:spacing w:line="240" w:lineRule="auto"/>
              <w:jc w:val="both"/>
              <w:rPr>
                <w:rFonts w:ascii="Times New Roman" w:hAnsi="Times New Roman"/>
                <w:color w:val="000000"/>
                <w:spacing w:val="-2"/>
              </w:rPr>
            </w:pPr>
            <w:r w:rsidRPr="00890C68">
              <w:rPr>
                <w:rFonts w:ascii="Times New Roman" w:hAnsi="Times New Roman"/>
                <w:color w:val="000000"/>
                <w:spacing w:val="-2"/>
              </w:rPr>
              <w:t xml:space="preserve">Wśród funkcjonalności platformy Estfeed wskazać należy m.in. zarządzanie wymianą danych pomiędzy uczestnikami rynku, przechowywanie danych pomiarowych i umożliwienie odbiorcom wglądu do swoich danych (za pośrednictwem dedykowanego portalu w Internecie), jak też mechanizmy obliczeniowe na potrzeby generowania pojedynczej faktury przez sprzedawcę. Dane z Data Hub są wykorzystywane do przeprowadzania analiz charakterystyki zużycia energii elektrycznej.  </w:t>
            </w:r>
          </w:p>
          <w:p w:rsidR="00091AE9" w:rsidRPr="00890C68" w:rsidRDefault="00091AE9" w:rsidP="00091AE9">
            <w:pPr>
              <w:spacing w:line="240" w:lineRule="auto"/>
              <w:jc w:val="both"/>
              <w:rPr>
                <w:rFonts w:ascii="Times New Roman" w:hAnsi="Times New Roman"/>
                <w:color w:val="000000"/>
                <w:spacing w:val="-2"/>
              </w:rPr>
            </w:pPr>
            <w:r w:rsidRPr="00890C68">
              <w:rPr>
                <w:rFonts w:ascii="Times New Roman" w:hAnsi="Times New Roman"/>
                <w:color w:val="000000"/>
                <w:spacing w:val="-2"/>
              </w:rPr>
              <w:t>Data Hub w powiązaniu z Estfeed funkcjonuje na otwartym rynku energii i jest dostępny dla uprawnionych grup użytkowników (operatorów sieci dystrybucyjnych, sprzedawców energii, klientów). Każdy OSD jest odpowiedzialny za zbieranie danych z odczytów i informacji pomiarowych i przekazywanie ich do Data Hub. przy czym straty w ramach obszaru działania każdego operatora przyporządkowywane są odrębnie. Sprzedawcy mają obowiązek przekazywania danych do Data Hub po zawarciu umowy z klientem. Korzystanie z Data Hub wymaga zawarcia stosownej umowy z Elering (pełniącym w Estonii rolę Operatora Systemu Przesyłowego), która określa prawa i obowiązki w obszarze przekazywania i pozyskiwania danych. Wdrożenie systemu inteligentnego opomiarowania wraz z Data Hub umożliwiło: obniżenie kosztów, poprawę efektywności działań wszystkich uczestników rynku i ograniczenie strat sieciowych.</w:t>
            </w:r>
          </w:p>
        </w:tc>
      </w:tr>
      <w:tr w:rsidR="006A701A" w:rsidRPr="00890C68" w:rsidTr="00641996">
        <w:trPr>
          <w:trHeight w:val="359"/>
        </w:trPr>
        <w:tc>
          <w:tcPr>
            <w:tcW w:w="11057" w:type="dxa"/>
            <w:gridSpan w:val="15"/>
            <w:shd w:val="clear" w:color="auto" w:fill="99CCFF"/>
            <w:vAlign w:val="center"/>
          </w:tcPr>
          <w:p w:rsidR="006A701A" w:rsidRPr="00890C68" w:rsidRDefault="006A701A" w:rsidP="00213EFD">
            <w:pPr>
              <w:numPr>
                <w:ilvl w:val="0"/>
                <w:numId w:val="3"/>
              </w:numPr>
              <w:spacing w:before="60" w:after="60" w:line="240" w:lineRule="auto"/>
              <w:ind w:left="318" w:hanging="284"/>
              <w:jc w:val="both"/>
              <w:rPr>
                <w:rFonts w:ascii="Times New Roman" w:hAnsi="Times New Roman"/>
                <w:b/>
                <w:color w:val="000000"/>
              </w:rPr>
            </w:pPr>
            <w:r w:rsidRPr="00890C68">
              <w:rPr>
                <w:rFonts w:ascii="Times New Roman" w:hAnsi="Times New Roman"/>
                <w:b/>
                <w:color w:val="000000"/>
              </w:rPr>
              <w:lastRenderedPageBreak/>
              <w:t>Podmioty, na które oddziałuje projekt</w:t>
            </w:r>
          </w:p>
        </w:tc>
      </w:tr>
      <w:tr w:rsidR="00260F33" w:rsidRPr="00890C68" w:rsidTr="000A55BD">
        <w:trPr>
          <w:trHeight w:val="142"/>
        </w:trPr>
        <w:tc>
          <w:tcPr>
            <w:tcW w:w="2061" w:type="dxa"/>
            <w:shd w:val="clear" w:color="auto" w:fill="auto"/>
          </w:tcPr>
          <w:p w:rsidR="00260F33" w:rsidRPr="00890C68" w:rsidRDefault="00260F33" w:rsidP="0072636A">
            <w:pPr>
              <w:spacing w:before="40" w:line="240" w:lineRule="auto"/>
              <w:jc w:val="center"/>
              <w:rPr>
                <w:rFonts w:ascii="Times New Roman" w:hAnsi="Times New Roman"/>
                <w:color w:val="000000"/>
                <w:spacing w:val="-2"/>
              </w:rPr>
            </w:pPr>
            <w:r w:rsidRPr="00890C68">
              <w:rPr>
                <w:rFonts w:ascii="Times New Roman" w:hAnsi="Times New Roman"/>
                <w:color w:val="000000"/>
                <w:spacing w:val="-2"/>
              </w:rPr>
              <w:t>Grupa</w:t>
            </w:r>
          </w:p>
        </w:tc>
        <w:tc>
          <w:tcPr>
            <w:tcW w:w="2399" w:type="dxa"/>
            <w:gridSpan w:val="5"/>
            <w:shd w:val="clear" w:color="auto" w:fill="auto"/>
          </w:tcPr>
          <w:p w:rsidR="00260F33" w:rsidRPr="00890C68" w:rsidRDefault="00563199" w:rsidP="0072636A">
            <w:pPr>
              <w:spacing w:before="40" w:line="240" w:lineRule="auto"/>
              <w:jc w:val="center"/>
              <w:rPr>
                <w:rFonts w:ascii="Times New Roman" w:hAnsi="Times New Roman"/>
                <w:color w:val="000000"/>
                <w:spacing w:val="-2"/>
              </w:rPr>
            </w:pPr>
            <w:r w:rsidRPr="00890C68">
              <w:rPr>
                <w:rFonts w:ascii="Times New Roman" w:hAnsi="Times New Roman"/>
                <w:color w:val="000000"/>
                <w:spacing w:val="-2"/>
              </w:rPr>
              <w:t>Wielkość</w:t>
            </w:r>
          </w:p>
        </w:tc>
        <w:tc>
          <w:tcPr>
            <w:tcW w:w="3415" w:type="dxa"/>
            <w:gridSpan w:val="5"/>
            <w:shd w:val="clear" w:color="auto" w:fill="auto"/>
          </w:tcPr>
          <w:p w:rsidR="00260F33" w:rsidRPr="00890C68" w:rsidRDefault="00260F33" w:rsidP="0072636A">
            <w:pPr>
              <w:spacing w:before="40" w:line="240" w:lineRule="auto"/>
              <w:jc w:val="center"/>
              <w:rPr>
                <w:rFonts w:ascii="Times New Roman" w:hAnsi="Times New Roman"/>
                <w:color w:val="000000"/>
                <w:spacing w:val="-2"/>
              </w:rPr>
            </w:pPr>
            <w:r w:rsidRPr="00890C68">
              <w:rPr>
                <w:rFonts w:ascii="Times New Roman" w:hAnsi="Times New Roman"/>
                <w:color w:val="000000"/>
                <w:spacing w:val="-2"/>
              </w:rPr>
              <w:t>Źródło danych</w:t>
            </w:r>
            <w:r w:rsidRPr="00890C68" w:rsidDel="00260F33">
              <w:rPr>
                <w:rFonts w:ascii="Times New Roman" w:hAnsi="Times New Roman"/>
                <w:color w:val="000000"/>
                <w:spacing w:val="-2"/>
              </w:rPr>
              <w:t xml:space="preserve"> </w:t>
            </w:r>
          </w:p>
        </w:tc>
        <w:tc>
          <w:tcPr>
            <w:tcW w:w="3182" w:type="dxa"/>
            <w:gridSpan w:val="4"/>
            <w:shd w:val="clear" w:color="auto" w:fill="auto"/>
          </w:tcPr>
          <w:p w:rsidR="00260F33" w:rsidRPr="00890C68" w:rsidRDefault="00260F33" w:rsidP="0072636A">
            <w:pPr>
              <w:spacing w:before="40" w:line="240" w:lineRule="auto"/>
              <w:jc w:val="center"/>
              <w:rPr>
                <w:rFonts w:ascii="Times New Roman" w:hAnsi="Times New Roman"/>
                <w:color w:val="000000"/>
                <w:spacing w:val="-2"/>
              </w:rPr>
            </w:pPr>
            <w:r w:rsidRPr="00890C68">
              <w:rPr>
                <w:rFonts w:ascii="Times New Roman" w:hAnsi="Times New Roman"/>
                <w:color w:val="000000"/>
                <w:spacing w:val="-2"/>
              </w:rPr>
              <w:t>Oddziaływanie</w:t>
            </w:r>
          </w:p>
        </w:tc>
      </w:tr>
      <w:tr w:rsidR="00260F33" w:rsidRPr="00890C68" w:rsidTr="000A55BD">
        <w:trPr>
          <w:trHeight w:val="8820"/>
        </w:trPr>
        <w:tc>
          <w:tcPr>
            <w:tcW w:w="2061" w:type="dxa"/>
            <w:shd w:val="clear" w:color="auto" w:fill="auto"/>
          </w:tcPr>
          <w:p w:rsidR="00260F33" w:rsidRPr="00890C68" w:rsidRDefault="00D705AD" w:rsidP="00A17CB2">
            <w:pPr>
              <w:spacing w:line="240" w:lineRule="auto"/>
              <w:rPr>
                <w:rFonts w:ascii="Times New Roman" w:hAnsi="Times New Roman"/>
                <w:color w:val="000000"/>
                <w:spacing w:val="-2"/>
              </w:rPr>
            </w:pPr>
            <w:r w:rsidRPr="00890C68">
              <w:rPr>
                <w:rFonts w:ascii="Times New Roman" w:hAnsi="Times New Roman"/>
                <w:color w:val="000000"/>
                <w:spacing w:val="-2"/>
              </w:rPr>
              <w:t>Prezes Urzędu Regulacji Energetyki</w:t>
            </w:r>
          </w:p>
        </w:tc>
        <w:tc>
          <w:tcPr>
            <w:tcW w:w="2399" w:type="dxa"/>
            <w:gridSpan w:val="5"/>
            <w:shd w:val="clear" w:color="auto" w:fill="auto"/>
          </w:tcPr>
          <w:p w:rsidR="00260F33" w:rsidRPr="00890C68" w:rsidRDefault="00D705AD" w:rsidP="00A17CB2">
            <w:pPr>
              <w:spacing w:line="240" w:lineRule="auto"/>
              <w:rPr>
                <w:rFonts w:ascii="Times New Roman" w:hAnsi="Times New Roman"/>
                <w:color w:val="000000"/>
                <w:spacing w:val="-2"/>
              </w:rPr>
            </w:pPr>
            <w:r w:rsidRPr="00890C68">
              <w:rPr>
                <w:rFonts w:ascii="Times New Roman" w:hAnsi="Times New Roman"/>
                <w:color w:val="000000"/>
                <w:spacing w:val="-2"/>
              </w:rPr>
              <w:t>1</w:t>
            </w:r>
          </w:p>
        </w:tc>
        <w:tc>
          <w:tcPr>
            <w:tcW w:w="3415" w:type="dxa"/>
            <w:gridSpan w:val="5"/>
            <w:shd w:val="clear" w:color="auto" w:fill="auto"/>
          </w:tcPr>
          <w:p w:rsidR="00260F33" w:rsidRPr="00890C68" w:rsidRDefault="00D705AD" w:rsidP="00A17CB2">
            <w:pPr>
              <w:spacing w:line="240" w:lineRule="auto"/>
              <w:rPr>
                <w:rFonts w:ascii="Times New Roman" w:hAnsi="Times New Roman"/>
                <w:color w:val="000000"/>
                <w:spacing w:val="-2"/>
              </w:rPr>
            </w:pPr>
            <w:r w:rsidRPr="00890C68">
              <w:rPr>
                <w:rFonts w:ascii="Times New Roman" w:hAnsi="Times New Roman"/>
                <w:color w:val="000000"/>
                <w:spacing w:val="-2"/>
              </w:rPr>
              <w:t>Teks ustawy</w:t>
            </w:r>
          </w:p>
        </w:tc>
        <w:tc>
          <w:tcPr>
            <w:tcW w:w="3182" w:type="dxa"/>
            <w:gridSpan w:val="4"/>
            <w:shd w:val="clear" w:color="auto" w:fill="auto"/>
          </w:tcPr>
          <w:p w:rsidR="00DE66BD" w:rsidRPr="00890C68" w:rsidRDefault="00DE66BD" w:rsidP="00EA14E8">
            <w:pPr>
              <w:spacing w:line="240" w:lineRule="auto"/>
              <w:rPr>
                <w:rFonts w:ascii="Times New Roman" w:hAnsi="Times New Roman"/>
                <w:color w:val="000000"/>
                <w:spacing w:val="-2"/>
              </w:rPr>
            </w:pPr>
            <w:r w:rsidRPr="00890C68">
              <w:rPr>
                <w:rFonts w:ascii="Times New Roman" w:hAnsi="Times New Roman"/>
                <w:color w:val="000000"/>
                <w:spacing w:val="-2"/>
              </w:rPr>
              <w:t>Pozytywne:</w:t>
            </w:r>
          </w:p>
          <w:p w:rsidR="00DE66BD" w:rsidRPr="00890C68" w:rsidRDefault="00DE66BD" w:rsidP="00EA14E8">
            <w:pPr>
              <w:spacing w:line="240" w:lineRule="auto"/>
              <w:rPr>
                <w:rFonts w:ascii="Times New Roman" w:hAnsi="Times New Roman"/>
                <w:color w:val="000000"/>
                <w:spacing w:val="-2"/>
              </w:rPr>
            </w:pPr>
            <w:r w:rsidRPr="00890C68">
              <w:rPr>
                <w:rFonts w:ascii="Times New Roman" w:hAnsi="Times New Roman"/>
                <w:color w:val="000000"/>
                <w:spacing w:val="-2"/>
              </w:rPr>
              <w:t>Ułatwienie wykonywania bezpośredniego nadzoru nad działalnością OSD, OI</w:t>
            </w:r>
            <w:r w:rsidR="00D20C65" w:rsidRPr="00890C68">
              <w:rPr>
                <w:rFonts w:ascii="Times New Roman" w:hAnsi="Times New Roman"/>
                <w:color w:val="000000"/>
                <w:spacing w:val="-2"/>
              </w:rPr>
              <w:t>RE</w:t>
            </w:r>
            <w:r w:rsidRPr="00890C68">
              <w:rPr>
                <w:rFonts w:ascii="Times New Roman" w:hAnsi="Times New Roman"/>
                <w:color w:val="000000"/>
                <w:spacing w:val="-2"/>
              </w:rPr>
              <w:t>, Sprzedawcami energii elektrycznej oraz dostęp do większej ilości zagregowanych danych pomiarowych w sektorze.</w:t>
            </w:r>
          </w:p>
          <w:p w:rsidR="00810D86" w:rsidRPr="00890C68" w:rsidRDefault="00810D86" w:rsidP="00891C9E">
            <w:pPr>
              <w:spacing w:line="240" w:lineRule="auto"/>
              <w:rPr>
                <w:rFonts w:ascii="Times New Roman" w:hAnsi="Times New Roman"/>
                <w:color w:val="000000"/>
                <w:spacing w:val="-2"/>
              </w:rPr>
            </w:pPr>
          </w:p>
        </w:tc>
      </w:tr>
      <w:tr w:rsidR="00810D86" w:rsidRPr="00890C68" w:rsidTr="000A55BD">
        <w:trPr>
          <w:trHeight w:val="576"/>
        </w:trPr>
        <w:tc>
          <w:tcPr>
            <w:tcW w:w="2061" w:type="dxa"/>
            <w:shd w:val="clear" w:color="auto" w:fill="auto"/>
          </w:tcPr>
          <w:p w:rsidR="004D0916" w:rsidRPr="004D0916" w:rsidRDefault="004D0916" w:rsidP="004D0916">
            <w:pPr>
              <w:spacing w:line="240" w:lineRule="auto"/>
              <w:rPr>
                <w:rFonts w:ascii="Times New Roman" w:hAnsi="Times New Roman"/>
                <w:color w:val="000000"/>
                <w:spacing w:val="-2"/>
              </w:rPr>
            </w:pPr>
            <w:r w:rsidRPr="004D0916">
              <w:rPr>
                <w:rFonts w:ascii="Times New Roman" w:hAnsi="Times New Roman"/>
                <w:color w:val="000000"/>
                <w:spacing w:val="-2"/>
              </w:rPr>
              <w:t>Podmioty dzi</w:t>
            </w:r>
            <w:r>
              <w:rPr>
                <w:rFonts w:ascii="Times New Roman" w:hAnsi="Times New Roman"/>
                <w:color w:val="000000"/>
                <w:spacing w:val="-2"/>
              </w:rPr>
              <w:t>ałające na rynku paliw ciekłych:</w:t>
            </w:r>
          </w:p>
          <w:p w:rsidR="004D0916" w:rsidRPr="004D0916" w:rsidRDefault="004D0916" w:rsidP="004D0916">
            <w:pPr>
              <w:spacing w:line="240" w:lineRule="auto"/>
              <w:rPr>
                <w:rFonts w:ascii="Times New Roman" w:hAnsi="Times New Roman"/>
                <w:color w:val="000000"/>
                <w:spacing w:val="-2"/>
              </w:rPr>
            </w:pPr>
            <w:r w:rsidRPr="004D0916">
              <w:rPr>
                <w:rFonts w:ascii="Times New Roman" w:hAnsi="Times New Roman"/>
                <w:color w:val="000000"/>
                <w:spacing w:val="-2"/>
              </w:rPr>
              <w:t xml:space="preserve">1) posiadające koncesje na </w:t>
            </w:r>
            <w:r w:rsidRPr="004D0916">
              <w:rPr>
                <w:rFonts w:ascii="Times New Roman" w:hAnsi="Times New Roman"/>
                <w:color w:val="000000"/>
                <w:spacing w:val="-2"/>
              </w:rPr>
              <w:lastRenderedPageBreak/>
              <w:t xml:space="preserve">wytwarzanie paliw ciekłych lub koncesje na obrót paliwami ciekłymi z zagranicą </w:t>
            </w:r>
          </w:p>
          <w:p w:rsidR="004D0916" w:rsidRPr="004D0916" w:rsidRDefault="004D0916" w:rsidP="004D0916">
            <w:pPr>
              <w:spacing w:line="240" w:lineRule="auto"/>
              <w:rPr>
                <w:rFonts w:ascii="Times New Roman" w:hAnsi="Times New Roman"/>
                <w:color w:val="000000"/>
                <w:spacing w:val="-2"/>
              </w:rPr>
            </w:pPr>
          </w:p>
          <w:p w:rsidR="004D0916" w:rsidRPr="004D0916" w:rsidRDefault="004D0916" w:rsidP="004D0916">
            <w:pPr>
              <w:spacing w:line="240" w:lineRule="auto"/>
              <w:rPr>
                <w:rFonts w:ascii="Times New Roman" w:hAnsi="Times New Roman"/>
                <w:color w:val="000000"/>
                <w:spacing w:val="-2"/>
              </w:rPr>
            </w:pPr>
            <w:r w:rsidRPr="004D0916">
              <w:rPr>
                <w:rFonts w:ascii="Times New Roman" w:hAnsi="Times New Roman"/>
                <w:color w:val="000000"/>
                <w:spacing w:val="-2"/>
              </w:rPr>
              <w:t>2) Posiadające koncesję na obrót paliwami ciekłymi</w:t>
            </w:r>
          </w:p>
          <w:p w:rsidR="004D0916" w:rsidRPr="004D0916" w:rsidRDefault="004D0916" w:rsidP="004D0916">
            <w:pPr>
              <w:spacing w:line="240" w:lineRule="auto"/>
              <w:rPr>
                <w:rFonts w:ascii="Times New Roman" w:hAnsi="Times New Roman"/>
                <w:color w:val="000000"/>
                <w:spacing w:val="-2"/>
              </w:rPr>
            </w:pPr>
          </w:p>
          <w:p w:rsidR="00810D86" w:rsidRPr="00890C68" w:rsidRDefault="004D0916" w:rsidP="004D0916">
            <w:pPr>
              <w:spacing w:line="240" w:lineRule="auto"/>
              <w:rPr>
                <w:rFonts w:ascii="Times New Roman" w:hAnsi="Times New Roman"/>
                <w:color w:val="000000"/>
                <w:spacing w:val="-2"/>
              </w:rPr>
            </w:pPr>
            <w:r w:rsidRPr="004D0916">
              <w:rPr>
                <w:rFonts w:ascii="Times New Roman" w:hAnsi="Times New Roman"/>
                <w:color w:val="000000"/>
                <w:spacing w:val="-2"/>
              </w:rPr>
              <w:t>3)podmioty przywożące</w:t>
            </w:r>
          </w:p>
        </w:tc>
        <w:tc>
          <w:tcPr>
            <w:tcW w:w="2399" w:type="dxa"/>
            <w:gridSpan w:val="5"/>
            <w:shd w:val="clear" w:color="auto" w:fill="auto"/>
          </w:tcPr>
          <w:p w:rsidR="00810D86" w:rsidRPr="00890C68" w:rsidRDefault="00810D86" w:rsidP="00A17CB2">
            <w:pPr>
              <w:spacing w:line="240" w:lineRule="auto"/>
              <w:rPr>
                <w:rFonts w:ascii="Times New Roman" w:hAnsi="Times New Roman"/>
                <w:color w:val="000000"/>
                <w:spacing w:val="-2"/>
              </w:rPr>
            </w:pPr>
          </w:p>
          <w:p w:rsidR="004D0916" w:rsidRDefault="004D0916" w:rsidP="004D0916">
            <w:pPr>
              <w:spacing w:line="240" w:lineRule="auto"/>
              <w:rPr>
                <w:rFonts w:ascii="Times New Roman" w:hAnsi="Times New Roman"/>
                <w:color w:val="000000"/>
                <w:spacing w:val="-2"/>
              </w:rPr>
            </w:pPr>
          </w:p>
          <w:p w:rsidR="004D0916" w:rsidRDefault="004D0916" w:rsidP="004D0916">
            <w:pPr>
              <w:spacing w:line="240" w:lineRule="auto"/>
              <w:rPr>
                <w:rFonts w:ascii="Times New Roman" w:hAnsi="Times New Roman"/>
                <w:color w:val="000000"/>
                <w:spacing w:val="-2"/>
              </w:rPr>
            </w:pPr>
          </w:p>
          <w:p w:rsidR="004D0916" w:rsidRDefault="004D0916" w:rsidP="004D0916">
            <w:pPr>
              <w:spacing w:line="240" w:lineRule="auto"/>
              <w:rPr>
                <w:rFonts w:ascii="Times New Roman" w:hAnsi="Times New Roman"/>
                <w:color w:val="000000"/>
                <w:spacing w:val="-2"/>
              </w:rPr>
            </w:pPr>
          </w:p>
          <w:p w:rsidR="004D0916" w:rsidRPr="004D0916" w:rsidRDefault="004D0916" w:rsidP="004D0916">
            <w:pPr>
              <w:spacing w:line="240" w:lineRule="auto"/>
              <w:rPr>
                <w:rFonts w:ascii="Times New Roman" w:hAnsi="Times New Roman"/>
                <w:color w:val="000000"/>
                <w:spacing w:val="-2"/>
              </w:rPr>
            </w:pPr>
            <w:r w:rsidRPr="004D0916">
              <w:rPr>
                <w:rFonts w:ascii="Times New Roman" w:hAnsi="Times New Roman"/>
                <w:color w:val="000000"/>
                <w:spacing w:val="-2"/>
              </w:rPr>
              <w:t>ok. 50</w:t>
            </w:r>
          </w:p>
          <w:p w:rsidR="004D0916" w:rsidRPr="004D0916" w:rsidRDefault="004D0916" w:rsidP="004D0916">
            <w:pPr>
              <w:spacing w:line="240" w:lineRule="auto"/>
              <w:rPr>
                <w:rFonts w:ascii="Times New Roman" w:hAnsi="Times New Roman"/>
                <w:color w:val="000000"/>
                <w:spacing w:val="-2"/>
              </w:rPr>
            </w:pPr>
          </w:p>
          <w:p w:rsidR="004D0916" w:rsidRPr="004D0916" w:rsidRDefault="004D0916" w:rsidP="004D0916">
            <w:pPr>
              <w:spacing w:line="240" w:lineRule="auto"/>
              <w:rPr>
                <w:rFonts w:ascii="Times New Roman" w:hAnsi="Times New Roman"/>
                <w:color w:val="000000"/>
                <w:spacing w:val="-2"/>
              </w:rPr>
            </w:pPr>
          </w:p>
          <w:p w:rsidR="004D0916" w:rsidRPr="004D0916" w:rsidRDefault="004D0916" w:rsidP="004D0916">
            <w:pPr>
              <w:spacing w:line="240" w:lineRule="auto"/>
              <w:rPr>
                <w:rFonts w:ascii="Times New Roman" w:hAnsi="Times New Roman"/>
                <w:color w:val="000000"/>
                <w:spacing w:val="-2"/>
              </w:rPr>
            </w:pPr>
          </w:p>
          <w:p w:rsidR="004D0916" w:rsidRPr="004D0916" w:rsidRDefault="004D0916" w:rsidP="004D0916">
            <w:pPr>
              <w:spacing w:line="240" w:lineRule="auto"/>
              <w:rPr>
                <w:rFonts w:ascii="Times New Roman" w:hAnsi="Times New Roman"/>
                <w:color w:val="000000"/>
                <w:spacing w:val="-2"/>
              </w:rPr>
            </w:pPr>
          </w:p>
          <w:p w:rsidR="004D0916" w:rsidRPr="004D0916" w:rsidRDefault="004D0916" w:rsidP="004D0916">
            <w:pPr>
              <w:spacing w:line="240" w:lineRule="auto"/>
              <w:rPr>
                <w:rFonts w:ascii="Times New Roman" w:hAnsi="Times New Roman"/>
                <w:color w:val="000000"/>
                <w:spacing w:val="-2"/>
              </w:rPr>
            </w:pPr>
          </w:p>
          <w:p w:rsidR="004D0916" w:rsidRPr="004D0916" w:rsidRDefault="004D0916" w:rsidP="004D0916">
            <w:pPr>
              <w:spacing w:line="240" w:lineRule="auto"/>
              <w:rPr>
                <w:rFonts w:ascii="Times New Roman" w:hAnsi="Times New Roman"/>
                <w:color w:val="000000"/>
                <w:spacing w:val="-2"/>
              </w:rPr>
            </w:pPr>
          </w:p>
          <w:p w:rsidR="004D0916" w:rsidRPr="004D0916" w:rsidRDefault="004D0916" w:rsidP="004D0916">
            <w:pPr>
              <w:spacing w:line="240" w:lineRule="auto"/>
              <w:rPr>
                <w:rFonts w:ascii="Times New Roman" w:hAnsi="Times New Roman"/>
                <w:color w:val="000000"/>
                <w:spacing w:val="-2"/>
              </w:rPr>
            </w:pPr>
          </w:p>
          <w:p w:rsidR="004D0916" w:rsidRPr="004D0916" w:rsidRDefault="004D0916" w:rsidP="004D0916">
            <w:pPr>
              <w:spacing w:line="240" w:lineRule="auto"/>
              <w:rPr>
                <w:rFonts w:ascii="Times New Roman" w:hAnsi="Times New Roman"/>
                <w:color w:val="000000"/>
                <w:spacing w:val="-2"/>
              </w:rPr>
            </w:pPr>
            <w:r w:rsidRPr="004D0916">
              <w:rPr>
                <w:rFonts w:ascii="Times New Roman" w:hAnsi="Times New Roman"/>
                <w:color w:val="000000"/>
                <w:spacing w:val="-2"/>
              </w:rPr>
              <w:t>5945</w:t>
            </w:r>
          </w:p>
          <w:p w:rsidR="004D0916" w:rsidRPr="004D0916" w:rsidRDefault="004D0916" w:rsidP="004D0916">
            <w:pPr>
              <w:spacing w:line="240" w:lineRule="auto"/>
              <w:rPr>
                <w:rFonts w:ascii="Times New Roman" w:hAnsi="Times New Roman"/>
                <w:color w:val="000000"/>
                <w:spacing w:val="-2"/>
              </w:rPr>
            </w:pPr>
          </w:p>
          <w:p w:rsidR="004D0916" w:rsidRPr="004D0916" w:rsidRDefault="004D0916" w:rsidP="004D0916">
            <w:pPr>
              <w:spacing w:line="240" w:lineRule="auto"/>
              <w:rPr>
                <w:rFonts w:ascii="Times New Roman" w:hAnsi="Times New Roman"/>
                <w:color w:val="000000"/>
                <w:spacing w:val="-2"/>
              </w:rPr>
            </w:pPr>
          </w:p>
          <w:p w:rsidR="004D0916" w:rsidRPr="004D0916" w:rsidRDefault="004D0916" w:rsidP="004D0916">
            <w:pPr>
              <w:spacing w:line="240" w:lineRule="auto"/>
              <w:rPr>
                <w:rFonts w:ascii="Times New Roman" w:hAnsi="Times New Roman"/>
                <w:color w:val="000000"/>
                <w:spacing w:val="-2"/>
              </w:rPr>
            </w:pPr>
          </w:p>
          <w:p w:rsidR="00810D86" w:rsidRPr="00890C68" w:rsidRDefault="004D0916" w:rsidP="004D0916">
            <w:pPr>
              <w:spacing w:line="240" w:lineRule="auto"/>
              <w:rPr>
                <w:rFonts w:ascii="Times New Roman" w:hAnsi="Times New Roman"/>
                <w:color w:val="000000"/>
                <w:spacing w:val="-2"/>
              </w:rPr>
            </w:pPr>
            <w:r w:rsidRPr="004D0916">
              <w:rPr>
                <w:rFonts w:ascii="Times New Roman" w:hAnsi="Times New Roman"/>
                <w:color w:val="000000"/>
                <w:spacing w:val="-2"/>
              </w:rPr>
              <w:t>447</w:t>
            </w:r>
          </w:p>
          <w:p w:rsidR="00810D86" w:rsidRPr="00890C68" w:rsidRDefault="00810D86" w:rsidP="00A17CB2">
            <w:pPr>
              <w:spacing w:line="240" w:lineRule="auto"/>
              <w:rPr>
                <w:rFonts w:ascii="Times New Roman" w:hAnsi="Times New Roman"/>
                <w:color w:val="000000"/>
                <w:spacing w:val="-2"/>
              </w:rPr>
            </w:pPr>
          </w:p>
          <w:p w:rsidR="00810D86" w:rsidRPr="00890C68" w:rsidRDefault="00810D86" w:rsidP="00A17CB2">
            <w:pPr>
              <w:spacing w:line="240" w:lineRule="auto"/>
              <w:rPr>
                <w:rFonts w:ascii="Times New Roman" w:hAnsi="Times New Roman"/>
                <w:color w:val="000000"/>
                <w:spacing w:val="-2"/>
              </w:rPr>
            </w:pPr>
          </w:p>
          <w:p w:rsidR="00810D86" w:rsidRPr="00890C68" w:rsidRDefault="00810D86" w:rsidP="00A17CB2">
            <w:pPr>
              <w:spacing w:line="240" w:lineRule="auto"/>
              <w:rPr>
                <w:rFonts w:ascii="Times New Roman" w:hAnsi="Times New Roman"/>
                <w:color w:val="000000"/>
                <w:spacing w:val="-2"/>
              </w:rPr>
            </w:pPr>
          </w:p>
          <w:p w:rsidR="00810D86" w:rsidRPr="00890C68" w:rsidRDefault="00810D86" w:rsidP="00A17CB2">
            <w:pPr>
              <w:spacing w:line="240" w:lineRule="auto"/>
              <w:rPr>
                <w:rFonts w:ascii="Times New Roman" w:hAnsi="Times New Roman"/>
                <w:color w:val="000000"/>
                <w:spacing w:val="-2"/>
              </w:rPr>
            </w:pPr>
          </w:p>
        </w:tc>
        <w:tc>
          <w:tcPr>
            <w:tcW w:w="3415" w:type="dxa"/>
            <w:gridSpan w:val="5"/>
            <w:shd w:val="clear" w:color="auto" w:fill="auto"/>
          </w:tcPr>
          <w:p w:rsidR="00810D86" w:rsidRPr="00890C68" w:rsidRDefault="004D0916" w:rsidP="00A17CB2">
            <w:pPr>
              <w:spacing w:line="240" w:lineRule="auto"/>
              <w:rPr>
                <w:rFonts w:ascii="Times New Roman" w:hAnsi="Times New Roman"/>
                <w:color w:val="000000"/>
                <w:spacing w:val="-2"/>
              </w:rPr>
            </w:pPr>
            <w:r>
              <w:rPr>
                <w:rFonts w:ascii="Times New Roman" w:hAnsi="Times New Roman"/>
                <w:color w:val="000000"/>
                <w:spacing w:val="-2"/>
              </w:rPr>
              <w:lastRenderedPageBreak/>
              <w:t>Dane z rejestrów URE  (stan na</w:t>
            </w:r>
            <w:r w:rsidRPr="004D0916">
              <w:rPr>
                <w:rFonts w:ascii="Times New Roman" w:hAnsi="Times New Roman"/>
                <w:color w:val="000000"/>
                <w:spacing w:val="-2"/>
              </w:rPr>
              <w:t xml:space="preserve"> 02.2020)</w:t>
            </w:r>
          </w:p>
        </w:tc>
        <w:tc>
          <w:tcPr>
            <w:tcW w:w="3182" w:type="dxa"/>
            <w:gridSpan w:val="4"/>
            <w:shd w:val="clear" w:color="auto" w:fill="auto"/>
          </w:tcPr>
          <w:p w:rsidR="0018521D" w:rsidRPr="0018521D" w:rsidRDefault="0018521D" w:rsidP="0018521D">
            <w:pPr>
              <w:spacing w:line="240" w:lineRule="auto"/>
              <w:rPr>
                <w:rFonts w:ascii="Times New Roman" w:hAnsi="Times New Roman"/>
                <w:color w:val="000000"/>
                <w:spacing w:val="-2"/>
              </w:rPr>
            </w:pPr>
            <w:r w:rsidRPr="0018521D">
              <w:rPr>
                <w:rFonts w:ascii="Times New Roman" w:hAnsi="Times New Roman"/>
                <w:color w:val="000000"/>
                <w:spacing w:val="-2"/>
              </w:rPr>
              <w:t>- dodatkowy obowiązek sprawozdawczy w przypadku zmian struktury właśnościowej (pkt 1 i 2)</w:t>
            </w:r>
          </w:p>
          <w:p w:rsidR="00810D86" w:rsidRPr="00890C68" w:rsidRDefault="0018521D" w:rsidP="0018521D">
            <w:pPr>
              <w:spacing w:line="240" w:lineRule="auto"/>
              <w:rPr>
                <w:rFonts w:ascii="Times New Roman" w:hAnsi="Times New Roman"/>
                <w:color w:val="000000"/>
                <w:spacing w:val="-2"/>
              </w:rPr>
            </w:pPr>
            <w:r w:rsidRPr="0018521D">
              <w:rPr>
                <w:rFonts w:ascii="Times New Roman" w:hAnsi="Times New Roman"/>
                <w:color w:val="000000"/>
                <w:spacing w:val="-2"/>
              </w:rPr>
              <w:lastRenderedPageBreak/>
              <w:t>- dodatkowy wymóg posiadania rękojmi do prowadzenia działalności (pkt 1-3)</w:t>
            </w:r>
          </w:p>
        </w:tc>
      </w:tr>
      <w:tr w:rsidR="00260F33" w:rsidRPr="00890C68" w:rsidTr="000A55BD">
        <w:trPr>
          <w:trHeight w:val="142"/>
        </w:trPr>
        <w:tc>
          <w:tcPr>
            <w:tcW w:w="2061" w:type="dxa"/>
            <w:shd w:val="clear" w:color="auto" w:fill="auto"/>
          </w:tcPr>
          <w:p w:rsidR="00260F33" w:rsidRPr="00890C68" w:rsidRDefault="00D705AD" w:rsidP="0072636A">
            <w:pPr>
              <w:tabs>
                <w:tab w:val="left" w:pos="1560"/>
              </w:tabs>
              <w:spacing w:line="240" w:lineRule="auto"/>
              <w:rPr>
                <w:rFonts w:ascii="Times New Roman" w:hAnsi="Times New Roman"/>
                <w:color w:val="000000"/>
              </w:rPr>
            </w:pPr>
            <w:r w:rsidRPr="00890C68">
              <w:rPr>
                <w:rFonts w:ascii="Times New Roman" w:hAnsi="Times New Roman"/>
                <w:color w:val="000000"/>
              </w:rPr>
              <w:lastRenderedPageBreak/>
              <w:t>Towarowa Giełda Energii</w:t>
            </w:r>
          </w:p>
        </w:tc>
        <w:tc>
          <w:tcPr>
            <w:tcW w:w="2399" w:type="dxa"/>
            <w:gridSpan w:val="5"/>
            <w:shd w:val="clear" w:color="auto" w:fill="auto"/>
          </w:tcPr>
          <w:p w:rsidR="00260F33" w:rsidRPr="00890C68" w:rsidRDefault="00D705AD" w:rsidP="00A17CB2">
            <w:pPr>
              <w:spacing w:line="240" w:lineRule="auto"/>
              <w:rPr>
                <w:rFonts w:ascii="Times New Roman" w:hAnsi="Times New Roman"/>
                <w:color w:val="000000"/>
                <w:spacing w:val="-2"/>
              </w:rPr>
            </w:pPr>
            <w:r w:rsidRPr="00890C68">
              <w:rPr>
                <w:rFonts w:ascii="Times New Roman" w:hAnsi="Times New Roman"/>
                <w:color w:val="000000"/>
                <w:spacing w:val="-2"/>
              </w:rPr>
              <w:t>1</w:t>
            </w:r>
          </w:p>
        </w:tc>
        <w:tc>
          <w:tcPr>
            <w:tcW w:w="3415" w:type="dxa"/>
            <w:gridSpan w:val="5"/>
            <w:shd w:val="clear" w:color="auto" w:fill="auto"/>
          </w:tcPr>
          <w:p w:rsidR="00260F33" w:rsidRPr="00890C68" w:rsidRDefault="00D705AD" w:rsidP="00A17CB2">
            <w:pPr>
              <w:spacing w:line="240" w:lineRule="auto"/>
              <w:rPr>
                <w:rFonts w:ascii="Times New Roman" w:hAnsi="Times New Roman"/>
                <w:color w:val="000000"/>
                <w:spacing w:val="-2"/>
              </w:rPr>
            </w:pPr>
            <w:r w:rsidRPr="00890C68">
              <w:rPr>
                <w:rFonts w:ascii="Times New Roman" w:hAnsi="Times New Roman"/>
                <w:color w:val="000000"/>
                <w:spacing w:val="-2"/>
              </w:rPr>
              <w:t>Tekst ustawy</w:t>
            </w:r>
          </w:p>
        </w:tc>
        <w:tc>
          <w:tcPr>
            <w:tcW w:w="3182" w:type="dxa"/>
            <w:gridSpan w:val="4"/>
            <w:shd w:val="clear" w:color="auto" w:fill="auto"/>
          </w:tcPr>
          <w:p w:rsidR="00F272FA" w:rsidRPr="00890C68" w:rsidRDefault="00F272FA" w:rsidP="00A17CB2">
            <w:pPr>
              <w:spacing w:line="240" w:lineRule="auto"/>
              <w:rPr>
                <w:rFonts w:ascii="Times New Roman" w:hAnsi="Times New Roman"/>
                <w:color w:val="000000"/>
                <w:spacing w:val="-2"/>
              </w:rPr>
            </w:pPr>
            <w:r w:rsidRPr="00890C68">
              <w:rPr>
                <w:rFonts w:ascii="Times New Roman" w:hAnsi="Times New Roman"/>
                <w:color w:val="000000"/>
                <w:spacing w:val="-2"/>
              </w:rPr>
              <w:t>Pozytywne:</w:t>
            </w:r>
          </w:p>
          <w:p w:rsidR="00260F33" w:rsidRPr="00890C68" w:rsidRDefault="00EA14E8" w:rsidP="00A17CB2">
            <w:pPr>
              <w:spacing w:line="240" w:lineRule="auto"/>
              <w:rPr>
                <w:rFonts w:ascii="Times New Roman" w:hAnsi="Times New Roman"/>
                <w:color w:val="000000"/>
                <w:spacing w:val="-2"/>
              </w:rPr>
            </w:pPr>
            <w:r w:rsidRPr="00890C68">
              <w:rPr>
                <w:rFonts w:ascii="Times New Roman" w:hAnsi="Times New Roman"/>
                <w:color w:val="000000"/>
                <w:spacing w:val="-2"/>
              </w:rPr>
              <w:t>Stosowanie</w:t>
            </w:r>
            <w:r w:rsidR="00D705AD" w:rsidRPr="00890C68">
              <w:rPr>
                <w:rFonts w:ascii="Times New Roman" w:hAnsi="Times New Roman"/>
                <w:color w:val="000000"/>
                <w:spacing w:val="-2"/>
              </w:rPr>
              <w:t xml:space="preserve"> przepisów Rozporządzenia 2015/1222  jako Nominowany Operator Rynku Energii (NEMO)</w:t>
            </w:r>
            <w:r w:rsidRPr="00890C68">
              <w:rPr>
                <w:rFonts w:ascii="Times New Roman" w:hAnsi="Times New Roman"/>
                <w:color w:val="000000"/>
                <w:spacing w:val="-2"/>
              </w:rPr>
              <w:t>. Wpływ – pozytywny: TGE pełnym uczestnikiem na rynku europejskim.</w:t>
            </w:r>
          </w:p>
          <w:p w:rsidR="00870E82" w:rsidRPr="00890C68" w:rsidRDefault="00870E82" w:rsidP="00A17CB2">
            <w:pPr>
              <w:spacing w:line="240" w:lineRule="auto"/>
              <w:rPr>
                <w:rFonts w:ascii="Times New Roman" w:hAnsi="Times New Roman"/>
                <w:color w:val="000000"/>
                <w:spacing w:val="-2"/>
              </w:rPr>
            </w:pPr>
          </w:p>
        </w:tc>
      </w:tr>
      <w:tr w:rsidR="00260F33" w:rsidRPr="00890C68" w:rsidTr="000A55BD">
        <w:trPr>
          <w:trHeight w:val="300"/>
        </w:trPr>
        <w:tc>
          <w:tcPr>
            <w:tcW w:w="2061" w:type="dxa"/>
            <w:shd w:val="clear" w:color="auto" w:fill="auto"/>
          </w:tcPr>
          <w:p w:rsidR="00D705AD" w:rsidRPr="00890C68" w:rsidRDefault="00D705AD" w:rsidP="0072636A">
            <w:pPr>
              <w:tabs>
                <w:tab w:val="left" w:pos="1560"/>
              </w:tabs>
              <w:spacing w:line="240" w:lineRule="auto"/>
              <w:rPr>
                <w:rFonts w:ascii="Times New Roman" w:hAnsi="Times New Roman"/>
                <w:color w:val="000000"/>
              </w:rPr>
            </w:pPr>
            <w:r w:rsidRPr="00890C68">
              <w:rPr>
                <w:rFonts w:ascii="Times New Roman" w:hAnsi="Times New Roman"/>
                <w:color w:val="000000"/>
              </w:rPr>
              <w:t>Sprzedawcy energii el. i gazu</w:t>
            </w:r>
          </w:p>
        </w:tc>
        <w:tc>
          <w:tcPr>
            <w:tcW w:w="2399" w:type="dxa"/>
            <w:gridSpan w:val="5"/>
            <w:shd w:val="clear" w:color="auto" w:fill="auto"/>
          </w:tcPr>
          <w:p w:rsidR="00260F33" w:rsidRPr="00890C68" w:rsidRDefault="00D705AD" w:rsidP="00A17CB2">
            <w:pPr>
              <w:spacing w:line="240" w:lineRule="auto"/>
              <w:rPr>
                <w:rFonts w:ascii="Times New Roman" w:hAnsi="Times New Roman"/>
                <w:color w:val="000000"/>
                <w:spacing w:val="-2"/>
              </w:rPr>
            </w:pPr>
            <w:r w:rsidRPr="00890C68">
              <w:rPr>
                <w:rFonts w:ascii="Times New Roman" w:hAnsi="Times New Roman"/>
                <w:color w:val="000000"/>
                <w:spacing w:val="-2"/>
              </w:rPr>
              <w:t>656</w:t>
            </w:r>
          </w:p>
        </w:tc>
        <w:tc>
          <w:tcPr>
            <w:tcW w:w="3415" w:type="dxa"/>
            <w:gridSpan w:val="5"/>
            <w:shd w:val="clear" w:color="auto" w:fill="auto"/>
          </w:tcPr>
          <w:p w:rsidR="00260F33" w:rsidRPr="00890C68" w:rsidRDefault="00D705AD" w:rsidP="00A17CB2">
            <w:pPr>
              <w:spacing w:line="240" w:lineRule="auto"/>
              <w:rPr>
                <w:rFonts w:ascii="Times New Roman" w:hAnsi="Times New Roman"/>
                <w:color w:val="000000"/>
                <w:spacing w:val="-2"/>
              </w:rPr>
            </w:pPr>
            <w:r w:rsidRPr="00890C68">
              <w:rPr>
                <w:rFonts w:ascii="Times New Roman" w:hAnsi="Times New Roman"/>
                <w:color w:val="000000"/>
                <w:spacing w:val="-2"/>
              </w:rPr>
              <w:t>Sprawozdanie z działalności Prezesa Urzędu Regulacji Energetyki w 2016 r.</w:t>
            </w:r>
          </w:p>
        </w:tc>
        <w:tc>
          <w:tcPr>
            <w:tcW w:w="3182" w:type="dxa"/>
            <w:gridSpan w:val="4"/>
            <w:shd w:val="clear" w:color="auto" w:fill="auto"/>
          </w:tcPr>
          <w:p w:rsidR="00DE66BD" w:rsidRPr="00890C68" w:rsidRDefault="00DE66BD" w:rsidP="00A17CB2">
            <w:pPr>
              <w:spacing w:line="240" w:lineRule="auto"/>
              <w:rPr>
                <w:rFonts w:ascii="Times New Roman" w:hAnsi="Times New Roman"/>
                <w:color w:val="000000"/>
                <w:spacing w:val="-2"/>
              </w:rPr>
            </w:pPr>
            <w:r w:rsidRPr="00890C68">
              <w:rPr>
                <w:rFonts w:ascii="Times New Roman" w:hAnsi="Times New Roman"/>
                <w:color w:val="000000"/>
                <w:spacing w:val="-2"/>
              </w:rPr>
              <w:t>Pozytywne</w:t>
            </w:r>
            <w:r w:rsidR="00EA14E8" w:rsidRPr="00890C68">
              <w:rPr>
                <w:rFonts w:ascii="Times New Roman" w:hAnsi="Times New Roman"/>
                <w:color w:val="000000"/>
                <w:spacing w:val="-2"/>
              </w:rPr>
              <w:t xml:space="preserve">: </w:t>
            </w:r>
          </w:p>
          <w:p w:rsidR="00260F33" w:rsidRPr="00890C68" w:rsidRDefault="00F272FA" w:rsidP="00A17CB2">
            <w:pPr>
              <w:spacing w:line="240" w:lineRule="auto"/>
              <w:rPr>
                <w:rFonts w:ascii="Times New Roman" w:hAnsi="Times New Roman"/>
                <w:color w:val="000000"/>
                <w:spacing w:val="-2"/>
              </w:rPr>
            </w:pPr>
            <w:r w:rsidRPr="00890C68">
              <w:rPr>
                <w:rFonts w:ascii="Times New Roman" w:hAnsi="Times New Roman"/>
                <w:color w:val="000000"/>
                <w:spacing w:val="-2"/>
              </w:rPr>
              <w:t xml:space="preserve">1) </w:t>
            </w:r>
            <w:r w:rsidR="00DE66BD" w:rsidRPr="00890C68">
              <w:rPr>
                <w:rFonts w:ascii="Times New Roman" w:hAnsi="Times New Roman"/>
                <w:color w:val="000000"/>
                <w:spacing w:val="-2"/>
              </w:rPr>
              <w:t>K</w:t>
            </w:r>
            <w:r w:rsidR="00D705AD" w:rsidRPr="00890C68">
              <w:rPr>
                <w:rFonts w:ascii="Times New Roman" w:hAnsi="Times New Roman"/>
                <w:color w:val="000000"/>
                <w:spacing w:val="-2"/>
              </w:rPr>
              <w:t>onkurencyjne zasady relacji umownych pomiędzy sprzedawcą a OSD lub OSP</w:t>
            </w:r>
            <w:r w:rsidR="00EA14E8" w:rsidRPr="00890C68">
              <w:rPr>
                <w:rFonts w:ascii="Times New Roman" w:hAnsi="Times New Roman"/>
                <w:color w:val="000000"/>
                <w:spacing w:val="-2"/>
              </w:rPr>
              <w:t>.</w:t>
            </w:r>
          </w:p>
          <w:p w:rsidR="00F272FA" w:rsidRPr="00890C68" w:rsidRDefault="00F272FA" w:rsidP="00A17CB2">
            <w:pPr>
              <w:spacing w:line="240" w:lineRule="auto"/>
              <w:rPr>
                <w:rFonts w:ascii="Times New Roman" w:hAnsi="Times New Roman"/>
                <w:color w:val="000000"/>
                <w:spacing w:val="-2"/>
              </w:rPr>
            </w:pPr>
            <w:r w:rsidRPr="00890C68">
              <w:rPr>
                <w:rFonts w:ascii="Times New Roman" w:hAnsi="Times New Roman"/>
                <w:color w:val="000000"/>
                <w:spacing w:val="-2"/>
              </w:rPr>
              <w:t>2) Obniżenie czasu do wystawienia faktury prawdopodobnie przełoży się na skuteczność naliczania należności i jej późniejszego egzekwowania od odbiorcy końcowego, za sprawą wykorzystania informacji i danych pozyskiwanych przy pomocy licznika inteligentnego. Skrócenie czasu trwania procedury zmiany sprzedawcy i zmniejszenie jej kosztów.</w:t>
            </w:r>
          </w:p>
          <w:p w:rsidR="00870E82" w:rsidRPr="00890C68" w:rsidRDefault="00870E82" w:rsidP="00A17CB2">
            <w:pPr>
              <w:spacing w:line="240" w:lineRule="auto"/>
              <w:rPr>
                <w:rFonts w:ascii="Times New Roman" w:hAnsi="Times New Roman"/>
                <w:color w:val="000000"/>
                <w:spacing w:val="-2"/>
              </w:rPr>
            </w:pPr>
          </w:p>
        </w:tc>
      </w:tr>
      <w:tr w:rsidR="00DE66BD" w:rsidRPr="00890C68" w:rsidTr="000A55BD">
        <w:trPr>
          <w:trHeight w:val="4332"/>
        </w:trPr>
        <w:tc>
          <w:tcPr>
            <w:tcW w:w="2061" w:type="dxa"/>
            <w:shd w:val="clear" w:color="auto" w:fill="auto"/>
          </w:tcPr>
          <w:p w:rsidR="00DE66BD" w:rsidRPr="00890C68" w:rsidRDefault="00870E82" w:rsidP="0072636A">
            <w:pPr>
              <w:tabs>
                <w:tab w:val="left" w:pos="1560"/>
              </w:tabs>
              <w:spacing w:line="240" w:lineRule="auto"/>
              <w:rPr>
                <w:rFonts w:ascii="Times New Roman" w:hAnsi="Times New Roman"/>
                <w:color w:val="000000"/>
              </w:rPr>
            </w:pPr>
            <w:r w:rsidRPr="00890C68">
              <w:rPr>
                <w:rFonts w:ascii="Times New Roman" w:hAnsi="Times New Roman"/>
                <w:color w:val="000000"/>
              </w:rPr>
              <w:t>Operatorzy Systemów Dystrybucyjnych</w:t>
            </w:r>
            <w:r w:rsidR="0042368F" w:rsidRPr="00890C68">
              <w:rPr>
                <w:rFonts w:ascii="Times New Roman" w:hAnsi="Times New Roman"/>
                <w:color w:val="000000"/>
              </w:rPr>
              <w:t xml:space="preserve"> (OSD)</w:t>
            </w:r>
          </w:p>
        </w:tc>
        <w:tc>
          <w:tcPr>
            <w:tcW w:w="2399" w:type="dxa"/>
            <w:gridSpan w:val="5"/>
            <w:shd w:val="clear" w:color="auto" w:fill="auto"/>
          </w:tcPr>
          <w:p w:rsidR="00DE66BD" w:rsidRPr="00890C68" w:rsidRDefault="0042368F" w:rsidP="00A17CB2">
            <w:pPr>
              <w:spacing w:line="240" w:lineRule="auto"/>
              <w:rPr>
                <w:rFonts w:ascii="Times New Roman" w:hAnsi="Times New Roman"/>
                <w:color w:val="000000"/>
                <w:spacing w:val="-2"/>
              </w:rPr>
            </w:pPr>
            <w:r w:rsidRPr="00890C68">
              <w:rPr>
                <w:rFonts w:ascii="Times New Roman" w:hAnsi="Times New Roman"/>
                <w:color w:val="000000"/>
                <w:spacing w:val="-2"/>
              </w:rPr>
              <w:t>236</w:t>
            </w:r>
          </w:p>
          <w:p w:rsidR="00DE66BD" w:rsidRPr="00890C68" w:rsidRDefault="00DE66BD" w:rsidP="00A17CB2">
            <w:pPr>
              <w:spacing w:line="240" w:lineRule="auto"/>
              <w:rPr>
                <w:rFonts w:ascii="Times New Roman" w:hAnsi="Times New Roman"/>
                <w:color w:val="000000"/>
                <w:spacing w:val="-2"/>
              </w:rPr>
            </w:pPr>
          </w:p>
        </w:tc>
        <w:tc>
          <w:tcPr>
            <w:tcW w:w="3415" w:type="dxa"/>
            <w:gridSpan w:val="5"/>
            <w:shd w:val="clear" w:color="auto" w:fill="auto"/>
          </w:tcPr>
          <w:p w:rsidR="00DE66BD" w:rsidRPr="00890C68" w:rsidRDefault="00870E82" w:rsidP="00A17CB2">
            <w:pPr>
              <w:spacing w:line="240" w:lineRule="auto"/>
              <w:rPr>
                <w:rFonts w:ascii="Times New Roman" w:hAnsi="Times New Roman"/>
                <w:color w:val="000000"/>
                <w:spacing w:val="-2"/>
              </w:rPr>
            </w:pPr>
            <w:r w:rsidRPr="00890C68">
              <w:rPr>
                <w:rFonts w:ascii="Times New Roman" w:hAnsi="Times New Roman"/>
                <w:color w:val="000000"/>
                <w:spacing w:val="-2"/>
              </w:rPr>
              <w:t>BIP URE</w:t>
            </w:r>
          </w:p>
        </w:tc>
        <w:tc>
          <w:tcPr>
            <w:tcW w:w="3182" w:type="dxa"/>
            <w:gridSpan w:val="4"/>
            <w:shd w:val="clear" w:color="auto" w:fill="auto"/>
          </w:tcPr>
          <w:p w:rsidR="00DE66BD" w:rsidRPr="00890C68" w:rsidRDefault="00DE66BD" w:rsidP="00A17CB2">
            <w:pPr>
              <w:spacing w:line="240" w:lineRule="auto"/>
              <w:rPr>
                <w:rFonts w:ascii="Times New Roman" w:hAnsi="Times New Roman"/>
                <w:color w:val="000000"/>
                <w:spacing w:val="-2"/>
              </w:rPr>
            </w:pPr>
            <w:r w:rsidRPr="00890C68">
              <w:rPr>
                <w:rFonts w:ascii="Times New Roman" w:hAnsi="Times New Roman"/>
                <w:color w:val="000000"/>
                <w:spacing w:val="-2"/>
              </w:rPr>
              <w:t>Pozytywne :</w:t>
            </w:r>
          </w:p>
          <w:p w:rsidR="00DE66BD" w:rsidRPr="00890C68" w:rsidRDefault="00DE66BD" w:rsidP="00A17CB2">
            <w:pPr>
              <w:spacing w:line="240" w:lineRule="auto"/>
              <w:rPr>
                <w:rFonts w:ascii="Times New Roman" w:hAnsi="Times New Roman"/>
                <w:color w:val="000000"/>
                <w:spacing w:val="-2"/>
              </w:rPr>
            </w:pPr>
            <w:r w:rsidRPr="00890C68">
              <w:rPr>
                <w:rFonts w:ascii="Times New Roman" w:hAnsi="Times New Roman"/>
                <w:color w:val="000000"/>
                <w:spacing w:val="-2"/>
              </w:rPr>
              <w:t>1) Konkurencyjne zasady relacji umownych pomiędzy sprzedawcą a OSD lub OSP;</w:t>
            </w:r>
          </w:p>
          <w:p w:rsidR="0042368F" w:rsidRPr="00890C68" w:rsidRDefault="00DE66BD" w:rsidP="00A17CB2">
            <w:pPr>
              <w:spacing w:line="240" w:lineRule="auto"/>
              <w:rPr>
                <w:rFonts w:ascii="Times New Roman" w:hAnsi="Times New Roman"/>
                <w:color w:val="000000"/>
                <w:spacing w:val="-2"/>
              </w:rPr>
            </w:pPr>
            <w:r w:rsidRPr="00890C68">
              <w:rPr>
                <w:rFonts w:ascii="Times New Roman" w:hAnsi="Times New Roman"/>
                <w:color w:val="000000"/>
                <w:spacing w:val="-2"/>
              </w:rPr>
              <w:t>2) Obniżenie kosztów zabiegów eksploatacyjnych na licznikach dokonywanych u klienta, poprawa jakości dostaw energii elektrycznej dzięki właściwemu jej opomiarowaniu i łatwej identyfikacji miejsc wpływających na pogorszenie jakości dostaw, polepszenie skuteczności planowania zadań eksploatacyjnych, r</w:t>
            </w:r>
            <w:r w:rsidR="00870E82" w:rsidRPr="00890C68">
              <w:rPr>
                <w:rFonts w:ascii="Times New Roman" w:hAnsi="Times New Roman"/>
                <w:color w:val="000000"/>
                <w:spacing w:val="-2"/>
              </w:rPr>
              <w:t>emontów i prac modernizacyjnych.</w:t>
            </w:r>
          </w:p>
        </w:tc>
      </w:tr>
      <w:tr w:rsidR="0042368F" w:rsidRPr="00890C68" w:rsidTr="000A55BD">
        <w:trPr>
          <w:trHeight w:val="2196"/>
        </w:trPr>
        <w:tc>
          <w:tcPr>
            <w:tcW w:w="2061" w:type="dxa"/>
            <w:shd w:val="clear" w:color="auto" w:fill="auto"/>
          </w:tcPr>
          <w:p w:rsidR="00870E82" w:rsidRPr="00890C68" w:rsidRDefault="00870E82" w:rsidP="00870E82">
            <w:pPr>
              <w:tabs>
                <w:tab w:val="left" w:pos="1560"/>
              </w:tabs>
              <w:spacing w:line="240" w:lineRule="auto"/>
              <w:rPr>
                <w:rFonts w:ascii="Times New Roman" w:hAnsi="Times New Roman"/>
                <w:color w:val="000000"/>
              </w:rPr>
            </w:pPr>
            <w:r w:rsidRPr="00890C68">
              <w:rPr>
                <w:rFonts w:ascii="Times New Roman" w:hAnsi="Times New Roman"/>
                <w:color w:val="000000"/>
              </w:rPr>
              <w:lastRenderedPageBreak/>
              <w:t xml:space="preserve">Operator Systemu Przesyłowego </w:t>
            </w:r>
          </w:p>
          <w:p w:rsidR="0042368F" w:rsidRPr="00890C68" w:rsidRDefault="00870E82" w:rsidP="00870E82">
            <w:pPr>
              <w:tabs>
                <w:tab w:val="left" w:pos="1560"/>
              </w:tabs>
              <w:spacing w:line="240" w:lineRule="auto"/>
              <w:rPr>
                <w:rFonts w:ascii="Times New Roman" w:hAnsi="Times New Roman"/>
                <w:color w:val="000000"/>
              </w:rPr>
            </w:pPr>
            <w:r w:rsidRPr="00890C68">
              <w:rPr>
                <w:rFonts w:ascii="Times New Roman" w:hAnsi="Times New Roman"/>
                <w:color w:val="000000"/>
              </w:rPr>
              <w:t>(PSE S.A.)</w:t>
            </w:r>
          </w:p>
        </w:tc>
        <w:tc>
          <w:tcPr>
            <w:tcW w:w="2399" w:type="dxa"/>
            <w:gridSpan w:val="5"/>
            <w:shd w:val="clear" w:color="auto" w:fill="auto"/>
          </w:tcPr>
          <w:p w:rsidR="0042368F" w:rsidRPr="00890C68" w:rsidRDefault="00870E82" w:rsidP="00A17CB2">
            <w:pPr>
              <w:spacing w:line="240" w:lineRule="auto"/>
              <w:rPr>
                <w:rFonts w:ascii="Times New Roman" w:hAnsi="Times New Roman"/>
                <w:color w:val="000000"/>
                <w:spacing w:val="-2"/>
              </w:rPr>
            </w:pPr>
            <w:r w:rsidRPr="00890C68">
              <w:rPr>
                <w:rFonts w:ascii="Times New Roman" w:hAnsi="Times New Roman"/>
                <w:color w:val="000000"/>
                <w:spacing w:val="-2"/>
              </w:rPr>
              <w:t>1</w:t>
            </w:r>
          </w:p>
        </w:tc>
        <w:tc>
          <w:tcPr>
            <w:tcW w:w="3415" w:type="dxa"/>
            <w:gridSpan w:val="5"/>
            <w:shd w:val="clear" w:color="auto" w:fill="auto"/>
          </w:tcPr>
          <w:p w:rsidR="0042368F" w:rsidRPr="00890C68" w:rsidRDefault="00870E82" w:rsidP="00A17CB2">
            <w:pPr>
              <w:spacing w:line="240" w:lineRule="auto"/>
              <w:rPr>
                <w:rFonts w:ascii="Times New Roman" w:hAnsi="Times New Roman"/>
                <w:color w:val="000000"/>
                <w:spacing w:val="-2"/>
              </w:rPr>
            </w:pPr>
            <w:r w:rsidRPr="00890C68">
              <w:rPr>
                <w:rFonts w:ascii="Times New Roman" w:hAnsi="Times New Roman"/>
                <w:color w:val="000000"/>
                <w:spacing w:val="-2"/>
              </w:rPr>
              <w:t>BIP URE</w:t>
            </w:r>
          </w:p>
        </w:tc>
        <w:tc>
          <w:tcPr>
            <w:tcW w:w="3182" w:type="dxa"/>
            <w:gridSpan w:val="4"/>
            <w:shd w:val="clear" w:color="auto" w:fill="auto"/>
          </w:tcPr>
          <w:p w:rsidR="00870E82" w:rsidRPr="00890C68" w:rsidRDefault="00870E82" w:rsidP="00870E82">
            <w:pPr>
              <w:spacing w:line="240" w:lineRule="auto"/>
              <w:rPr>
                <w:rFonts w:ascii="Times New Roman" w:hAnsi="Times New Roman"/>
                <w:color w:val="000000"/>
                <w:spacing w:val="-2"/>
              </w:rPr>
            </w:pPr>
            <w:r w:rsidRPr="00890C68">
              <w:rPr>
                <w:rFonts w:ascii="Times New Roman" w:hAnsi="Times New Roman"/>
                <w:color w:val="000000"/>
                <w:spacing w:val="-2"/>
              </w:rPr>
              <w:t>Pozytywne :</w:t>
            </w:r>
          </w:p>
          <w:p w:rsidR="00870E82" w:rsidRPr="00890C68" w:rsidRDefault="00870E82" w:rsidP="00870E82">
            <w:pPr>
              <w:spacing w:line="240" w:lineRule="auto"/>
              <w:rPr>
                <w:rFonts w:ascii="Times New Roman" w:hAnsi="Times New Roman"/>
                <w:color w:val="000000"/>
                <w:spacing w:val="-2"/>
              </w:rPr>
            </w:pPr>
            <w:r w:rsidRPr="00890C68">
              <w:rPr>
                <w:rFonts w:ascii="Times New Roman" w:hAnsi="Times New Roman"/>
                <w:color w:val="000000"/>
                <w:spacing w:val="-2"/>
              </w:rPr>
              <w:t>1) Konkurencyjne zasady relacji umownych pomiędzy sprzedawcą a OSD lub OSP;</w:t>
            </w:r>
          </w:p>
          <w:p w:rsidR="00870E82" w:rsidRPr="00890C68" w:rsidRDefault="00870E82" w:rsidP="00870E82">
            <w:pPr>
              <w:spacing w:line="240" w:lineRule="auto"/>
              <w:rPr>
                <w:rFonts w:ascii="Times New Roman" w:hAnsi="Times New Roman"/>
                <w:color w:val="000000"/>
                <w:spacing w:val="-2"/>
              </w:rPr>
            </w:pPr>
            <w:r w:rsidRPr="00890C68">
              <w:rPr>
                <w:rFonts w:ascii="Times New Roman" w:hAnsi="Times New Roman"/>
                <w:color w:val="000000"/>
                <w:spacing w:val="-2"/>
              </w:rPr>
              <w:t>2) Usprawnienie zarządzania popytem u odbiorców oraz obniżenie szczytowego zapotrzebowania na moc.</w:t>
            </w:r>
          </w:p>
        </w:tc>
      </w:tr>
      <w:tr w:rsidR="00870E82" w:rsidRPr="00890C68" w:rsidTr="000A55BD">
        <w:trPr>
          <w:trHeight w:val="324"/>
        </w:trPr>
        <w:tc>
          <w:tcPr>
            <w:tcW w:w="2061" w:type="dxa"/>
            <w:shd w:val="clear" w:color="auto" w:fill="auto"/>
          </w:tcPr>
          <w:p w:rsidR="00870E82" w:rsidRPr="00890C68" w:rsidRDefault="00870E82" w:rsidP="00870E82">
            <w:pPr>
              <w:tabs>
                <w:tab w:val="left" w:pos="1560"/>
              </w:tabs>
              <w:spacing w:line="240" w:lineRule="auto"/>
              <w:rPr>
                <w:rFonts w:ascii="Times New Roman" w:hAnsi="Times New Roman"/>
                <w:color w:val="000000"/>
              </w:rPr>
            </w:pPr>
            <w:r w:rsidRPr="00890C68">
              <w:rPr>
                <w:rFonts w:ascii="Times New Roman" w:hAnsi="Times New Roman"/>
                <w:color w:val="000000"/>
              </w:rPr>
              <w:t>Agregatorzy</w:t>
            </w:r>
          </w:p>
        </w:tc>
        <w:tc>
          <w:tcPr>
            <w:tcW w:w="2399" w:type="dxa"/>
            <w:gridSpan w:val="5"/>
            <w:shd w:val="clear" w:color="auto" w:fill="auto"/>
          </w:tcPr>
          <w:p w:rsidR="00870E82" w:rsidRPr="00890C68" w:rsidRDefault="00870E82" w:rsidP="00A17CB2">
            <w:pPr>
              <w:spacing w:line="240" w:lineRule="auto"/>
              <w:rPr>
                <w:rFonts w:ascii="Times New Roman" w:hAnsi="Times New Roman"/>
                <w:color w:val="000000"/>
                <w:spacing w:val="-2"/>
              </w:rPr>
            </w:pPr>
            <w:r w:rsidRPr="00890C68">
              <w:rPr>
                <w:rFonts w:ascii="Times New Roman" w:hAnsi="Times New Roman"/>
                <w:color w:val="000000"/>
                <w:spacing w:val="-2"/>
              </w:rPr>
              <w:t>5</w:t>
            </w:r>
          </w:p>
        </w:tc>
        <w:tc>
          <w:tcPr>
            <w:tcW w:w="3415" w:type="dxa"/>
            <w:gridSpan w:val="5"/>
            <w:shd w:val="clear" w:color="auto" w:fill="auto"/>
          </w:tcPr>
          <w:p w:rsidR="00870E82" w:rsidRPr="00890C68" w:rsidRDefault="00870E82" w:rsidP="00A17CB2">
            <w:pPr>
              <w:spacing w:line="240" w:lineRule="auto"/>
              <w:rPr>
                <w:rFonts w:ascii="Times New Roman" w:hAnsi="Times New Roman"/>
                <w:color w:val="000000"/>
                <w:spacing w:val="-2"/>
              </w:rPr>
            </w:pPr>
            <w:r w:rsidRPr="00890C68">
              <w:rPr>
                <w:rFonts w:ascii="Times New Roman" w:hAnsi="Times New Roman"/>
                <w:color w:val="000000"/>
                <w:spacing w:val="-2"/>
              </w:rPr>
              <w:t>PSE S.A.</w:t>
            </w:r>
          </w:p>
        </w:tc>
        <w:tc>
          <w:tcPr>
            <w:tcW w:w="3182" w:type="dxa"/>
            <w:gridSpan w:val="4"/>
            <w:shd w:val="clear" w:color="auto" w:fill="auto"/>
          </w:tcPr>
          <w:p w:rsidR="00870E82" w:rsidRPr="00890C68" w:rsidRDefault="00870E82" w:rsidP="00870E82">
            <w:pPr>
              <w:spacing w:line="240" w:lineRule="auto"/>
              <w:rPr>
                <w:rFonts w:ascii="Times New Roman" w:hAnsi="Times New Roman"/>
                <w:color w:val="000000"/>
                <w:spacing w:val="-2"/>
              </w:rPr>
            </w:pPr>
            <w:r w:rsidRPr="00890C68">
              <w:rPr>
                <w:rFonts w:ascii="Times New Roman" w:hAnsi="Times New Roman"/>
                <w:color w:val="000000"/>
                <w:spacing w:val="-2"/>
              </w:rPr>
              <w:t>Pozytywne:</w:t>
            </w:r>
          </w:p>
          <w:p w:rsidR="00870E82" w:rsidRPr="00890C68" w:rsidRDefault="00870E82" w:rsidP="00870E82">
            <w:pPr>
              <w:spacing w:line="240" w:lineRule="auto"/>
              <w:rPr>
                <w:rFonts w:ascii="Times New Roman" w:hAnsi="Times New Roman"/>
                <w:color w:val="000000"/>
                <w:spacing w:val="-2"/>
              </w:rPr>
            </w:pPr>
            <w:r w:rsidRPr="00890C68">
              <w:rPr>
                <w:rFonts w:ascii="Times New Roman" w:hAnsi="Times New Roman"/>
                <w:color w:val="000000"/>
                <w:spacing w:val="-2"/>
              </w:rPr>
              <w:t>Możliwość bezpośredniego dostępu do danych pomiarowych odbiorców i wytwórców, z którymi agregator ma lub będzie miał zawarte umowy w celu świadczenia na rzecz operatora usług systemowych. Wpłynie to również na rozwój biznesu usług systemowych w tym usług realizowanych przez agregatorów dzięki łatwiejszej ocenie potencjału odbiorców i wytwórców w zakresie uczestniczenia w rynku usług systemowych.</w:t>
            </w:r>
          </w:p>
          <w:p w:rsidR="00870E82" w:rsidRPr="00890C68" w:rsidRDefault="00870E82" w:rsidP="00870E82">
            <w:pPr>
              <w:spacing w:line="240" w:lineRule="auto"/>
              <w:rPr>
                <w:rFonts w:ascii="Times New Roman" w:hAnsi="Times New Roman"/>
                <w:color w:val="000000"/>
                <w:spacing w:val="-2"/>
              </w:rPr>
            </w:pPr>
          </w:p>
        </w:tc>
      </w:tr>
      <w:tr w:rsidR="00E35E8E" w:rsidRPr="00890C68" w:rsidTr="000A55BD">
        <w:trPr>
          <w:trHeight w:val="552"/>
        </w:trPr>
        <w:tc>
          <w:tcPr>
            <w:tcW w:w="2061" w:type="dxa"/>
            <w:shd w:val="clear" w:color="auto" w:fill="auto"/>
          </w:tcPr>
          <w:p w:rsidR="00E35E8E" w:rsidRPr="00890C68" w:rsidRDefault="00E35E8E" w:rsidP="0072636A">
            <w:pPr>
              <w:tabs>
                <w:tab w:val="left" w:pos="1560"/>
              </w:tabs>
              <w:spacing w:line="240" w:lineRule="auto"/>
              <w:rPr>
                <w:rFonts w:ascii="Times New Roman" w:hAnsi="Times New Roman"/>
                <w:color w:val="000000"/>
              </w:rPr>
            </w:pPr>
            <w:r w:rsidRPr="00890C68">
              <w:rPr>
                <w:rFonts w:ascii="Times New Roman" w:hAnsi="Times New Roman"/>
                <w:color w:val="000000"/>
              </w:rPr>
              <w:t>Wytwórcy energii elektrycznej (elektrownie szczytowo – pompowe)</w:t>
            </w:r>
          </w:p>
        </w:tc>
        <w:tc>
          <w:tcPr>
            <w:tcW w:w="2399" w:type="dxa"/>
            <w:gridSpan w:val="5"/>
            <w:shd w:val="clear" w:color="auto" w:fill="auto"/>
          </w:tcPr>
          <w:p w:rsidR="00E35E8E" w:rsidRPr="00890C68" w:rsidRDefault="00E35E8E" w:rsidP="00A17CB2">
            <w:pPr>
              <w:spacing w:line="240" w:lineRule="auto"/>
              <w:rPr>
                <w:rFonts w:ascii="Times New Roman" w:hAnsi="Times New Roman"/>
                <w:color w:val="000000"/>
                <w:spacing w:val="-2"/>
              </w:rPr>
            </w:pPr>
            <w:r w:rsidRPr="00890C68">
              <w:rPr>
                <w:rFonts w:ascii="Times New Roman" w:hAnsi="Times New Roman"/>
                <w:color w:val="000000"/>
                <w:spacing w:val="-2"/>
              </w:rPr>
              <w:t>6</w:t>
            </w:r>
          </w:p>
        </w:tc>
        <w:tc>
          <w:tcPr>
            <w:tcW w:w="3415" w:type="dxa"/>
            <w:gridSpan w:val="5"/>
            <w:shd w:val="clear" w:color="auto" w:fill="auto"/>
          </w:tcPr>
          <w:p w:rsidR="00E35E8E" w:rsidRPr="00890C68" w:rsidRDefault="00E51BF1" w:rsidP="00A17CB2">
            <w:pPr>
              <w:spacing w:line="240" w:lineRule="auto"/>
              <w:rPr>
                <w:rFonts w:ascii="Times New Roman" w:hAnsi="Times New Roman"/>
                <w:color w:val="000000"/>
                <w:spacing w:val="-2"/>
              </w:rPr>
            </w:pPr>
            <w:r w:rsidRPr="00890C68">
              <w:rPr>
                <w:rFonts w:ascii="Times New Roman" w:hAnsi="Times New Roman"/>
                <w:color w:val="000000"/>
                <w:spacing w:val="-2"/>
              </w:rPr>
              <w:t>BIP URE</w:t>
            </w:r>
          </w:p>
        </w:tc>
        <w:tc>
          <w:tcPr>
            <w:tcW w:w="3182" w:type="dxa"/>
            <w:gridSpan w:val="4"/>
            <w:shd w:val="clear" w:color="auto" w:fill="auto"/>
          </w:tcPr>
          <w:p w:rsidR="00E35E8E" w:rsidRPr="00890C68" w:rsidRDefault="00870E82" w:rsidP="00E35E8E">
            <w:pPr>
              <w:spacing w:line="240" w:lineRule="auto"/>
              <w:rPr>
                <w:rFonts w:ascii="Times New Roman" w:hAnsi="Times New Roman"/>
                <w:color w:val="000000"/>
                <w:spacing w:val="-2"/>
              </w:rPr>
            </w:pPr>
            <w:r w:rsidRPr="00890C68">
              <w:rPr>
                <w:rFonts w:ascii="Times New Roman" w:hAnsi="Times New Roman"/>
                <w:color w:val="000000"/>
                <w:spacing w:val="-2"/>
              </w:rPr>
              <w:t>Pozytywne</w:t>
            </w:r>
            <w:r w:rsidR="00E51BF1" w:rsidRPr="00890C68">
              <w:rPr>
                <w:rFonts w:ascii="Times New Roman" w:hAnsi="Times New Roman"/>
                <w:color w:val="000000"/>
                <w:spacing w:val="-2"/>
              </w:rPr>
              <w:t>:</w:t>
            </w:r>
          </w:p>
          <w:p w:rsidR="00E35E8E" w:rsidRPr="00890C68" w:rsidRDefault="00E51BF1" w:rsidP="00A17CB2">
            <w:pPr>
              <w:spacing w:line="240" w:lineRule="auto"/>
              <w:rPr>
                <w:rFonts w:ascii="Times New Roman" w:hAnsi="Times New Roman"/>
                <w:color w:val="000000"/>
                <w:spacing w:val="-2"/>
              </w:rPr>
            </w:pPr>
            <w:r w:rsidRPr="00890C68">
              <w:rPr>
                <w:rFonts w:ascii="Times New Roman" w:hAnsi="Times New Roman"/>
                <w:color w:val="000000"/>
                <w:spacing w:val="-2"/>
              </w:rPr>
              <w:t>Zniesienie niepotrzebnych barier rozwoju w przypadku uzyskania koncesji na magazynowanie energii elektrycznej lub wpisu do rejestru magazynów energii elektrycznej.</w:t>
            </w:r>
          </w:p>
          <w:p w:rsidR="00870E82" w:rsidRPr="00890C68" w:rsidRDefault="00870E82" w:rsidP="00A17CB2">
            <w:pPr>
              <w:spacing w:line="240" w:lineRule="auto"/>
              <w:rPr>
                <w:rFonts w:ascii="Times New Roman" w:hAnsi="Times New Roman"/>
                <w:color w:val="000000"/>
                <w:spacing w:val="-2"/>
              </w:rPr>
            </w:pPr>
          </w:p>
        </w:tc>
      </w:tr>
      <w:tr w:rsidR="00D705AD" w:rsidRPr="00890C68" w:rsidTr="000A55BD">
        <w:trPr>
          <w:trHeight w:val="168"/>
        </w:trPr>
        <w:tc>
          <w:tcPr>
            <w:tcW w:w="2061" w:type="dxa"/>
            <w:shd w:val="clear" w:color="auto" w:fill="auto"/>
          </w:tcPr>
          <w:p w:rsidR="00D705AD" w:rsidRPr="00890C68" w:rsidRDefault="00DE66BD" w:rsidP="0072636A">
            <w:pPr>
              <w:tabs>
                <w:tab w:val="left" w:pos="1560"/>
              </w:tabs>
              <w:spacing w:line="240" w:lineRule="auto"/>
              <w:rPr>
                <w:rFonts w:ascii="Times New Roman" w:hAnsi="Times New Roman"/>
                <w:color w:val="000000"/>
              </w:rPr>
            </w:pPr>
            <w:r w:rsidRPr="00890C68">
              <w:rPr>
                <w:rFonts w:ascii="Times New Roman" w:hAnsi="Times New Roman"/>
                <w:color w:val="000000"/>
              </w:rPr>
              <w:t>Odbiorcy energii elektrycznej w gospodarstwach domowych (grupa taryfowa G</w:t>
            </w:r>
            <w:r w:rsidR="007E50B0" w:rsidRPr="00890C68">
              <w:rPr>
                <w:rFonts w:ascii="Times New Roman" w:hAnsi="Times New Roman"/>
                <w:color w:val="000000"/>
              </w:rPr>
              <w:t xml:space="preserve"> oraz C1x o mocy umownej mniejszej lub równej </w:t>
            </w:r>
            <w:r w:rsidR="007E50B0" w:rsidRPr="00890C68">
              <w:rPr>
                <w:rFonts w:ascii="Times New Roman" w:hAnsi="Times New Roman"/>
                <w:color w:val="000000"/>
              </w:rPr>
              <w:br/>
              <w:t>16 kW</w:t>
            </w:r>
            <w:r w:rsidRPr="00890C68">
              <w:rPr>
                <w:rFonts w:ascii="Times New Roman" w:hAnsi="Times New Roman"/>
                <w:color w:val="000000"/>
              </w:rPr>
              <w:t>)</w:t>
            </w:r>
            <w:r w:rsidR="006C7C20" w:rsidRPr="00890C68">
              <w:rPr>
                <w:rFonts w:ascii="Times New Roman" w:hAnsi="Times New Roman"/>
                <w:color w:val="000000"/>
              </w:rPr>
              <w:t xml:space="preserve"> </w:t>
            </w:r>
          </w:p>
        </w:tc>
        <w:tc>
          <w:tcPr>
            <w:tcW w:w="2399" w:type="dxa"/>
            <w:gridSpan w:val="5"/>
            <w:shd w:val="clear" w:color="auto" w:fill="auto"/>
          </w:tcPr>
          <w:p w:rsidR="00D705AD" w:rsidRPr="00890C68" w:rsidRDefault="00DE66BD" w:rsidP="00A17CB2">
            <w:pPr>
              <w:spacing w:line="240" w:lineRule="auto"/>
              <w:rPr>
                <w:rFonts w:ascii="Times New Roman" w:hAnsi="Times New Roman"/>
                <w:color w:val="000000"/>
                <w:spacing w:val="-2"/>
              </w:rPr>
            </w:pPr>
            <w:r w:rsidRPr="00890C68">
              <w:rPr>
                <w:rFonts w:ascii="Times New Roman" w:hAnsi="Times New Roman"/>
                <w:color w:val="000000"/>
                <w:spacing w:val="-2"/>
              </w:rPr>
              <w:t xml:space="preserve">Ok. </w:t>
            </w:r>
            <w:r w:rsidR="003B7AE4" w:rsidRPr="00890C68">
              <w:rPr>
                <w:rFonts w:ascii="Times New Roman" w:hAnsi="Times New Roman"/>
                <w:color w:val="000000"/>
                <w:spacing w:val="-2"/>
              </w:rPr>
              <w:t>16,3</w:t>
            </w:r>
            <w:r w:rsidR="00D705AD" w:rsidRPr="00890C68">
              <w:rPr>
                <w:rFonts w:ascii="Times New Roman" w:hAnsi="Times New Roman"/>
                <w:color w:val="000000"/>
                <w:spacing w:val="-2"/>
              </w:rPr>
              <w:t xml:space="preserve"> mln</w:t>
            </w:r>
          </w:p>
        </w:tc>
        <w:tc>
          <w:tcPr>
            <w:tcW w:w="3415" w:type="dxa"/>
            <w:gridSpan w:val="5"/>
            <w:shd w:val="clear" w:color="auto" w:fill="auto"/>
          </w:tcPr>
          <w:p w:rsidR="00D705AD" w:rsidRPr="00890C68" w:rsidRDefault="00DE66BD" w:rsidP="00A17CB2">
            <w:pPr>
              <w:spacing w:line="240" w:lineRule="auto"/>
              <w:rPr>
                <w:rFonts w:ascii="Times New Roman" w:hAnsi="Times New Roman"/>
                <w:color w:val="000000"/>
                <w:spacing w:val="-2"/>
              </w:rPr>
            </w:pPr>
            <w:r w:rsidRPr="00890C68">
              <w:rPr>
                <w:rFonts w:ascii="Times New Roman" w:hAnsi="Times New Roman"/>
                <w:color w:val="000000"/>
                <w:spacing w:val="-2"/>
              </w:rPr>
              <w:t>BIP URE</w:t>
            </w:r>
          </w:p>
        </w:tc>
        <w:tc>
          <w:tcPr>
            <w:tcW w:w="3182" w:type="dxa"/>
            <w:gridSpan w:val="4"/>
            <w:shd w:val="clear" w:color="auto" w:fill="auto"/>
          </w:tcPr>
          <w:p w:rsidR="00F272FA" w:rsidRPr="00890C68" w:rsidRDefault="00F272FA" w:rsidP="00EA14E8">
            <w:pPr>
              <w:spacing w:line="240" w:lineRule="auto"/>
              <w:rPr>
                <w:rFonts w:ascii="Times New Roman" w:hAnsi="Times New Roman"/>
                <w:color w:val="000000"/>
                <w:spacing w:val="-2"/>
              </w:rPr>
            </w:pPr>
            <w:r w:rsidRPr="00890C68">
              <w:rPr>
                <w:rFonts w:ascii="Times New Roman" w:hAnsi="Times New Roman"/>
                <w:color w:val="000000"/>
                <w:spacing w:val="-2"/>
              </w:rPr>
              <w:t>Pozytywne</w:t>
            </w:r>
            <w:r w:rsidR="00EA14E8" w:rsidRPr="00890C68">
              <w:rPr>
                <w:rFonts w:ascii="Times New Roman" w:hAnsi="Times New Roman"/>
                <w:color w:val="000000"/>
                <w:spacing w:val="-2"/>
              </w:rPr>
              <w:t xml:space="preserve">: </w:t>
            </w:r>
          </w:p>
          <w:p w:rsidR="00D705AD" w:rsidRPr="00890C68" w:rsidRDefault="00D705AD" w:rsidP="00EA14E8">
            <w:pPr>
              <w:spacing w:line="240" w:lineRule="auto"/>
              <w:rPr>
                <w:rFonts w:ascii="Times New Roman" w:hAnsi="Times New Roman"/>
                <w:color w:val="000000"/>
                <w:spacing w:val="-2"/>
              </w:rPr>
            </w:pPr>
            <w:r w:rsidRPr="00890C68">
              <w:rPr>
                <w:rFonts w:ascii="Times New Roman" w:hAnsi="Times New Roman"/>
                <w:color w:val="000000"/>
                <w:spacing w:val="-2"/>
              </w:rPr>
              <w:t>Zapewnienie dostępu do energii elektrycznej na konkurencyjnych warunkach sprzedaży, ochrona przed stosowaniem praktyk naruszających zbiorowe interesy konsumentów</w:t>
            </w:r>
            <w:r w:rsidR="00EA14E8" w:rsidRPr="00890C68">
              <w:rPr>
                <w:rFonts w:ascii="Times New Roman" w:hAnsi="Times New Roman"/>
                <w:color w:val="000000"/>
                <w:spacing w:val="-2"/>
              </w:rPr>
              <w:t xml:space="preserve"> oraz poszerzenie świadomości prawnej.</w:t>
            </w:r>
          </w:p>
          <w:p w:rsidR="00DE66BD" w:rsidRPr="00890C68" w:rsidRDefault="00DE66BD" w:rsidP="00EA14E8">
            <w:pPr>
              <w:spacing w:line="240" w:lineRule="auto"/>
              <w:rPr>
                <w:rFonts w:ascii="Times New Roman" w:hAnsi="Times New Roman"/>
                <w:color w:val="000000"/>
                <w:spacing w:val="-2"/>
              </w:rPr>
            </w:pPr>
            <w:r w:rsidRPr="00890C68">
              <w:rPr>
                <w:rFonts w:ascii="Times New Roman" w:hAnsi="Times New Roman"/>
                <w:color w:val="000000"/>
                <w:spacing w:val="-2"/>
              </w:rPr>
              <w:t>Ponadto, w zakresie systemu inteligentnego opomiarowania:</w:t>
            </w:r>
          </w:p>
          <w:p w:rsidR="00DE66BD" w:rsidRPr="00890C68" w:rsidRDefault="00DE66BD" w:rsidP="00DE66BD">
            <w:pPr>
              <w:spacing w:line="240" w:lineRule="auto"/>
              <w:rPr>
                <w:rFonts w:ascii="Times New Roman" w:hAnsi="Times New Roman"/>
                <w:color w:val="000000"/>
                <w:spacing w:val="-2"/>
              </w:rPr>
            </w:pPr>
            <w:r w:rsidRPr="00890C68">
              <w:rPr>
                <w:rFonts w:ascii="Times New Roman" w:hAnsi="Times New Roman"/>
                <w:color w:val="000000"/>
                <w:spacing w:val="-2"/>
              </w:rPr>
              <w:t xml:space="preserve">Pozytywne – przewaga korzyści dla odbiorców końcowych nad ponoszonymi kosztami wdrożenia: w krótkim okresie koszty te zostaną zrekompensowane poprzez oszczędności wynikające ze zmniejszonego zużycia energii, za sprawą m.in. większej świadomości w zakresie charakterystyki zużycia energii, jego kontrolowania i regulowania oraz odpowiedzi na zachęty cenowe wprowadzane przez konkurujących ze sobą sprzedawców energii elektrycznej  i wykorzystania możliwości sprawnej zmiany sprzedawcy </w:t>
            </w:r>
            <w:r w:rsidRPr="00890C68">
              <w:rPr>
                <w:rFonts w:ascii="Times New Roman" w:hAnsi="Times New Roman"/>
                <w:color w:val="000000"/>
                <w:spacing w:val="-2"/>
              </w:rPr>
              <w:lastRenderedPageBreak/>
              <w:t>energii w celu skorzystania z korzystniejszej oferty.</w:t>
            </w:r>
          </w:p>
          <w:p w:rsidR="00DE66BD" w:rsidRPr="00890C68" w:rsidRDefault="00DE66BD" w:rsidP="00DE66BD">
            <w:pPr>
              <w:spacing w:line="240" w:lineRule="auto"/>
              <w:rPr>
                <w:rFonts w:ascii="Times New Roman" w:hAnsi="Times New Roman"/>
                <w:color w:val="000000"/>
                <w:spacing w:val="-2"/>
              </w:rPr>
            </w:pPr>
            <w:r w:rsidRPr="00890C68">
              <w:rPr>
                <w:rFonts w:ascii="Times New Roman" w:hAnsi="Times New Roman"/>
                <w:color w:val="000000"/>
                <w:spacing w:val="-2"/>
              </w:rPr>
              <w:t>Pozytywne – wzrost możliwości poprawy efektywności energetycznej.</w:t>
            </w:r>
          </w:p>
          <w:p w:rsidR="00870E82" w:rsidRPr="00890C68" w:rsidRDefault="00870E82" w:rsidP="00DE66BD">
            <w:pPr>
              <w:spacing w:line="240" w:lineRule="auto"/>
              <w:rPr>
                <w:rFonts w:ascii="Times New Roman" w:hAnsi="Times New Roman"/>
                <w:color w:val="000000"/>
                <w:spacing w:val="-2"/>
              </w:rPr>
            </w:pPr>
          </w:p>
        </w:tc>
      </w:tr>
      <w:tr w:rsidR="00D705AD" w:rsidRPr="00890C68" w:rsidTr="000A55BD">
        <w:trPr>
          <w:trHeight w:val="2292"/>
        </w:trPr>
        <w:tc>
          <w:tcPr>
            <w:tcW w:w="2061" w:type="dxa"/>
            <w:shd w:val="clear" w:color="auto" w:fill="auto"/>
          </w:tcPr>
          <w:p w:rsidR="00D705AD" w:rsidRPr="00890C68" w:rsidRDefault="00D705AD" w:rsidP="0072636A">
            <w:pPr>
              <w:tabs>
                <w:tab w:val="left" w:pos="1560"/>
              </w:tabs>
              <w:spacing w:line="240" w:lineRule="auto"/>
              <w:rPr>
                <w:rFonts w:ascii="Times New Roman" w:hAnsi="Times New Roman"/>
                <w:color w:val="000000"/>
              </w:rPr>
            </w:pPr>
            <w:r w:rsidRPr="00890C68">
              <w:rPr>
                <w:rFonts w:ascii="Times New Roman" w:hAnsi="Times New Roman"/>
                <w:color w:val="000000"/>
              </w:rPr>
              <w:lastRenderedPageBreak/>
              <w:t>Odbiorcy końcowi gazu ziemnego</w:t>
            </w:r>
          </w:p>
        </w:tc>
        <w:tc>
          <w:tcPr>
            <w:tcW w:w="2399" w:type="dxa"/>
            <w:gridSpan w:val="5"/>
            <w:shd w:val="clear" w:color="auto" w:fill="auto"/>
          </w:tcPr>
          <w:p w:rsidR="00D705AD" w:rsidRPr="00890C68" w:rsidRDefault="00D705AD" w:rsidP="00A17CB2">
            <w:pPr>
              <w:spacing w:line="240" w:lineRule="auto"/>
              <w:rPr>
                <w:rFonts w:ascii="Times New Roman" w:hAnsi="Times New Roman"/>
                <w:color w:val="000000"/>
                <w:spacing w:val="-2"/>
              </w:rPr>
            </w:pPr>
            <w:r w:rsidRPr="00890C68">
              <w:rPr>
                <w:rFonts w:ascii="Times New Roman" w:hAnsi="Times New Roman"/>
                <w:color w:val="000000"/>
                <w:spacing w:val="-2"/>
              </w:rPr>
              <w:t>6,9 mln</w:t>
            </w:r>
          </w:p>
        </w:tc>
        <w:tc>
          <w:tcPr>
            <w:tcW w:w="3415" w:type="dxa"/>
            <w:gridSpan w:val="5"/>
            <w:shd w:val="clear" w:color="auto" w:fill="auto"/>
          </w:tcPr>
          <w:p w:rsidR="00D705AD" w:rsidRPr="00890C68" w:rsidRDefault="00D705AD" w:rsidP="00A17CB2">
            <w:pPr>
              <w:spacing w:line="240" w:lineRule="auto"/>
              <w:rPr>
                <w:rFonts w:ascii="Times New Roman" w:hAnsi="Times New Roman"/>
                <w:color w:val="000000"/>
                <w:spacing w:val="-2"/>
              </w:rPr>
            </w:pPr>
            <w:r w:rsidRPr="00890C68">
              <w:rPr>
                <w:rFonts w:ascii="Times New Roman" w:hAnsi="Times New Roman"/>
                <w:color w:val="000000"/>
                <w:spacing w:val="-2"/>
              </w:rPr>
              <w:t>Sprawozdanie z działalności Prezesa Urzędu Regulacji Energetyki w 2016 r.</w:t>
            </w:r>
          </w:p>
        </w:tc>
        <w:tc>
          <w:tcPr>
            <w:tcW w:w="3182" w:type="dxa"/>
            <w:gridSpan w:val="4"/>
            <w:shd w:val="clear" w:color="auto" w:fill="auto"/>
          </w:tcPr>
          <w:p w:rsidR="008B59AD" w:rsidRPr="00890C68" w:rsidRDefault="008B59AD" w:rsidP="00A17CB2">
            <w:pPr>
              <w:spacing w:line="240" w:lineRule="auto"/>
              <w:rPr>
                <w:rFonts w:ascii="Times New Roman" w:hAnsi="Times New Roman"/>
                <w:color w:val="000000"/>
                <w:spacing w:val="-2"/>
              </w:rPr>
            </w:pPr>
            <w:r w:rsidRPr="00890C68">
              <w:rPr>
                <w:rFonts w:ascii="Times New Roman" w:hAnsi="Times New Roman"/>
                <w:color w:val="000000"/>
                <w:spacing w:val="-2"/>
              </w:rPr>
              <w:t>Pozytywne</w:t>
            </w:r>
            <w:r w:rsidR="0062395F" w:rsidRPr="00890C68">
              <w:rPr>
                <w:rFonts w:ascii="Times New Roman" w:hAnsi="Times New Roman"/>
                <w:color w:val="000000"/>
                <w:spacing w:val="-2"/>
              </w:rPr>
              <w:t xml:space="preserve">: </w:t>
            </w:r>
          </w:p>
          <w:p w:rsidR="00D705AD" w:rsidRPr="00890C68" w:rsidRDefault="00EA14E8" w:rsidP="00A17CB2">
            <w:pPr>
              <w:spacing w:line="240" w:lineRule="auto"/>
              <w:rPr>
                <w:rFonts w:ascii="Times New Roman" w:hAnsi="Times New Roman"/>
                <w:color w:val="000000"/>
                <w:spacing w:val="-2"/>
              </w:rPr>
            </w:pPr>
            <w:r w:rsidRPr="00890C68">
              <w:rPr>
                <w:rFonts w:ascii="Times New Roman" w:hAnsi="Times New Roman"/>
                <w:color w:val="000000"/>
                <w:spacing w:val="-2"/>
              </w:rPr>
              <w:t>Zapewnienie dostępu do energii elektrycznej na konkurencyjnych warunkach sprzedaży oraz ochrona przed stosowaniem praktyk naruszających zbiorowe interesy konsumentów.</w:t>
            </w:r>
          </w:p>
          <w:p w:rsidR="008B039D" w:rsidRPr="00890C68" w:rsidRDefault="008B039D" w:rsidP="00A17CB2">
            <w:pPr>
              <w:spacing w:line="240" w:lineRule="auto"/>
              <w:rPr>
                <w:rFonts w:ascii="Times New Roman" w:hAnsi="Times New Roman"/>
                <w:color w:val="000000"/>
                <w:spacing w:val="-2"/>
              </w:rPr>
            </w:pPr>
          </w:p>
        </w:tc>
      </w:tr>
      <w:tr w:rsidR="008B039D" w:rsidRPr="00890C68" w:rsidTr="000A55BD">
        <w:trPr>
          <w:trHeight w:val="226"/>
        </w:trPr>
        <w:tc>
          <w:tcPr>
            <w:tcW w:w="2061" w:type="dxa"/>
            <w:shd w:val="clear" w:color="auto" w:fill="auto"/>
          </w:tcPr>
          <w:p w:rsidR="008B039D" w:rsidRPr="00890C68" w:rsidRDefault="008B039D" w:rsidP="0072636A">
            <w:pPr>
              <w:tabs>
                <w:tab w:val="left" w:pos="1560"/>
              </w:tabs>
              <w:spacing w:line="240" w:lineRule="auto"/>
              <w:rPr>
                <w:rFonts w:ascii="Times New Roman" w:hAnsi="Times New Roman"/>
                <w:color w:val="000000"/>
              </w:rPr>
            </w:pPr>
            <w:r w:rsidRPr="00890C68">
              <w:rPr>
                <w:rFonts w:ascii="Times New Roman" w:hAnsi="Times New Roman"/>
                <w:color w:val="000000"/>
              </w:rPr>
              <w:t>Producenci urządzeń</w:t>
            </w:r>
          </w:p>
        </w:tc>
        <w:tc>
          <w:tcPr>
            <w:tcW w:w="2399" w:type="dxa"/>
            <w:gridSpan w:val="5"/>
            <w:shd w:val="clear" w:color="auto" w:fill="auto"/>
          </w:tcPr>
          <w:p w:rsidR="008B039D" w:rsidRPr="00890C68" w:rsidRDefault="008B039D" w:rsidP="00A17CB2">
            <w:pPr>
              <w:spacing w:line="240" w:lineRule="auto"/>
              <w:rPr>
                <w:rFonts w:ascii="Times New Roman" w:hAnsi="Times New Roman"/>
                <w:color w:val="000000"/>
                <w:spacing w:val="-2"/>
              </w:rPr>
            </w:pPr>
            <w:r w:rsidRPr="00890C68">
              <w:rPr>
                <w:rFonts w:ascii="Times New Roman" w:hAnsi="Times New Roman"/>
                <w:color w:val="000000"/>
                <w:spacing w:val="-2"/>
              </w:rPr>
              <w:t>Kilkuset</w:t>
            </w:r>
          </w:p>
        </w:tc>
        <w:tc>
          <w:tcPr>
            <w:tcW w:w="3415" w:type="dxa"/>
            <w:gridSpan w:val="5"/>
            <w:shd w:val="clear" w:color="auto" w:fill="auto"/>
          </w:tcPr>
          <w:p w:rsidR="008B039D" w:rsidRPr="00890C68" w:rsidRDefault="008B039D" w:rsidP="00A17CB2">
            <w:pPr>
              <w:spacing w:line="240" w:lineRule="auto"/>
              <w:rPr>
                <w:rFonts w:ascii="Times New Roman" w:hAnsi="Times New Roman"/>
                <w:color w:val="000000"/>
                <w:spacing w:val="-2"/>
              </w:rPr>
            </w:pPr>
            <w:r w:rsidRPr="00890C68">
              <w:rPr>
                <w:rFonts w:ascii="Times New Roman" w:hAnsi="Times New Roman"/>
                <w:color w:val="000000"/>
                <w:spacing w:val="-2"/>
              </w:rPr>
              <w:t>Internet</w:t>
            </w:r>
          </w:p>
        </w:tc>
        <w:tc>
          <w:tcPr>
            <w:tcW w:w="3182" w:type="dxa"/>
            <w:gridSpan w:val="4"/>
            <w:shd w:val="clear" w:color="auto" w:fill="auto"/>
          </w:tcPr>
          <w:p w:rsidR="008B039D" w:rsidRPr="00890C68" w:rsidRDefault="008B039D" w:rsidP="00A17CB2">
            <w:pPr>
              <w:spacing w:line="240" w:lineRule="auto"/>
              <w:rPr>
                <w:rFonts w:ascii="Times New Roman" w:hAnsi="Times New Roman"/>
                <w:color w:val="000000"/>
                <w:spacing w:val="-2"/>
              </w:rPr>
            </w:pPr>
            <w:r w:rsidRPr="00890C68">
              <w:rPr>
                <w:rFonts w:ascii="Times New Roman" w:hAnsi="Times New Roman"/>
                <w:color w:val="000000"/>
                <w:spacing w:val="-2"/>
              </w:rPr>
              <w:t>Pozytywne:</w:t>
            </w:r>
          </w:p>
          <w:p w:rsidR="008B039D" w:rsidRPr="00890C68" w:rsidRDefault="008B039D" w:rsidP="00A17CB2">
            <w:pPr>
              <w:spacing w:line="240" w:lineRule="auto"/>
              <w:rPr>
                <w:rFonts w:ascii="Times New Roman" w:hAnsi="Times New Roman"/>
                <w:color w:val="000000"/>
                <w:spacing w:val="-2"/>
              </w:rPr>
            </w:pPr>
            <w:r w:rsidRPr="00890C68">
              <w:rPr>
                <w:rFonts w:ascii="Times New Roman" w:hAnsi="Times New Roman"/>
                <w:color w:val="000000"/>
                <w:spacing w:val="-2"/>
              </w:rPr>
              <w:t>Produkcja i dostarczanie urządzeń pomiarowych na dużą skalę, zwiększenie zatrudnienia, rozwój technologii, zwiększenie konkurencji wśród producentów urządzeń pomiarowych.</w:t>
            </w:r>
          </w:p>
          <w:p w:rsidR="008B039D" w:rsidRPr="00890C68" w:rsidRDefault="008B039D" w:rsidP="00A17CB2">
            <w:pPr>
              <w:spacing w:line="240" w:lineRule="auto"/>
              <w:rPr>
                <w:rFonts w:ascii="Times New Roman" w:hAnsi="Times New Roman"/>
                <w:color w:val="000000"/>
                <w:spacing w:val="-2"/>
              </w:rPr>
            </w:pPr>
          </w:p>
        </w:tc>
      </w:tr>
      <w:tr w:rsidR="00D705AD" w:rsidRPr="00890C68" w:rsidTr="00E25DB6">
        <w:trPr>
          <w:trHeight w:val="2016"/>
        </w:trPr>
        <w:tc>
          <w:tcPr>
            <w:tcW w:w="2061" w:type="dxa"/>
            <w:shd w:val="clear" w:color="auto" w:fill="auto"/>
          </w:tcPr>
          <w:p w:rsidR="00D705AD" w:rsidRPr="00890C68" w:rsidRDefault="00D705AD" w:rsidP="0072636A">
            <w:pPr>
              <w:tabs>
                <w:tab w:val="left" w:pos="1560"/>
              </w:tabs>
              <w:spacing w:line="240" w:lineRule="auto"/>
              <w:rPr>
                <w:rFonts w:ascii="Times New Roman" w:hAnsi="Times New Roman"/>
                <w:color w:val="000000"/>
              </w:rPr>
            </w:pPr>
            <w:r w:rsidRPr="00890C68">
              <w:rPr>
                <w:rFonts w:ascii="Times New Roman" w:hAnsi="Times New Roman"/>
                <w:color w:val="000000"/>
              </w:rPr>
              <w:t>Właściciele pociągów, metro, tramwajów i trolejbusów</w:t>
            </w:r>
          </w:p>
        </w:tc>
        <w:tc>
          <w:tcPr>
            <w:tcW w:w="2399" w:type="dxa"/>
            <w:gridSpan w:val="5"/>
            <w:shd w:val="clear" w:color="auto" w:fill="auto"/>
          </w:tcPr>
          <w:p w:rsidR="00D705AD" w:rsidRPr="00890C68" w:rsidRDefault="00D705AD" w:rsidP="00A17CB2">
            <w:pPr>
              <w:spacing w:line="240" w:lineRule="auto"/>
              <w:rPr>
                <w:rFonts w:ascii="Times New Roman" w:hAnsi="Times New Roman"/>
                <w:color w:val="000000"/>
                <w:spacing w:val="-2"/>
              </w:rPr>
            </w:pPr>
          </w:p>
        </w:tc>
        <w:tc>
          <w:tcPr>
            <w:tcW w:w="3415" w:type="dxa"/>
            <w:gridSpan w:val="5"/>
            <w:shd w:val="clear" w:color="auto" w:fill="auto"/>
          </w:tcPr>
          <w:p w:rsidR="00D705AD" w:rsidRPr="00890C68" w:rsidRDefault="00D705AD" w:rsidP="00A17CB2">
            <w:pPr>
              <w:spacing w:line="240" w:lineRule="auto"/>
              <w:rPr>
                <w:rFonts w:ascii="Times New Roman" w:hAnsi="Times New Roman"/>
                <w:color w:val="000000"/>
                <w:spacing w:val="-2"/>
              </w:rPr>
            </w:pPr>
            <w:r w:rsidRPr="00890C68">
              <w:rPr>
                <w:rFonts w:ascii="Times New Roman" w:hAnsi="Times New Roman"/>
                <w:color w:val="000000"/>
                <w:spacing w:val="-2"/>
              </w:rPr>
              <w:t xml:space="preserve">Tekst ustawy </w:t>
            </w:r>
          </w:p>
        </w:tc>
        <w:tc>
          <w:tcPr>
            <w:tcW w:w="3182" w:type="dxa"/>
            <w:gridSpan w:val="4"/>
            <w:shd w:val="clear" w:color="auto" w:fill="auto"/>
          </w:tcPr>
          <w:p w:rsidR="008B59AD" w:rsidRPr="00890C68" w:rsidRDefault="008B59AD" w:rsidP="0062395F">
            <w:pPr>
              <w:spacing w:line="240" w:lineRule="auto"/>
              <w:rPr>
                <w:rFonts w:ascii="Times New Roman" w:hAnsi="Times New Roman"/>
                <w:color w:val="000000"/>
                <w:spacing w:val="-2"/>
              </w:rPr>
            </w:pPr>
            <w:r w:rsidRPr="00890C68">
              <w:rPr>
                <w:rFonts w:ascii="Times New Roman" w:hAnsi="Times New Roman"/>
                <w:color w:val="000000"/>
                <w:spacing w:val="-2"/>
              </w:rPr>
              <w:t>Pozytywne</w:t>
            </w:r>
            <w:r w:rsidR="0062395F" w:rsidRPr="00890C68">
              <w:rPr>
                <w:rFonts w:ascii="Times New Roman" w:hAnsi="Times New Roman"/>
                <w:color w:val="000000"/>
                <w:spacing w:val="-2"/>
              </w:rPr>
              <w:t xml:space="preserve">: </w:t>
            </w:r>
          </w:p>
          <w:p w:rsidR="00D705AD" w:rsidRPr="00890C68" w:rsidRDefault="00D705AD" w:rsidP="0062395F">
            <w:pPr>
              <w:spacing w:line="240" w:lineRule="auto"/>
              <w:rPr>
                <w:rFonts w:ascii="Times New Roman" w:hAnsi="Times New Roman"/>
                <w:color w:val="000000"/>
                <w:spacing w:val="-2"/>
              </w:rPr>
            </w:pPr>
            <w:r w:rsidRPr="00890C68">
              <w:rPr>
                <w:rFonts w:ascii="Times New Roman" w:hAnsi="Times New Roman"/>
                <w:color w:val="000000"/>
                <w:spacing w:val="-2"/>
              </w:rPr>
              <w:t>Zaproponowane rozwiązania pozwolą na urealnienie kosztów ponoszonych przez właścicieli ww. pojazdów odzwierciedlających rzeczywiste zużycie energii elektrycznej i korzystanie z sieci.</w:t>
            </w:r>
          </w:p>
          <w:p w:rsidR="00870E82" w:rsidRPr="00890C68" w:rsidRDefault="00870E82" w:rsidP="0062395F">
            <w:pPr>
              <w:spacing w:line="240" w:lineRule="auto"/>
              <w:rPr>
                <w:rFonts w:ascii="Times New Roman" w:hAnsi="Times New Roman"/>
                <w:color w:val="000000"/>
                <w:spacing w:val="-2"/>
              </w:rPr>
            </w:pPr>
          </w:p>
        </w:tc>
      </w:tr>
      <w:tr w:rsidR="00E25DB6" w:rsidRPr="00890C68" w:rsidTr="00054A55">
        <w:trPr>
          <w:trHeight w:val="252"/>
        </w:trPr>
        <w:tc>
          <w:tcPr>
            <w:tcW w:w="2061" w:type="dxa"/>
          </w:tcPr>
          <w:p w:rsidR="00E25DB6" w:rsidRPr="00890C68" w:rsidRDefault="00E25DB6" w:rsidP="00E25DB6">
            <w:pPr>
              <w:tabs>
                <w:tab w:val="left" w:pos="1560"/>
              </w:tabs>
              <w:spacing w:line="240" w:lineRule="auto"/>
              <w:rPr>
                <w:rFonts w:ascii="Times New Roman" w:hAnsi="Times New Roman"/>
                <w:color w:val="000000"/>
              </w:rPr>
            </w:pPr>
            <w:r w:rsidRPr="008C5B69">
              <w:rPr>
                <w:rFonts w:ascii="Times New Roman" w:hAnsi="Times New Roman"/>
                <w:sz w:val="24"/>
                <w:szCs w:val="24"/>
              </w:rPr>
              <w:t xml:space="preserve">Organy administracji miar </w:t>
            </w:r>
          </w:p>
        </w:tc>
        <w:tc>
          <w:tcPr>
            <w:tcW w:w="2399" w:type="dxa"/>
            <w:gridSpan w:val="5"/>
          </w:tcPr>
          <w:p w:rsidR="00E25DB6" w:rsidRPr="00890C68" w:rsidRDefault="00E25DB6" w:rsidP="00E25DB6">
            <w:pPr>
              <w:spacing w:line="240" w:lineRule="auto"/>
              <w:rPr>
                <w:rFonts w:ascii="Times New Roman" w:hAnsi="Times New Roman"/>
                <w:color w:val="000000"/>
                <w:spacing w:val="-2"/>
              </w:rPr>
            </w:pPr>
            <w:r w:rsidRPr="008C5B69">
              <w:rPr>
                <w:rFonts w:ascii="Times New Roman" w:hAnsi="Times New Roman"/>
                <w:spacing w:val="-2"/>
                <w:sz w:val="24"/>
                <w:szCs w:val="24"/>
              </w:rPr>
              <w:t>Główny Urząd Miar, 10 okręgowych urzędów miar (</w:t>
            </w:r>
            <w:r>
              <w:rPr>
                <w:rFonts w:ascii="Times New Roman" w:hAnsi="Times New Roman"/>
                <w:spacing w:val="-2"/>
                <w:sz w:val="24"/>
                <w:szCs w:val="24"/>
              </w:rPr>
              <w:t xml:space="preserve">w tym 50  </w:t>
            </w:r>
            <w:r w:rsidRPr="008C5B69">
              <w:rPr>
                <w:rFonts w:ascii="Times New Roman" w:hAnsi="Times New Roman"/>
                <w:spacing w:val="-2"/>
                <w:sz w:val="24"/>
                <w:szCs w:val="24"/>
              </w:rPr>
              <w:t>wydziałów zamiejscowych)</w:t>
            </w:r>
          </w:p>
        </w:tc>
        <w:tc>
          <w:tcPr>
            <w:tcW w:w="3415" w:type="dxa"/>
            <w:gridSpan w:val="5"/>
          </w:tcPr>
          <w:p w:rsidR="00E25DB6" w:rsidRPr="00890C68" w:rsidRDefault="00E25DB6" w:rsidP="00E25DB6">
            <w:pPr>
              <w:spacing w:line="240" w:lineRule="auto"/>
              <w:rPr>
                <w:rFonts w:ascii="Times New Roman" w:hAnsi="Times New Roman"/>
                <w:color w:val="000000"/>
                <w:spacing w:val="-2"/>
              </w:rPr>
            </w:pPr>
            <w:r>
              <w:rPr>
                <w:rFonts w:ascii="Times New Roman" w:hAnsi="Times New Roman"/>
                <w:spacing w:val="-2"/>
                <w:sz w:val="24"/>
                <w:szCs w:val="24"/>
              </w:rPr>
              <w:t>Główny Urząd Miar</w:t>
            </w:r>
          </w:p>
        </w:tc>
        <w:tc>
          <w:tcPr>
            <w:tcW w:w="3182" w:type="dxa"/>
            <w:gridSpan w:val="4"/>
          </w:tcPr>
          <w:p w:rsidR="00E25DB6" w:rsidRPr="00890C68" w:rsidRDefault="00E25DB6" w:rsidP="00E25DB6">
            <w:pPr>
              <w:spacing w:line="240" w:lineRule="auto"/>
              <w:rPr>
                <w:rFonts w:ascii="Times New Roman" w:hAnsi="Times New Roman"/>
                <w:color w:val="000000"/>
                <w:spacing w:val="-2"/>
              </w:rPr>
            </w:pPr>
            <w:r w:rsidRPr="00F75C8C">
              <w:rPr>
                <w:rFonts w:ascii="Times New Roman" w:hAnsi="Times New Roman"/>
                <w:spacing w:val="-2"/>
                <w:sz w:val="24"/>
                <w:szCs w:val="24"/>
              </w:rPr>
              <w:t xml:space="preserve">Organy administracji miar wykonują legalizację ponowną przyrządów pomiarowych, a na wniosek podmiotów uprawnionych do złożenia wniosku o dokonanie legalizacji ponownej będą wydawały decyzje o odroczeniu legalizacji i zezwoleniu na dalsze użytkowanie na maksimum </w:t>
            </w:r>
            <w:r>
              <w:rPr>
                <w:rFonts w:ascii="Times New Roman" w:hAnsi="Times New Roman"/>
                <w:spacing w:val="-2"/>
                <w:sz w:val="24"/>
                <w:szCs w:val="24"/>
              </w:rPr>
              <w:t xml:space="preserve">12 </w:t>
            </w:r>
            <w:r w:rsidRPr="00F75C8C">
              <w:rPr>
                <w:rFonts w:ascii="Times New Roman" w:hAnsi="Times New Roman"/>
                <w:spacing w:val="-2"/>
                <w:sz w:val="24"/>
                <w:szCs w:val="24"/>
              </w:rPr>
              <w:t>miesięcy.</w:t>
            </w:r>
          </w:p>
        </w:tc>
      </w:tr>
      <w:tr w:rsidR="00E25DB6" w:rsidRPr="00890C68" w:rsidTr="00E25DB6">
        <w:trPr>
          <w:trHeight w:val="252"/>
        </w:trPr>
        <w:tc>
          <w:tcPr>
            <w:tcW w:w="2061" w:type="dxa"/>
          </w:tcPr>
          <w:p w:rsidR="00E25DB6" w:rsidRPr="008C5B69" w:rsidRDefault="00E25DB6" w:rsidP="00E25DB6">
            <w:pPr>
              <w:spacing w:line="240" w:lineRule="auto"/>
              <w:rPr>
                <w:rFonts w:ascii="Times New Roman" w:hAnsi="Times New Roman"/>
                <w:sz w:val="24"/>
                <w:szCs w:val="24"/>
              </w:rPr>
            </w:pPr>
            <w:bookmarkStart w:id="4" w:name="_Hlk37885968"/>
            <w:r w:rsidRPr="008C5B69">
              <w:rPr>
                <w:rFonts w:ascii="Times New Roman" w:hAnsi="Times New Roman"/>
                <w:sz w:val="24"/>
                <w:szCs w:val="24"/>
              </w:rPr>
              <w:t>Użytkownicy przyrządów pomiarowych stosowanych w wielu dziedzinach gospodarki, w tym gospodarstwa domowe, przedsiębiorcy, organy państwowe.</w:t>
            </w:r>
          </w:p>
          <w:bookmarkEnd w:id="4"/>
          <w:p w:rsidR="00E25DB6" w:rsidRPr="008C5B69" w:rsidRDefault="00E25DB6" w:rsidP="00E25DB6">
            <w:pPr>
              <w:tabs>
                <w:tab w:val="left" w:pos="1560"/>
              </w:tabs>
              <w:spacing w:line="240" w:lineRule="auto"/>
              <w:rPr>
                <w:rFonts w:ascii="Times New Roman" w:hAnsi="Times New Roman"/>
                <w:sz w:val="24"/>
                <w:szCs w:val="24"/>
              </w:rPr>
            </w:pPr>
          </w:p>
        </w:tc>
        <w:tc>
          <w:tcPr>
            <w:tcW w:w="2399" w:type="dxa"/>
            <w:gridSpan w:val="5"/>
          </w:tcPr>
          <w:p w:rsidR="00E25DB6" w:rsidRPr="008C5B69" w:rsidRDefault="00E25DB6" w:rsidP="00E25DB6">
            <w:pPr>
              <w:spacing w:line="240" w:lineRule="auto"/>
              <w:rPr>
                <w:rFonts w:ascii="Times New Roman" w:hAnsi="Times New Roman"/>
                <w:spacing w:val="-2"/>
                <w:sz w:val="24"/>
                <w:szCs w:val="24"/>
              </w:rPr>
            </w:pPr>
            <w:r>
              <w:rPr>
                <w:rFonts w:ascii="Times New Roman" w:hAnsi="Times New Roman"/>
                <w:spacing w:val="-2"/>
                <w:sz w:val="24"/>
                <w:szCs w:val="24"/>
              </w:rPr>
              <w:t>Powyżej 1 mln</w:t>
            </w:r>
          </w:p>
        </w:tc>
        <w:tc>
          <w:tcPr>
            <w:tcW w:w="3415" w:type="dxa"/>
            <w:gridSpan w:val="5"/>
          </w:tcPr>
          <w:p w:rsidR="00E25DB6" w:rsidRDefault="00E25DB6" w:rsidP="00E25DB6">
            <w:pPr>
              <w:spacing w:line="240" w:lineRule="auto"/>
              <w:rPr>
                <w:rFonts w:ascii="Times New Roman" w:hAnsi="Times New Roman"/>
                <w:spacing w:val="-2"/>
                <w:sz w:val="24"/>
                <w:szCs w:val="24"/>
              </w:rPr>
            </w:pPr>
            <w:r>
              <w:rPr>
                <w:rFonts w:ascii="Times New Roman" w:hAnsi="Times New Roman"/>
                <w:spacing w:val="-2"/>
                <w:sz w:val="24"/>
                <w:szCs w:val="24"/>
              </w:rPr>
              <w:t xml:space="preserve">Dane statystyczne wykonanych legalizacji za lata ubiegłe </w:t>
            </w:r>
          </w:p>
        </w:tc>
        <w:tc>
          <w:tcPr>
            <w:tcW w:w="3182" w:type="dxa"/>
            <w:gridSpan w:val="4"/>
          </w:tcPr>
          <w:p w:rsidR="00B90D24" w:rsidRPr="00054A55" w:rsidRDefault="00E25DB6" w:rsidP="00054A55">
            <w:pPr>
              <w:spacing w:line="240" w:lineRule="auto"/>
              <w:jc w:val="both"/>
              <w:rPr>
                <w:rFonts w:ascii="Times New Roman" w:hAnsi="Times New Roman"/>
                <w:spacing w:val="-2"/>
              </w:rPr>
            </w:pPr>
            <w:r>
              <w:rPr>
                <w:rFonts w:ascii="Times New Roman" w:hAnsi="Times New Roman"/>
                <w:spacing w:val="-2"/>
              </w:rPr>
              <w:t xml:space="preserve">1. </w:t>
            </w:r>
            <w:r w:rsidR="00B90D24" w:rsidRPr="00054A55">
              <w:rPr>
                <w:rFonts w:ascii="Times New Roman" w:hAnsi="Times New Roman"/>
                <w:spacing w:val="-2"/>
              </w:rPr>
              <w:t>Umożliwienie odroczenia terminu dokonania legalizacji i zezwolenie na dalsze użytkowanie przyrządów pomiarowych w sytuacji panującej epidemii COVID-19.</w:t>
            </w:r>
          </w:p>
          <w:p w:rsidR="00B90D24" w:rsidRPr="00054A55" w:rsidRDefault="00E25DB6" w:rsidP="00054A55">
            <w:pPr>
              <w:spacing w:line="240" w:lineRule="auto"/>
              <w:jc w:val="both"/>
              <w:rPr>
                <w:rFonts w:ascii="Times New Roman" w:hAnsi="Times New Roman"/>
                <w:spacing w:val="-2"/>
              </w:rPr>
            </w:pPr>
            <w:r>
              <w:rPr>
                <w:rFonts w:ascii="Times New Roman" w:hAnsi="Times New Roman"/>
                <w:spacing w:val="-2"/>
              </w:rPr>
              <w:t xml:space="preserve">2. </w:t>
            </w:r>
            <w:r w:rsidR="00B90D24" w:rsidRPr="00054A55">
              <w:rPr>
                <w:rFonts w:ascii="Times New Roman" w:hAnsi="Times New Roman"/>
                <w:spacing w:val="-2"/>
              </w:rPr>
              <w:t>Zapewnienie odpowiedniej jakości pomiarów wykonywanych przyrządami pomiarowymi.</w:t>
            </w:r>
          </w:p>
          <w:p w:rsidR="00B90D24" w:rsidRPr="00054A55" w:rsidRDefault="00E25DB6" w:rsidP="00054A55">
            <w:pPr>
              <w:spacing w:line="240" w:lineRule="auto"/>
              <w:jc w:val="both"/>
              <w:rPr>
                <w:rFonts w:ascii="Times New Roman" w:hAnsi="Times New Roman"/>
                <w:spacing w:val="-2"/>
              </w:rPr>
            </w:pPr>
            <w:r>
              <w:rPr>
                <w:rFonts w:ascii="Times New Roman" w:hAnsi="Times New Roman"/>
                <w:spacing w:val="-2"/>
              </w:rPr>
              <w:t xml:space="preserve">3. </w:t>
            </w:r>
            <w:r w:rsidR="00B90D24" w:rsidRPr="00054A55">
              <w:rPr>
                <w:rFonts w:ascii="Times New Roman" w:hAnsi="Times New Roman"/>
                <w:spacing w:val="-2"/>
              </w:rPr>
              <w:t>Jednakowe traktowanie wszystkich użytkowników przyrządów pomiarowych.</w:t>
            </w:r>
          </w:p>
          <w:p w:rsidR="00B90D24" w:rsidRPr="00054A55" w:rsidRDefault="00E25DB6" w:rsidP="00054A55">
            <w:pPr>
              <w:spacing w:line="240" w:lineRule="auto"/>
              <w:jc w:val="both"/>
              <w:rPr>
                <w:rFonts w:ascii="Times New Roman" w:hAnsi="Times New Roman"/>
                <w:spacing w:val="-2"/>
              </w:rPr>
            </w:pPr>
            <w:r>
              <w:rPr>
                <w:rFonts w:ascii="Times New Roman" w:hAnsi="Times New Roman"/>
                <w:spacing w:val="-2"/>
              </w:rPr>
              <w:t xml:space="preserve">4. </w:t>
            </w:r>
            <w:r w:rsidR="00B90D24" w:rsidRPr="00054A55">
              <w:rPr>
                <w:rFonts w:ascii="Times New Roman" w:hAnsi="Times New Roman"/>
                <w:spacing w:val="-2"/>
              </w:rPr>
              <w:t xml:space="preserve">Umożliwienie działania zgodnego z prawem, w związku z użytkowaniem przyrządów pomiarowych, wobec których nie </w:t>
            </w:r>
            <w:r w:rsidR="00B90D24" w:rsidRPr="00054A55">
              <w:rPr>
                <w:rFonts w:ascii="Times New Roman" w:hAnsi="Times New Roman"/>
                <w:spacing w:val="-2"/>
              </w:rPr>
              <w:lastRenderedPageBreak/>
              <w:t>ma możliwości dokonania legalizacji w sytuacji nie zależnej od użytkownika.</w:t>
            </w:r>
          </w:p>
        </w:tc>
      </w:tr>
      <w:tr w:rsidR="006A701A" w:rsidRPr="00890C68" w:rsidTr="00641996">
        <w:trPr>
          <w:trHeight w:val="302"/>
        </w:trPr>
        <w:tc>
          <w:tcPr>
            <w:tcW w:w="11057" w:type="dxa"/>
            <w:gridSpan w:val="15"/>
            <w:shd w:val="clear" w:color="auto" w:fill="99CCFF"/>
            <w:vAlign w:val="center"/>
          </w:tcPr>
          <w:p w:rsidR="006A701A" w:rsidRPr="00890C68" w:rsidRDefault="001B3460" w:rsidP="00213EFD">
            <w:pPr>
              <w:numPr>
                <w:ilvl w:val="0"/>
                <w:numId w:val="3"/>
              </w:numPr>
              <w:spacing w:before="60" w:after="60" w:line="240" w:lineRule="auto"/>
              <w:ind w:left="318" w:hanging="284"/>
              <w:jc w:val="both"/>
              <w:rPr>
                <w:rFonts w:ascii="Times New Roman" w:hAnsi="Times New Roman"/>
                <w:b/>
                <w:color w:val="000000"/>
              </w:rPr>
            </w:pPr>
            <w:r w:rsidRPr="00890C68">
              <w:rPr>
                <w:rFonts w:ascii="Times New Roman" w:hAnsi="Times New Roman"/>
                <w:b/>
                <w:color w:val="000000"/>
              </w:rPr>
              <w:lastRenderedPageBreak/>
              <w:t>Informacje na temat zakresu</w:t>
            </w:r>
            <w:r w:rsidR="0076658F" w:rsidRPr="00890C68">
              <w:rPr>
                <w:rFonts w:ascii="Times New Roman" w:hAnsi="Times New Roman"/>
                <w:b/>
                <w:color w:val="000000"/>
              </w:rPr>
              <w:t>,</w:t>
            </w:r>
            <w:r w:rsidRPr="00890C68">
              <w:rPr>
                <w:rFonts w:ascii="Times New Roman" w:hAnsi="Times New Roman"/>
                <w:b/>
                <w:color w:val="000000"/>
              </w:rPr>
              <w:t xml:space="preserve"> czasu trwania </w:t>
            </w:r>
            <w:r w:rsidR="0076658F" w:rsidRPr="00890C68">
              <w:rPr>
                <w:rFonts w:ascii="Times New Roman" w:hAnsi="Times New Roman"/>
                <w:b/>
                <w:color w:val="000000"/>
              </w:rPr>
              <w:t xml:space="preserve">i podsumowanie wyników </w:t>
            </w:r>
            <w:r w:rsidRPr="00890C68">
              <w:rPr>
                <w:rFonts w:ascii="Times New Roman" w:hAnsi="Times New Roman"/>
                <w:b/>
                <w:color w:val="000000"/>
              </w:rPr>
              <w:t>konsultacji</w:t>
            </w:r>
          </w:p>
        </w:tc>
      </w:tr>
      <w:tr w:rsidR="006A701A" w:rsidRPr="00890C68" w:rsidTr="00641996">
        <w:trPr>
          <w:trHeight w:val="342"/>
        </w:trPr>
        <w:tc>
          <w:tcPr>
            <w:tcW w:w="11057" w:type="dxa"/>
            <w:gridSpan w:val="15"/>
            <w:shd w:val="clear" w:color="auto" w:fill="FFFFFF"/>
          </w:tcPr>
          <w:p w:rsidR="00054A55" w:rsidRDefault="00D705AD" w:rsidP="00D705AD">
            <w:pPr>
              <w:spacing w:line="240" w:lineRule="auto"/>
              <w:jc w:val="both"/>
              <w:rPr>
                <w:rFonts w:ascii="Times New Roman" w:hAnsi="Times New Roman"/>
                <w:color w:val="000000"/>
                <w:spacing w:val="-2"/>
              </w:rPr>
            </w:pPr>
            <w:r w:rsidRPr="00890C68">
              <w:rPr>
                <w:rFonts w:ascii="Times New Roman" w:hAnsi="Times New Roman"/>
                <w:color w:val="000000"/>
                <w:spacing w:val="-2"/>
              </w:rPr>
              <w:t>Projekt zosta</w:t>
            </w:r>
            <w:r w:rsidR="00054A55">
              <w:rPr>
                <w:rFonts w:ascii="Times New Roman" w:hAnsi="Times New Roman"/>
                <w:color w:val="000000"/>
                <w:spacing w:val="-2"/>
              </w:rPr>
              <w:t>ł</w:t>
            </w:r>
            <w:r w:rsidRPr="00890C68">
              <w:rPr>
                <w:rFonts w:ascii="Times New Roman" w:hAnsi="Times New Roman"/>
                <w:color w:val="000000"/>
                <w:spacing w:val="-2"/>
              </w:rPr>
              <w:t xml:space="preserve"> zamieszczony na stronie internetowej BIP RCL zgodnie z przepisami ustawy z dnia 7 lipca 2005 r. o działalności lobbingowej w procesie stanowienia prawa.</w:t>
            </w:r>
            <w:r w:rsidR="00054A55">
              <w:rPr>
                <w:rFonts w:ascii="Times New Roman" w:hAnsi="Times New Roman"/>
                <w:color w:val="000000"/>
                <w:spacing w:val="-2"/>
              </w:rPr>
              <w:t xml:space="preserve"> W okresie październik 2018 r. – lipiec 2019 r. p</w:t>
            </w:r>
            <w:r w:rsidRPr="00890C68">
              <w:rPr>
                <w:rFonts w:ascii="Times New Roman" w:hAnsi="Times New Roman"/>
                <w:color w:val="000000"/>
                <w:spacing w:val="-2"/>
              </w:rPr>
              <w:t>rzeprowadz</w:t>
            </w:r>
            <w:r w:rsidR="00054A55">
              <w:rPr>
                <w:rFonts w:ascii="Times New Roman" w:hAnsi="Times New Roman"/>
                <w:color w:val="000000"/>
                <w:spacing w:val="-2"/>
              </w:rPr>
              <w:t>ono</w:t>
            </w:r>
            <w:r w:rsidRPr="00890C68">
              <w:rPr>
                <w:rFonts w:ascii="Times New Roman" w:hAnsi="Times New Roman"/>
                <w:color w:val="000000"/>
                <w:spacing w:val="-2"/>
              </w:rPr>
              <w:t xml:space="preserve"> konsultacj</w:t>
            </w:r>
            <w:r w:rsidR="00054A55">
              <w:rPr>
                <w:rFonts w:ascii="Times New Roman" w:hAnsi="Times New Roman"/>
                <w:color w:val="000000"/>
                <w:spacing w:val="-2"/>
              </w:rPr>
              <w:t>e</w:t>
            </w:r>
            <w:r w:rsidRPr="00890C68">
              <w:rPr>
                <w:rFonts w:ascii="Times New Roman" w:hAnsi="Times New Roman"/>
                <w:color w:val="000000"/>
                <w:spacing w:val="-2"/>
              </w:rPr>
              <w:t xml:space="preserve"> społeczn</w:t>
            </w:r>
            <w:r w:rsidR="00054A55">
              <w:rPr>
                <w:rFonts w:ascii="Times New Roman" w:hAnsi="Times New Roman"/>
                <w:color w:val="000000"/>
                <w:spacing w:val="-2"/>
              </w:rPr>
              <w:t>e. Wykaz podmiotów, które zgłosiły uwagi oraz raport z konsultacji publicznych znajduje się na str. BIP RCL:</w:t>
            </w:r>
          </w:p>
          <w:p w:rsidR="003519B1" w:rsidRPr="00890C68" w:rsidRDefault="00054A55" w:rsidP="00054A55">
            <w:pPr>
              <w:spacing w:line="240" w:lineRule="auto"/>
              <w:jc w:val="both"/>
              <w:rPr>
                <w:rFonts w:ascii="Times New Roman" w:hAnsi="Times New Roman"/>
                <w:color w:val="000000"/>
                <w:spacing w:val="-2"/>
              </w:rPr>
            </w:pPr>
            <w:r w:rsidRPr="00054A55">
              <w:rPr>
                <w:rFonts w:ascii="Times New Roman" w:hAnsi="Times New Roman"/>
                <w:color w:val="000000"/>
                <w:spacing w:val="-2"/>
              </w:rPr>
              <w:t>https://legislacja.rcl.gov.pl/projekt/12317354/katalog/12543041#12543041</w:t>
            </w:r>
          </w:p>
        </w:tc>
      </w:tr>
      <w:tr w:rsidR="00641996" w:rsidRPr="00890C68" w:rsidTr="00DE4146">
        <w:trPr>
          <w:trHeight w:val="363"/>
        </w:trPr>
        <w:tc>
          <w:tcPr>
            <w:tcW w:w="11057" w:type="dxa"/>
            <w:gridSpan w:val="15"/>
            <w:shd w:val="clear" w:color="auto" w:fill="99CCFF"/>
            <w:vAlign w:val="center"/>
          </w:tcPr>
          <w:p w:rsidR="00641996" w:rsidRPr="00890C68" w:rsidRDefault="00641996" w:rsidP="00641996">
            <w:pPr>
              <w:spacing w:before="60" w:after="60" w:line="240" w:lineRule="auto"/>
              <w:jc w:val="both"/>
              <w:rPr>
                <w:rFonts w:ascii="Times New Roman" w:hAnsi="Times New Roman"/>
                <w:b/>
                <w:color w:val="000000"/>
              </w:rPr>
            </w:pPr>
            <w:r w:rsidRPr="00890C68">
              <w:rPr>
                <w:rFonts w:ascii="Times New Roman" w:hAnsi="Times New Roman"/>
                <w:b/>
                <w:color w:val="000000"/>
              </w:rPr>
              <w:t>6. Wpływ na sektor finansów publicznych – razem</w:t>
            </w:r>
          </w:p>
        </w:tc>
      </w:tr>
      <w:tr w:rsidR="00641996" w:rsidRPr="00890C68" w:rsidTr="00EB6523">
        <w:trPr>
          <w:trHeight w:val="142"/>
        </w:trPr>
        <w:tc>
          <w:tcPr>
            <w:tcW w:w="2127" w:type="dxa"/>
            <w:gridSpan w:val="2"/>
            <w:vMerge w:val="restart"/>
            <w:shd w:val="clear" w:color="auto" w:fill="FFFFFF"/>
          </w:tcPr>
          <w:p w:rsidR="00641996" w:rsidRPr="00890C68" w:rsidRDefault="00641996" w:rsidP="00DE4146">
            <w:pPr>
              <w:spacing w:before="40" w:after="40"/>
              <w:rPr>
                <w:rFonts w:ascii="Times New Roman" w:hAnsi="Times New Roman"/>
                <w:i/>
                <w:color w:val="000000"/>
                <w:sz w:val="21"/>
                <w:szCs w:val="21"/>
              </w:rPr>
            </w:pPr>
            <w:r w:rsidRPr="00890C68">
              <w:rPr>
                <w:rFonts w:ascii="Times New Roman" w:hAnsi="Times New Roman"/>
                <w:color w:val="000000"/>
                <w:sz w:val="21"/>
                <w:szCs w:val="21"/>
              </w:rPr>
              <w:t>(ceny stałe z 2017 r.)</w:t>
            </w:r>
          </w:p>
        </w:tc>
        <w:tc>
          <w:tcPr>
            <w:tcW w:w="8930" w:type="dxa"/>
            <w:gridSpan w:val="13"/>
            <w:shd w:val="clear" w:color="auto" w:fill="FFFFFF"/>
          </w:tcPr>
          <w:p w:rsidR="00641996" w:rsidRPr="00890C68" w:rsidRDefault="00641996" w:rsidP="00DE4146">
            <w:pPr>
              <w:spacing w:before="40" w:after="40" w:line="240" w:lineRule="auto"/>
              <w:jc w:val="center"/>
              <w:rPr>
                <w:rFonts w:ascii="Times New Roman" w:hAnsi="Times New Roman"/>
                <w:i/>
                <w:color w:val="000000"/>
                <w:spacing w:val="-2"/>
                <w:sz w:val="21"/>
                <w:szCs w:val="21"/>
              </w:rPr>
            </w:pPr>
            <w:r w:rsidRPr="00890C68">
              <w:rPr>
                <w:rFonts w:ascii="Times New Roman" w:hAnsi="Times New Roman"/>
                <w:color w:val="000000"/>
                <w:sz w:val="21"/>
                <w:szCs w:val="21"/>
              </w:rPr>
              <w:t>Skutki w okresie 10 lat od wejścia w życie zmian [mln zł]</w:t>
            </w:r>
          </w:p>
        </w:tc>
      </w:tr>
      <w:tr w:rsidR="00641996" w:rsidRPr="00890C68" w:rsidTr="00EB6523">
        <w:trPr>
          <w:trHeight w:val="142"/>
        </w:trPr>
        <w:tc>
          <w:tcPr>
            <w:tcW w:w="2127" w:type="dxa"/>
            <w:gridSpan w:val="2"/>
            <w:vMerge/>
            <w:shd w:val="clear" w:color="auto" w:fill="FFFFFF"/>
          </w:tcPr>
          <w:p w:rsidR="00641996" w:rsidRPr="00890C68" w:rsidRDefault="00641996" w:rsidP="00DE4146">
            <w:pPr>
              <w:spacing w:before="40" w:after="40" w:line="240" w:lineRule="auto"/>
              <w:rPr>
                <w:rFonts w:ascii="Times New Roman" w:hAnsi="Times New Roman"/>
                <w:i/>
                <w:color w:val="000000"/>
                <w:sz w:val="21"/>
                <w:szCs w:val="21"/>
              </w:rPr>
            </w:pPr>
          </w:p>
        </w:tc>
        <w:tc>
          <w:tcPr>
            <w:tcW w:w="967" w:type="dxa"/>
            <w:gridSpan w:val="2"/>
            <w:shd w:val="clear" w:color="auto" w:fill="FFFFFF"/>
            <w:vAlign w:val="center"/>
          </w:tcPr>
          <w:p w:rsidR="00641996" w:rsidRPr="00890C68" w:rsidRDefault="00641996" w:rsidP="00DE4146">
            <w:pPr>
              <w:spacing w:line="240" w:lineRule="auto"/>
              <w:jc w:val="center"/>
              <w:rPr>
                <w:rFonts w:ascii="Times New Roman" w:hAnsi="Times New Roman"/>
                <w:color w:val="000000"/>
                <w:sz w:val="21"/>
                <w:szCs w:val="21"/>
              </w:rPr>
            </w:pPr>
            <w:r w:rsidRPr="00890C68">
              <w:rPr>
                <w:rFonts w:ascii="Times New Roman" w:hAnsi="Times New Roman"/>
                <w:color w:val="000000"/>
                <w:sz w:val="21"/>
                <w:szCs w:val="21"/>
              </w:rPr>
              <w:t>0</w:t>
            </w:r>
          </w:p>
        </w:tc>
        <w:tc>
          <w:tcPr>
            <w:tcW w:w="683" w:type="dxa"/>
            <w:shd w:val="clear" w:color="auto" w:fill="FFFFFF"/>
            <w:vAlign w:val="center"/>
          </w:tcPr>
          <w:p w:rsidR="00641996" w:rsidRPr="00890C68" w:rsidRDefault="00641996" w:rsidP="00DE4146">
            <w:pPr>
              <w:spacing w:line="240" w:lineRule="auto"/>
              <w:jc w:val="center"/>
              <w:rPr>
                <w:rFonts w:ascii="Times New Roman" w:hAnsi="Times New Roman"/>
                <w:color w:val="000000"/>
                <w:sz w:val="21"/>
                <w:szCs w:val="21"/>
              </w:rPr>
            </w:pPr>
            <w:r w:rsidRPr="00890C68">
              <w:rPr>
                <w:rFonts w:ascii="Times New Roman" w:hAnsi="Times New Roman"/>
                <w:color w:val="000000"/>
                <w:sz w:val="21"/>
                <w:szCs w:val="21"/>
              </w:rPr>
              <w:t>1</w:t>
            </w:r>
          </w:p>
        </w:tc>
        <w:tc>
          <w:tcPr>
            <w:tcW w:w="683" w:type="dxa"/>
            <w:shd w:val="clear" w:color="auto" w:fill="FFFFFF"/>
            <w:vAlign w:val="center"/>
          </w:tcPr>
          <w:p w:rsidR="00641996" w:rsidRPr="00890C68" w:rsidRDefault="00641996" w:rsidP="00DE4146">
            <w:pPr>
              <w:spacing w:line="240" w:lineRule="auto"/>
              <w:jc w:val="center"/>
              <w:rPr>
                <w:rFonts w:ascii="Times New Roman" w:hAnsi="Times New Roman"/>
                <w:color w:val="000000"/>
                <w:sz w:val="21"/>
                <w:szCs w:val="21"/>
              </w:rPr>
            </w:pPr>
            <w:r w:rsidRPr="00890C68">
              <w:rPr>
                <w:rFonts w:ascii="Times New Roman" w:hAnsi="Times New Roman"/>
                <w:color w:val="000000"/>
                <w:sz w:val="21"/>
                <w:szCs w:val="21"/>
              </w:rPr>
              <w:t>2</w:t>
            </w:r>
          </w:p>
        </w:tc>
        <w:tc>
          <w:tcPr>
            <w:tcW w:w="683" w:type="dxa"/>
            <w:shd w:val="clear" w:color="auto" w:fill="FFFFFF"/>
            <w:vAlign w:val="center"/>
          </w:tcPr>
          <w:p w:rsidR="00641996" w:rsidRPr="00890C68" w:rsidRDefault="00641996" w:rsidP="00DE4146">
            <w:pPr>
              <w:spacing w:line="240" w:lineRule="auto"/>
              <w:jc w:val="center"/>
              <w:rPr>
                <w:rFonts w:ascii="Times New Roman" w:hAnsi="Times New Roman"/>
                <w:color w:val="000000"/>
                <w:sz w:val="21"/>
                <w:szCs w:val="21"/>
              </w:rPr>
            </w:pPr>
            <w:r w:rsidRPr="00890C68">
              <w:rPr>
                <w:rFonts w:ascii="Times New Roman" w:hAnsi="Times New Roman"/>
                <w:color w:val="000000"/>
                <w:sz w:val="21"/>
                <w:szCs w:val="21"/>
              </w:rPr>
              <w:t>3</w:t>
            </w:r>
          </w:p>
        </w:tc>
        <w:tc>
          <w:tcPr>
            <w:tcW w:w="683" w:type="dxa"/>
            <w:shd w:val="clear" w:color="auto" w:fill="FFFFFF"/>
            <w:vAlign w:val="center"/>
          </w:tcPr>
          <w:p w:rsidR="00641996" w:rsidRPr="00890C68" w:rsidRDefault="00641996" w:rsidP="00DE4146">
            <w:pPr>
              <w:spacing w:line="240" w:lineRule="auto"/>
              <w:jc w:val="center"/>
              <w:rPr>
                <w:rFonts w:ascii="Times New Roman" w:hAnsi="Times New Roman"/>
                <w:color w:val="000000"/>
                <w:sz w:val="21"/>
                <w:szCs w:val="21"/>
              </w:rPr>
            </w:pPr>
            <w:r w:rsidRPr="00890C68">
              <w:rPr>
                <w:rFonts w:ascii="Times New Roman" w:hAnsi="Times New Roman"/>
                <w:color w:val="000000"/>
                <w:sz w:val="21"/>
                <w:szCs w:val="21"/>
              </w:rPr>
              <w:t>4</w:t>
            </w:r>
          </w:p>
        </w:tc>
        <w:tc>
          <w:tcPr>
            <w:tcW w:w="683" w:type="dxa"/>
            <w:shd w:val="clear" w:color="auto" w:fill="FFFFFF"/>
            <w:vAlign w:val="center"/>
          </w:tcPr>
          <w:p w:rsidR="00641996" w:rsidRPr="00890C68" w:rsidRDefault="00641996" w:rsidP="00DE4146">
            <w:pPr>
              <w:spacing w:line="240" w:lineRule="auto"/>
              <w:jc w:val="center"/>
              <w:rPr>
                <w:rFonts w:ascii="Times New Roman" w:hAnsi="Times New Roman"/>
                <w:color w:val="000000"/>
                <w:sz w:val="21"/>
                <w:szCs w:val="21"/>
              </w:rPr>
            </w:pPr>
            <w:r w:rsidRPr="00890C68">
              <w:rPr>
                <w:rFonts w:ascii="Times New Roman" w:hAnsi="Times New Roman"/>
                <w:color w:val="000000"/>
                <w:sz w:val="21"/>
                <w:szCs w:val="21"/>
              </w:rPr>
              <w:t>5</w:t>
            </w:r>
          </w:p>
        </w:tc>
        <w:tc>
          <w:tcPr>
            <w:tcW w:w="683" w:type="dxa"/>
            <w:shd w:val="clear" w:color="auto" w:fill="FFFFFF"/>
            <w:vAlign w:val="center"/>
          </w:tcPr>
          <w:p w:rsidR="00641996" w:rsidRPr="00890C68" w:rsidRDefault="00641996" w:rsidP="00DE4146">
            <w:pPr>
              <w:spacing w:line="240" w:lineRule="auto"/>
              <w:jc w:val="center"/>
              <w:rPr>
                <w:rFonts w:ascii="Times New Roman" w:hAnsi="Times New Roman"/>
                <w:color w:val="000000"/>
                <w:sz w:val="21"/>
                <w:szCs w:val="21"/>
              </w:rPr>
            </w:pPr>
            <w:r w:rsidRPr="00890C68">
              <w:rPr>
                <w:rFonts w:ascii="Times New Roman" w:hAnsi="Times New Roman"/>
                <w:color w:val="000000"/>
                <w:sz w:val="21"/>
                <w:szCs w:val="21"/>
              </w:rPr>
              <w:t>6</w:t>
            </w:r>
          </w:p>
        </w:tc>
        <w:tc>
          <w:tcPr>
            <w:tcW w:w="683" w:type="dxa"/>
            <w:shd w:val="clear" w:color="auto" w:fill="FFFFFF"/>
            <w:vAlign w:val="center"/>
          </w:tcPr>
          <w:p w:rsidR="00641996" w:rsidRPr="00890C68" w:rsidRDefault="00641996" w:rsidP="00DE4146">
            <w:pPr>
              <w:spacing w:line="240" w:lineRule="auto"/>
              <w:jc w:val="center"/>
              <w:rPr>
                <w:rFonts w:ascii="Times New Roman" w:hAnsi="Times New Roman"/>
                <w:color w:val="000000"/>
                <w:sz w:val="21"/>
                <w:szCs w:val="21"/>
              </w:rPr>
            </w:pPr>
            <w:r w:rsidRPr="00890C68">
              <w:rPr>
                <w:rFonts w:ascii="Times New Roman" w:hAnsi="Times New Roman"/>
                <w:color w:val="000000"/>
                <w:sz w:val="21"/>
                <w:szCs w:val="21"/>
              </w:rPr>
              <w:t>7</w:t>
            </w:r>
          </w:p>
        </w:tc>
        <w:tc>
          <w:tcPr>
            <w:tcW w:w="683" w:type="dxa"/>
            <w:shd w:val="clear" w:color="auto" w:fill="FFFFFF"/>
            <w:vAlign w:val="center"/>
          </w:tcPr>
          <w:p w:rsidR="00641996" w:rsidRPr="00890C68" w:rsidRDefault="00641996" w:rsidP="00DE4146">
            <w:pPr>
              <w:spacing w:line="240" w:lineRule="auto"/>
              <w:jc w:val="center"/>
              <w:rPr>
                <w:rFonts w:ascii="Times New Roman" w:hAnsi="Times New Roman"/>
                <w:color w:val="000000"/>
                <w:sz w:val="21"/>
                <w:szCs w:val="21"/>
              </w:rPr>
            </w:pPr>
            <w:r w:rsidRPr="00890C68">
              <w:rPr>
                <w:rFonts w:ascii="Times New Roman" w:hAnsi="Times New Roman"/>
                <w:color w:val="000000"/>
                <w:sz w:val="21"/>
                <w:szCs w:val="21"/>
              </w:rPr>
              <w:t>8</w:t>
            </w:r>
          </w:p>
        </w:tc>
        <w:tc>
          <w:tcPr>
            <w:tcW w:w="683" w:type="dxa"/>
            <w:shd w:val="clear" w:color="auto" w:fill="FFFFFF"/>
            <w:vAlign w:val="center"/>
          </w:tcPr>
          <w:p w:rsidR="00641996" w:rsidRPr="00890C68" w:rsidRDefault="00641996" w:rsidP="00DE4146">
            <w:pPr>
              <w:spacing w:line="240" w:lineRule="auto"/>
              <w:jc w:val="center"/>
              <w:rPr>
                <w:rFonts w:ascii="Times New Roman" w:hAnsi="Times New Roman"/>
                <w:color w:val="000000"/>
                <w:sz w:val="21"/>
                <w:szCs w:val="21"/>
              </w:rPr>
            </w:pPr>
            <w:r w:rsidRPr="00890C68">
              <w:rPr>
                <w:rFonts w:ascii="Times New Roman" w:hAnsi="Times New Roman"/>
                <w:color w:val="000000"/>
                <w:sz w:val="21"/>
                <w:szCs w:val="21"/>
              </w:rPr>
              <w:t>9</w:t>
            </w:r>
          </w:p>
        </w:tc>
        <w:tc>
          <w:tcPr>
            <w:tcW w:w="683" w:type="dxa"/>
            <w:shd w:val="clear" w:color="auto" w:fill="FFFFFF"/>
            <w:vAlign w:val="center"/>
          </w:tcPr>
          <w:p w:rsidR="00641996" w:rsidRPr="00890C68" w:rsidRDefault="00641996" w:rsidP="00DE4146">
            <w:pPr>
              <w:spacing w:line="240" w:lineRule="auto"/>
              <w:jc w:val="center"/>
              <w:rPr>
                <w:rFonts w:ascii="Times New Roman" w:hAnsi="Times New Roman"/>
                <w:color w:val="000000"/>
                <w:sz w:val="21"/>
                <w:szCs w:val="21"/>
              </w:rPr>
            </w:pPr>
            <w:r w:rsidRPr="00890C68">
              <w:rPr>
                <w:rFonts w:ascii="Times New Roman" w:hAnsi="Times New Roman"/>
                <w:color w:val="000000"/>
                <w:sz w:val="21"/>
                <w:szCs w:val="21"/>
              </w:rPr>
              <w:t>10</w:t>
            </w:r>
          </w:p>
        </w:tc>
        <w:tc>
          <w:tcPr>
            <w:tcW w:w="1133" w:type="dxa"/>
            <w:shd w:val="clear" w:color="auto" w:fill="FFFFFF"/>
          </w:tcPr>
          <w:p w:rsidR="00641996" w:rsidRPr="00890C68" w:rsidRDefault="00641996" w:rsidP="00DE4146">
            <w:pPr>
              <w:spacing w:before="40" w:after="40" w:line="240" w:lineRule="auto"/>
              <w:jc w:val="center"/>
              <w:rPr>
                <w:rFonts w:ascii="Times New Roman" w:hAnsi="Times New Roman"/>
                <w:b/>
                <w:i/>
                <w:color w:val="000000"/>
                <w:spacing w:val="-2"/>
                <w:sz w:val="21"/>
                <w:szCs w:val="21"/>
              </w:rPr>
            </w:pPr>
            <w:r w:rsidRPr="00890C68">
              <w:rPr>
                <w:rFonts w:ascii="Times New Roman" w:hAnsi="Times New Roman"/>
                <w:b/>
                <w:i/>
                <w:color w:val="000000"/>
                <w:spacing w:val="-2"/>
                <w:sz w:val="21"/>
                <w:szCs w:val="21"/>
              </w:rPr>
              <w:t>Łącznie (0-10)</w:t>
            </w:r>
          </w:p>
        </w:tc>
      </w:tr>
      <w:tr w:rsidR="00AB20A0" w:rsidRPr="00890C68" w:rsidTr="00997FE7">
        <w:trPr>
          <w:trHeight w:val="321"/>
        </w:trPr>
        <w:tc>
          <w:tcPr>
            <w:tcW w:w="2127" w:type="dxa"/>
            <w:gridSpan w:val="2"/>
            <w:shd w:val="clear" w:color="auto" w:fill="FFFFFF"/>
            <w:vAlign w:val="center"/>
          </w:tcPr>
          <w:p w:rsidR="00AB20A0" w:rsidRPr="00890C68" w:rsidRDefault="00890C68" w:rsidP="00AB20A0">
            <w:pPr>
              <w:spacing w:line="240" w:lineRule="auto"/>
              <w:rPr>
                <w:rFonts w:ascii="Times New Roman" w:hAnsi="Times New Roman"/>
                <w:color w:val="000000"/>
                <w:sz w:val="21"/>
                <w:szCs w:val="21"/>
              </w:rPr>
            </w:pPr>
            <w:r>
              <w:rPr>
                <w:rFonts w:ascii="Times New Roman" w:hAnsi="Times New Roman"/>
                <w:b/>
                <w:color w:val="000000"/>
                <w:sz w:val="21"/>
                <w:szCs w:val="21"/>
              </w:rPr>
              <w:t>Dochody</w:t>
            </w:r>
            <w:r w:rsidR="00556F00">
              <w:rPr>
                <w:rFonts w:ascii="Times New Roman" w:hAnsi="Times New Roman"/>
                <w:b/>
                <w:color w:val="000000"/>
                <w:sz w:val="21"/>
                <w:szCs w:val="21"/>
              </w:rPr>
              <w:t xml:space="preserve"> ogółem</w:t>
            </w:r>
          </w:p>
        </w:tc>
        <w:tc>
          <w:tcPr>
            <w:tcW w:w="967" w:type="dxa"/>
            <w:gridSpan w:val="2"/>
            <w:shd w:val="clear" w:color="auto" w:fill="FFFFFF"/>
            <w:vAlign w:val="center"/>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color w:val="000000"/>
                <w:sz w:val="21"/>
                <w:szCs w:val="21"/>
              </w:rPr>
              <w:t>0</w:t>
            </w:r>
          </w:p>
        </w:tc>
        <w:tc>
          <w:tcPr>
            <w:tcW w:w="683" w:type="dxa"/>
            <w:shd w:val="clear" w:color="auto" w:fill="FFFFFF"/>
          </w:tcPr>
          <w:p w:rsidR="00AB20A0" w:rsidRPr="00890C68" w:rsidRDefault="00AB20A0" w:rsidP="00AB20A0">
            <w:pPr>
              <w:jc w:val="center"/>
              <w:rPr>
                <w:rFonts w:ascii="Times New Roman" w:hAnsi="Times New Roman"/>
              </w:rPr>
            </w:pPr>
            <w:r w:rsidRPr="00890C68">
              <w:rPr>
                <w:rFonts w:ascii="Times New Roman" w:hAnsi="Times New Roman"/>
                <w:color w:val="000000"/>
                <w:sz w:val="21"/>
                <w:szCs w:val="21"/>
              </w:rPr>
              <w:t>0</w:t>
            </w:r>
          </w:p>
        </w:tc>
        <w:tc>
          <w:tcPr>
            <w:tcW w:w="683" w:type="dxa"/>
            <w:shd w:val="clear" w:color="auto" w:fill="FFFFFF"/>
          </w:tcPr>
          <w:p w:rsidR="00AB20A0" w:rsidRPr="00890C68" w:rsidRDefault="00AB20A0" w:rsidP="00AB20A0">
            <w:pPr>
              <w:jc w:val="center"/>
              <w:rPr>
                <w:rFonts w:ascii="Times New Roman" w:hAnsi="Times New Roman"/>
              </w:rPr>
            </w:pPr>
            <w:r w:rsidRPr="00890C68">
              <w:rPr>
                <w:rFonts w:ascii="Times New Roman" w:hAnsi="Times New Roman"/>
                <w:color w:val="000000"/>
                <w:sz w:val="21"/>
                <w:szCs w:val="21"/>
              </w:rPr>
              <w:t>0</w:t>
            </w:r>
          </w:p>
        </w:tc>
        <w:tc>
          <w:tcPr>
            <w:tcW w:w="683" w:type="dxa"/>
            <w:shd w:val="clear" w:color="auto" w:fill="FFFFFF"/>
          </w:tcPr>
          <w:p w:rsidR="00AB20A0" w:rsidRPr="00890C68" w:rsidRDefault="00AB20A0" w:rsidP="00AB20A0">
            <w:pPr>
              <w:jc w:val="center"/>
              <w:rPr>
                <w:rFonts w:ascii="Times New Roman" w:hAnsi="Times New Roman"/>
              </w:rPr>
            </w:pPr>
            <w:r w:rsidRPr="00890C68">
              <w:rPr>
                <w:rFonts w:ascii="Times New Roman" w:hAnsi="Times New Roman"/>
                <w:color w:val="000000"/>
                <w:sz w:val="21"/>
                <w:szCs w:val="21"/>
              </w:rPr>
              <w:t>0</w:t>
            </w:r>
          </w:p>
        </w:tc>
        <w:tc>
          <w:tcPr>
            <w:tcW w:w="683" w:type="dxa"/>
            <w:shd w:val="clear" w:color="auto" w:fill="FFFFFF"/>
          </w:tcPr>
          <w:p w:rsidR="00AB20A0" w:rsidRPr="00890C68" w:rsidRDefault="00AB20A0" w:rsidP="00AB20A0">
            <w:pPr>
              <w:jc w:val="center"/>
              <w:rPr>
                <w:rFonts w:ascii="Times New Roman" w:hAnsi="Times New Roman"/>
              </w:rPr>
            </w:pPr>
            <w:r w:rsidRPr="00890C68">
              <w:rPr>
                <w:rFonts w:ascii="Times New Roman" w:hAnsi="Times New Roman"/>
                <w:color w:val="000000"/>
                <w:sz w:val="21"/>
                <w:szCs w:val="21"/>
              </w:rPr>
              <w:t>0</w:t>
            </w:r>
          </w:p>
        </w:tc>
        <w:tc>
          <w:tcPr>
            <w:tcW w:w="683" w:type="dxa"/>
            <w:shd w:val="clear" w:color="auto" w:fill="FFFFFF"/>
          </w:tcPr>
          <w:p w:rsidR="00AB20A0" w:rsidRPr="00890C68" w:rsidRDefault="00AB20A0" w:rsidP="00AB20A0">
            <w:pPr>
              <w:jc w:val="center"/>
              <w:rPr>
                <w:rFonts w:ascii="Times New Roman" w:hAnsi="Times New Roman"/>
              </w:rPr>
            </w:pPr>
            <w:r w:rsidRPr="00890C68">
              <w:rPr>
                <w:rFonts w:ascii="Times New Roman" w:hAnsi="Times New Roman"/>
                <w:color w:val="000000"/>
                <w:sz w:val="21"/>
                <w:szCs w:val="21"/>
              </w:rPr>
              <w:t>0</w:t>
            </w:r>
          </w:p>
        </w:tc>
        <w:tc>
          <w:tcPr>
            <w:tcW w:w="683" w:type="dxa"/>
            <w:shd w:val="clear" w:color="auto" w:fill="FFFFFF"/>
          </w:tcPr>
          <w:p w:rsidR="00AB20A0" w:rsidRPr="00890C68" w:rsidRDefault="00AB20A0" w:rsidP="00AB20A0">
            <w:pPr>
              <w:jc w:val="center"/>
              <w:rPr>
                <w:rFonts w:ascii="Times New Roman" w:hAnsi="Times New Roman"/>
              </w:rPr>
            </w:pPr>
            <w:r w:rsidRPr="00890C68">
              <w:rPr>
                <w:rFonts w:ascii="Times New Roman" w:hAnsi="Times New Roman"/>
                <w:color w:val="000000"/>
                <w:sz w:val="21"/>
                <w:szCs w:val="21"/>
              </w:rPr>
              <w:t>0</w:t>
            </w:r>
          </w:p>
        </w:tc>
        <w:tc>
          <w:tcPr>
            <w:tcW w:w="683" w:type="dxa"/>
            <w:shd w:val="clear" w:color="auto" w:fill="FFFFFF"/>
          </w:tcPr>
          <w:p w:rsidR="00AB20A0" w:rsidRPr="00890C68" w:rsidRDefault="00AB20A0" w:rsidP="00AB20A0">
            <w:pPr>
              <w:jc w:val="center"/>
              <w:rPr>
                <w:rFonts w:ascii="Times New Roman" w:hAnsi="Times New Roman"/>
              </w:rPr>
            </w:pPr>
            <w:r w:rsidRPr="00890C68">
              <w:rPr>
                <w:rFonts w:ascii="Times New Roman" w:hAnsi="Times New Roman"/>
                <w:color w:val="000000"/>
                <w:sz w:val="21"/>
                <w:szCs w:val="21"/>
              </w:rPr>
              <w:t>0</w:t>
            </w:r>
          </w:p>
        </w:tc>
        <w:tc>
          <w:tcPr>
            <w:tcW w:w="683" w:type="dxa"/>
            <w:shd w:val="clear" w:color="auto" w:fill="FFFFFF"/>
          </w:tcPr>
          <w:p w:rsidR="00AB20A0" w:rsidRPr="00890C68" w:rsidRDefault="00AB20A0" w:rsidP="00AB20A0">
            <w:pPr>
              <w:jc w:val="center"/>
              <w:rPr>
                <w:rFonts w:ascii="Times New Roman" w:hAnsi="Times New Roman"/>
              </w:rPr>
            </w:pPr>
            <w:r w:rsidRPr="00890C68">
              <w:rPr>
                <w:rFonts w:ascii="Times New Roman" w:hAnsi="Times New Roman"/>
                <w:color w:val="000000"/>
                <w:sz w:val="21"/>
                <w:szCs w:val="21"/>
              </w:rPr>
              <w:t>0</w:t>
            </w:r>
          </w:p>
        </w:tc>
        <w:tc>
          <w:tcPr>
            <w:tcW w:w="683" w:type="dxa"/>
            <w:shd w:val="clear" w:color="auto" w:fill="FFFFFF"/>
          </w:tcPr>
          <w:p w:rsidR="00AB20A0" w:rsidRPr="00890C68" w:rsidRDefault="00AB20A0" w:rsidP="00AB20A0">
            <w:pPr>
              <w:jc w:val="center"/>
              <w:rPr>
                <w:rFonts w:ascii="Times New Roman" w:hAnsi="Times New Roman"/>
              </w:rPr>
            </w:pPr>
            <w:r w:rsidRPr="00890C68">
              <w:rPr>
                <w:rFonts w:ascii="Times New Roman" w:hAnsi="Times New Roman"/>
                <w:color w:val="000000"/>
                <w:sz w:val="21"/>
                <w:szCs w:val="21"/>
              </w:rPr>
              <w:t>0</w:t>
            </w:r>
          </w:p>
        </w:tc>
        <w:tc>
          <w:tcPr>
            <w:tcW w:w="683" w:type="dxa"/>
            <w:shd w:val="clear" w:color="auto" w:fill="FFFFFF"/>
          </w:tcPr>
          <w:p w:rsidR="00AB20A0" w:rsidRPr="00890C68" w:rsidRDefault="00AB20A0" w:rsidP="00AB20A0">
            <w:pPr>
              <w:jc w:val="center"/>
              <w:rPr>
                <w:rFonts w:ascii="Times New Roman" w:hAnsi="Times New Roman"/>
              </w:rPr>
            </w:pPr>
            <w:r w:rsidRPr="00890C68">
              <w:rPr>
                <w:rFonts w:ascii="Times New Roman" w:hAnsi="Times New Roman"/>
                <w:color w:val="000000"/>
                <w:sz w:val="21"/>
                <w:szCs w:val="21"/>
              </w:rPr>
              <w:t>0</w:t>
            </w:r>
          </w:p>
        </w:tc>
        <w:tc>
          <w:tcPr>
            <w:tcW w:w="1133" w:type="dxa"/>
            <w:shd w:val="clear" w:color="auto" w:fill="FFFFFF"/>
          </w:tcPr>
          <w:p w:rsidR="00AB20A0" w:rsidRPr="00890C68" w:rsidRDefault="00AB20A0" w:rsidP="00AB20A0">
            <w:pPr>
              <w:jc w:val="center"/>
              <w:rPr>
                <w:rFonts w:ascii="Times New Roman" w:hAnsi="Times New Roman"/>
              </w:rPr>
            </w:pPr>
            <w:r w:rsidRPr="00890C68">
              <w:rPr>
                <w:rFonts w:ascii="Times New Roman" w:hAnsi="Times New Roman"/>
                <w:color w:val="000000"/>
                <w:sz w:val="21"/>
                <w:szCs w:val="21"/>
              </w:rPr>
              <w:t>0</w:t>
            </w:r>
          </w:p>
        </w:tc>
      </w:tr>
      <w:tr w:rsidR="00AB20A0" w:rsidRPr="00890C68" w:rsidTr="00997FE7">
        <w:trPr>
          <w:trHeight w:val="321"/>
        </w:trPr>
        <w:tc>
          <w:tcPr>
            <w:tcW w:w="2127" w:type="dxa"/>
            <w:gridSpan w:val="2"/>
            <w:shd w:val="clear" w:color="auto" w:fill="FFFFFF"/>
            <w:vAlign w:val="center"/>
          </w:tcPr>
          <w:p w:rsidR="00AB20A0" w:rsidRPr="00890C68" w:rsidRDefault="00AB20A0" w:rsidP="00AB20A0">
            <w:pPr>
              <w:spacing w:line="240" w:lineRule="auto"/>
              <w:rPr>
                <w:rFonts w:ascii="Times New Roman" w:hAnsi="Times New Roman"/>
                <w:color w:val="000000"/>
                <w:sz w:val="21"/>
                <w:szCs w:val="21"/>
              </w:rPr>
            </w:pPr>
            <w:r w:rsidRPr="00890C68">
              <w:rPr>
                <w:rFonts w:ascii="Times New Roman" w:hAnsi="Times New Roman"/>
                <w:color w:val="000000"/>
                <w:sz w:val="21"/>
                <w:szCs w:val="21"/>
              </w:rPr>
              <w:t>budżet państwa</w:t>
            </w:r>
          </w:p>
        </w:tc>
        <w:tc>
          <w:tcPr>
            <w:tcW w:w="967" w:type="dxa"/>
            <w:gridSpan w:val="2"/>
            <w:shd w:val="clear" w:color="auto" w:fill="FFFFFF"/>
            <w:vAlign w:val="center"/>
          </w:tcPr>
          <w:p w:rsidR="00AB20A0" w:rsidRPr="00890C68" w:rsidRDefault="00AB20A0" w:rsidP="00AB20A0">
            <w:pPr>
              <w:spacing w:line="240" w:lineRule="auto"/>
              <w:jc w:val="center"/>
              <w:rPr>
                <w:rFonts w:ascii="Times New Roman" w:hAnsi="Times New Roman"/>
                <w:color w:val="000000"/>
                <w:sz w:val="21"/>
                <w:szCs w:val="21"/>
              </w:rPr>
            </w:pPr>
          </w:p>
        </w:tc>
        <w:tc>
          <w:tcPr>
            <w:tcW w:w="683" w:type="dxa"/>
            <w:shd w:val="clear" w:color="auto" w:fill="FFFFFF"/>
          </w:tcPr>
          <w:p w:rsidR="00AB20A0" w:rsidRPr="00890C68" w:rsidRDefault="00AB20A0" w:rsidP="00AB20A0">
            <w:pPr>
              <w:jc w:val="center"/>
              <w:rPr>
                <w:rFonts w:ascii="Times New Roman" w:hAnsi="Times New Roman"/>
              </w:rPr>
            </w:pPr>
            <w:r w:rsidRPr="00890C68">
              <w:rPr>
                <w:rFonts w:ascii="Times New Roman" w:hAnsi="Times New Roman"/>
                <w:color w:val="000000"/>
                <w:sz w:val="21"/>
                <w:szCs w:val="21"/>
              </w:rPr>
              <w:t>0</w:t>
            </w:r>
          </w:p>
        </w:tc>
        <w:tc>
          <w:tcPr>
            <w:tcW w:w="683" w:type="dxa"/>
            <w:shd w:val="clear" w:color="auto" w:fill="FFFFFF"/>
          </w:tcPr>
          <w:p w:rsidR="00AB20A0" w:rsidRPr="00890C68" w:rsidRDefault="00AB20A0" w:rsidP="00AB20A0">
            <w:pPr>
              <w:jc w:val="center"/>
              <w:rPr>
                <w:rFonts w:ascii="Times New Roman" w:hAnsi="Times New Roman"/>
              </w:rPr>
            </w:pPr>
            <w:r w:rsidRPr="00890C68">
              <w:rPr>
                <w:rFonts w:ascii="Times New Roman" w:hAnsi="Times New Roman"/>
                <w:color w:val="000000"/>
                <w:sz w:val="21"/>
                <w:szCs w:val="21"/>
              </w:rPr>
              <w:t>0</w:t>
            </w:r>
          </w:p>
        </w:tc>
        <w:tc>
          <w:tcPr>
            <w:tcW w:w="683" w:type="dxa"/>
            <w:shd w:val="clear" w:color="auto" w:fill="FFFFFF"/>
          </w:tcPr>
          <w:p w:rsidR="00AB20A0" w:rsidRPr="00890C68" w:rsidRDefault="00AB20A0" w:rsidP="00AB20A0">
            <w:pPr>
              <w:jc w:val="center"/>
              <w:rPr>
                <w:rFonts w:ascii="Times New Roman" w:hAnsi="Times New Roman"/>
              </w:rPr>
            </w:pPr>
            <w:r w:rsidRPr="00890C68">
              <w:rPr>
                <w:rFonts w:ascii="Times New Roman" w:hAnsi="Times New Roman"/>
                <w:color w:val="000000"/>
                <w:sz w:val="21"/>
                <w:szCs w:val="21"/>
              </w:rPr>
              <w:t>0</w:t>
            </w:r>
          </w:p>
        </w:tc>
        <w:tc>
          <w:tcPr>
            <w:tcW w:w="683" w:type="dxa"/>
            <w:shd w:val="clear" w:color="auto" w:fill="FFFFFF"/>
          </w:tcPr>
          <w:p w:rsidR="00AB20A0" w:rsidRPr="00890C68" w:rsidRDefault="00AB20A0" w:rsidP="00AB20A0">
            <w:pPr>
              <w:jc w:val="center"/>
              <w:rPr>
                <w:rFonts w:ascii="Times New Roman" w:hAnsi="Times New Roman"/>
              </w:rPr>
            </w:pPr>
            <w:r w:rsidRPr="00890C68">
              <w:rPr>
                <w:rFonts w:ascii="Times New Roman" w:hAnsi="Times New Roman"/>
                <w:color w:val="000000"/>
                <w:sz w:val="21"/>
                <w:szCs w:val="21"/>
              </w:rPr>
              <w:t>0</w:t>
            </w:r>
          </w:p>
        </w:tc>
        <w:tc>
          <w:tcPr>
            <w:tcW w:w="683" w:type="dxa"/>
            <w:shd w:val="clear" w:color="auto" w:fill="FFFFFF"/>
          </w:tcPr>
          <w:p w:rsidR="00AB20A0" w:rsidRPr="00890C68" w:rsidRDefault="00AB20A0" w:rsidP="00AB20A0">
            <w:pPr>
              <w:jc w:val="center"/>
              <w:rPr>
                <w:rFonts w:ascii="Times New Roman" w:hAnsi="Times New Roman"/>
              </w:rPr>
            </w:pPr>
            <w:r w:rsidRPr="00890C68">
              <w:rPr>
                <w:rFonts w:ascii="Times New Roman" w:hAnsi="Times New Roman"/>
                <w:color w:val="000000"/>
                <w:sz w:val="21"/>
                <w:szCs w:val="21"/>
              </w:rPr>
              <w:t>0</w:t>
            </w:r>
          </w:p>
        </w:tc>
        <w:tc>
          <w:tcPr>
            <w:tcW w:w="683" w:type="dxa"/>
            <w:shd w:val="clear" w:color="auto" w:fill="FFFFFF"/>
          </w:tcPr>
          <w:p w:rsidR="00AB20A0" w:rsidRPr="00890C68" w:rsidRDefault="00AB20A0" w:rsidP="00AB20A0">
            <w:pPr>
              <w:jc w:val="center"/>
              <w:rPr>
                <w:rFonts w:ascii="Times New Roman" w:hAnsi="Times New Roman"/>
              </w:rPr>
            </w:pPr>
            <w:r w:rsidRPr="00890C68">
              <w:rPr>
                <w:rFonts w:ascii="Times New Roman" w:hAnsi="Times New Roman"/>
                <w:color w:val="000000"/>
                <w:sz w:val="21"/>
                <w:szCs w:val="21"/>
              </w:rPr>
              <w:t>0</w:t>
            </w:r>
          </w:p>
        </w:tc>
        <w:tc>
          <w:tcPr>
            <w:tcW w:w="683" w:type="dxa"/>
            <w:shd w:val="clear" w:color="auto" w:fill="FFFFFF"/>
          </w:tcPr>
          <w:p w:rsidR="00AB20A0" w:rsidRPr="00890C68" w:rsidRDefault="00AB20A0" w:rsidP="00AB20A0">
            <w:pPr>
              <w:jc w:val="center"/>
              <w:rPr>
                <w:rFonts w:ascii="Times New Roman" w:hAnsi="Times New Roman"/>
              </w:rPr>
            </w:pPr>
            <w:r w:rsidRPr="00890C68">
              <w:rPr>
                <w:rFonts w:ascii="Times New Roman" w:hAnsi="Times New Roman"/>
                <w:color w:val="000000"/>
                <w:sz w:val="21"/>
                <w:szCs w:val="21"/>
              </w:rPr>
              <w:t>0</w:t>
            </w:r>
          </w:p>
        </w:tc>
        <w:tc>
          <w:tcPr>
            <w:tcW w:w="683" w:type="dxa"/>
            <w:shd w:val="clear" w:color="auto" w:fill="FFFFFF"/>
          </w:tcPr>
          <w:p w:rsidR="00AB20A0" w:rsidRPr="00890C68" w:rsidRDefault="00AB20A0" w:rsidP="00AB20A0">
            <w:pPr>
              <w:jc w:val="center"/>
              <w:rPr>
                <w:rFonts w:ascii="Times New Roman" w:hAnsi="Times New Roman"/>
              </w:rPr>
            </w:pPr>
            <w:r w:rsidRPr="00890C68">
              <w:rPr>
                <w:rFonts w:ascii="Times New Roman" w:hAnsi="Times New Roman"/>
                <w:color w:val="000000"/>
                <w:sz w:val="21"/>
                <w:szCs w:val="21"/>
              </w:rPr>
              <w:t>0</w:t>
            </w:r>
          </w:p>
        </w:tc>
        <w:tc>
          <w:tcPr>
            <w:tcW w:w="683" w:type="dxa"/>
            <w:shd w:val="clear" w:color="auto" w:fill="FFFFFF"/>
          </w:tcPr>
          <w:p w:rsidR="00AB20A0" w:rsidRPr="00890C68" w:rsidRDefault="00AB20A0" w:rsidP="00AB20A0">
            <w:pPr>
              <w:jc w:val="center"/>
              <w:rPr>
                <w:rFonts w:ascii="Times New Roman" w:hAnsi="Times New Roman"/>
              </w:rPr>
            </w:pPr>
            <w:r w:rsidRPr="00890C68">
              <w:rPr>
                <w:rFonts w:ascii="Times New Roman" w:hAnsi="Times New Roman"/>
                <w:color w:val="000000"/>
                <w:sz w:val="21"/>
                <w:szCs w:val="21"/>
              </w:rPr>
              <w:t>0</w:t>
            </w:r>
          </w:p>
        </w:tc>
        <w:tc>
          <w:tcPr>
            <w:tcW w:w="683" w:type="dxa"/>
            <w:shd w:val="clear" w:color="auto" w:fill="FFFFFF"/>
          </w:tcPr>
          <w:p w:rsidR="00AB20A0" w:rsidRPr="00890C68" w:rsidRDefault="00AB20A0" w:rsidP="00AB20A0">
            <w:pPr>
              <w:jc w:val="center"/>
              <w:rPr>
                <w:rFonts w:ascii="Times New Roman" w:hAnsi="Times New Roman"/>
              </w:rPr>
            </w:pPr>
            <w:r w:rsidRPr="00890C68">
              <w:rPr>
                <w:rFonts w:ascii="Times New Roman" w:hAnsi="Times New Roman"/>
                <w:color w:val="000000"/>
                <w:sz w:val="21"/>
                <w:szCs w:val="21"/>
              </w:rPr>
              <w:t>0</w:t>
            </w:r>
          </w:p>
        </w:tc>
        <w:tc>
          <w:tcPr>
            <w:tcW w:w="1133" w:type="dxa"/>
            <w:shd w:val="clear" w:color="auto" w:fill="FFFFFF"/>
          </w:tcPr>
          <w:p w:rsidR="00AB20A0" w:rsidRPr="00890C68" w:rsidRDefault="00AB20A0" w:rsidP="00AB20A0">
            <w:pPr>
              <w:jc w:val="center"/>
              <w:rPr>
                <w:rFonts w:ascii="Times New Roman" w:hAnsi="Times New Roman"/>
              </w:rPr>
            </w:pPr>
            <w:r w:rsidRPr="00890C68">
              <w:rPr>
                <w:rFonts w:ascii="Times New Roman" w:hAnsi="Times New Roman"/>
                <w:color w:val="000000"/>
                <w:sz w:val="21"/>
                <w:szCs w:val="21"/>
              </w:rPr>
              <w:t>0</w:t>
            </w:r>
          </w:p>
        </w:tc>
      </w:tr>
      <w:tr w:rsidR="00AB20A0" w:rsidRPr="00890C68" w:rsidTr="00997FE7">
        <w:trPr>
          <w:trHeight w:val="344"/>
        </w:trPr>
        <w:tc>
          <w:tcPr>
            <w:tcW w:w="2127" w:type="dxa"/>
            <w:gridSpan w:val="2"/>
            <w:shd w:val="clear" w:color="auto" w:fill="FFFFFF"/>
            <w:vAlign w:val="center"/>
          </w:tcPr>
          <w:p w:rsidR="00AB20A0" w:rsidRPr="00890C68" w:rsidRDefault="00AB20A0" w:rsidP="00AB20A0">
            <w:pPr>
              <w:spacing w:line="240" w:lineRule="auto"/>
              <w:rPr>
                <w:rFonts w:ascii="Times New Roman" w:hAnsi="Times New Roman"/>
                <w:color w:val="000000"/>
                <w:sz w:val="21"/>
                <w:szCs w:val="21"/>
              </w:rPr>
            </w:pPr>
            <w:r w:rsidRPr="00890C68">
              <w:rPr>
                <w:rFonts w:ascii="Times New Roman" w:hAnsi="Times New Roman"/>
                <w:color w:val="000000"/>
                <w:sz w:val="21"/>
                <w:szCs w:val="21"/>
              </w:rPr>
              <w:t>JST</w:t>
            </w:r>
          </w:p>
        </w:tc>
        <w:tc>
          <w:tcPr>
            <w:tcW w:w="967" w:type="dxa"/>
            <w:gridSpan w:val="2"/>
            <w:shd w:val="clear" w:color="auto" w:fill="FFFFFF"/>
            <w:vAlign w:val="center"/>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color w:val="000000"/>
                <w:sz w:val="21"/>
                <w:szCs w:val="21"/>
              </w:rPr>
              <w:t>0</w:t>
            </w:r>
          </w:p>
        </w:tc>
        <w:tc>
          <w:tcPr>
            <w:tcW w:w="683" w:type="dxa"/>
            <w:shd w:val="clear" w:color="auto" w:fill="FFFFFF"/>
          </w:tcPr>
          <w:p w:rsidR="00AB20A0" w:rsidRPr="00890C68" w:rsidRDefault="00AB20A0" w:rsidP="00AB20A0">
            <w:pPr>
              <w:jc w:val="center"/>
              <w:rPr>
                <w:rFonts w:ascii="Times New Roman" w:hAnsi="Times New Roman"/>
              </w:rPr>
            </w:pPr>
            <w:r w:rsidRPr="00890C68">
              <w:rPr>
                <w:rFonts w:ascii="Times New Roman" w:hAnsi="Times New Roman"/>
                <w:color w:val="000000"/>
                <w:sz w:val="21"/>
                <w:szCs w:val="21"/>
              </w:rPr>
              <w:t>0</w:t>
            </w:r>
          </w:p>
        </w:tc>
        <w:tc>
          <w:tcPr>
            <w:tcW w:w="683" w:type="dxa"/>
            <w:shd w:val="clear" w:color="auto" w:fill="FFFFFF"/>
          </w:tcPr>
          <w:p w:rsidR="00AB20A0" w:rsidRPr="00890C68" w:rsidRDefault="00AB20A0" w:rsidP="00AB20A0">
            <w:pPr>
              <w:jc w:val="center"/>
              <w:rPr>
                <w:rFonts w:ascii="Times New Roman" w:hAnsi="Times New Roman"/>
              </w:rPr>
            </w:pPr>
            <w:r w:rsidRPr="00890C68">
              <w:rPr>
                <w:rFonts w:ascii="Times New Roman" w:hAnsi="Times New Roman"/>
                <w:color w:val="000000"/>
                <w:sz w:val="21"/>
                <w:szCs w:val="21"/>
              </w:rPr>
              <w:t>0</w:t>
            </w:r>
          </w:p>
        </w:tc>
        <w:tc>
          <w:tcPr>
            <w:tcW w:w="683" w:type="dxa"/>
            <w:shd w:val="clear" w:color="auto" w:fill="FFFFFF"/>
          </w:tcPr>
          <w:p w:rsidR="00AB20A0" w:rsidRPr="00890C68" w:rsidRDefault="00AB20A0" w:rsidP="00AB20A0">
            <w:pPr>
              <w:jc w:val="center"/>
              <w:rPr>
                <w:rFonts w:ascii="Times New Roman" w:hAnsi="Times New Roman"/>
              </w:rPr>
            </w:pPr>
            <w:r w:rsidRPr="00890C68">
              <w:rPr>
                <w:rFonts w:ascii="Times New Roman" w:hAnsi="Times New Roman"/>
                <w:color w:val="000000"/>
                <w:sz w:val="21"/>
                <w:szCs w:val="21"/>
              </w:rPr>
              <w:t>0</w:t>
            </w:r>
          </w:p>
        </w:tc>
        <w:tc>
          <w:tcPr>
            <w:tcW w:w="683" w:type="dxa"/>
            <w:shd w:val="clear" w:color="auto" w:fill="FFFFFF"/>
          </w:tcPr>
          <w:p w:rsidR="00AB20A0" w:rsidRPr="00890C68" w:rsidRDefault="00AB20A0" w:rsidP="00AB20A0">
            <w:pPr>
              <w:jc w:val="center"/>
              <w:rPr>
                <w:rFonts w:ascii="Times New Roman" w:hAnsi="Times New Roman"/>
              </w:rPr>
            </w:pPr>
            <w:r w:rsidRPr="00890C68">
              <w:rPr>
                <w:rFonts w:ascii="Times New Roman" w:hAnsi="Times New Roman"/>
                <w:color w:val="000000"/>
                <w:sz w:val="21"/>
                <w:szCs w:val="21"/>
              </w:rPr>
              <w:t>0</w:t>
            </w:r>
          </w:p>
        </w:tc>
        <w:tc>
          <w:tcPr>
            <w:tcW w:w="683" w:type="dxa"/>
            <w:shd w:val="clear" w:color="auto" w:fill="FFFFFF"/>
          </w:tcPr>
          <w:p w:rsidR="00AB20A0" w:rsidRPr="00890C68" w:rsidRDefault="00AB20A0" w:rsidP="00AB20A0">
            <w:pPr>
              <w:jc w:val="center"/>
              <w:rPr>
                <w:rFonts w:ascii="Times New Roman" w:hAnsi="Times New Roman"/>
              </w:rPr>
            </w:pPr>
            <w:r w:rsidRPr="00890C68">
              <w:rPr>
                <w:rFonts w:ascii="Times New Roman" w:hAnsi="Times New Roman"/>
                <w:color w:val="000000"/>
                <w:sz w:val="21"/>
                <w:szCs w:val="21"/>
              </w:rPr>
              <w:t>0</w:t>
            </w:r>
          </w:p>
        </w:tc>
        <w:tc>
          <w:tcPr>
            <w:tcW w:w="683" w:type="dxa"/>
            <w:shd w:val="clear" w:color="auto" w:fill="FFFFFF"/>
          </w:tcPr>
          <w:p w:rsidR="00AB20A0" w:rsidRPr="00890C68" w:rsidRDefault="00AB20A0" w:rsidP="00AB20A0">
            <w:pPr>
              <w:jc w:val="center"/>
              <w:rPr>
                <w:rFonts w:ascii="Times New Roman" w:hAnsi="Times New Roman"/>
              </w:rPr>
            </w:pPr>
            <w:r w:rsidRPr="00890C68">
              <w:rPr>
                <w:rFonts w:ascii="Times New Roman" w:hAnsi="Times New Roman"/>
                <w:color w:val="000000"/>
                <w:sz w:val="21"/>
                <w:szCs w:val="21"/>
              </w:rPr>
              <w:t>0</w:t>
            </w:r>
          </w:p>
        </w:tc>
        <w:tc>
          <w:tcPr>
            <w:tcW w:w="683" w:type="dxa"/>
            <w:shd w:val="clear" w:color="auto" w:fill="FFFFFF"/>
          </w:tcPr>
          <w:p w:rsidR="00AB20A0" w:rsidRPr="00890C68" w:rsidRDefault="00AB20A0" w:rsidP="00AB20A0">
            <w:pPr>
              <w:jc w:val="center"/>
              <w:rPr>
                <w:rFonts w:ascii="Times New Roman" w:hAnsi="Times New Roman"/>
              </w:rPr>
            </w:pPr>
            <w:r w:rsidRPr="00890C68">
              <w:rPr>
                <w:rFonts w:ascii="Times New Roman" w:hAnsi="Times New Roman"/>
                <w:color w:val="000000"/>
                <w:sz w:val="21"/>
                <w:szCs w:val="21"/>
              </w:rPr>
              <w:t>0</w:t>
            </w:r>
          </w:p>
        </w:tc>
        <w:tc>
          <w:tcPr>
            <w:tcW w:w="683" w:type="dxa"/>
            <w:shd w:val="clear" w:color="auto" w:fill="FFFFFF"/>
          </w:tcPr>
          <w:p w:rsidR="00AB20A0" w:rsidRPr="00890C68" w:rsidRDefault="00AB20A0" w:rsidP="00AB20A0">
            <w:pPr>
              <w:jc w:val="center"/>
              <w:rPr>
                <w:rFonts w:ascii="Times New Roman" w:hAnsi="Times New Roman"/>
              </w:rPr>
            </w:pPr>
            <w:r w:rsidRPr="00890C68">
              <w:rPr>
                <w:rFonts w:ascii="Times New Roman" w:hAnsi="Times New Roman"/>
                <w:color w:val="000000"/>
                <w:sz w:val="21"/>
                <w:szCs w:val="21"/>
              </w:rPr>
              <w:t>0</w:t>
            </w:r>
          </w:p>
        </w:tc>
        <w:tc>
          <w:tcPr>
            <w:tcW w:w="683" w:type="dxa"/>
            <w:shd w:val="clear" w:color="auto" w:fill="FFFFFF"/>
          </w:tcPr>
          <w:p w:rsidR="00AB20A0" w:rsidRPr="00890C68" w:rsidRDefault="00AB20A0" w:rsidP="00AB20A0">
            <w:pPr>
              <w:jc w:val="center"/>
              <w:rPr>
                <w:rFonts w:ascii="Times New Roman" w:hAnsi="Times New Roman"/>
              </w:rPr>
            </w:pPr>
            <w:r w:rsidRPr="00890C68">
              <w:rPr>
                <w:rFonts w:ascii="Times New Roman" w:hAnsi="Times New Roman"/>
                <w:color w:val="000000"/>
                <w:sz w:val="21"/>
                <w:szCs w:val="21"/>
              </w:rPr>
              <w:t>0</w:t>
            </w:r>
          </w:p>
        </w:tc>
        <w:tc>
          <w:tcPr>
            <w:tcW w:w="683" w:type="dxa"/>
            <w:shd w:val="clear" w:color="auto" w:fill="FFFFFF"/>
          </w:tcPr>
          <w:p w:rsidR="00AB20A0" w:rsidRPr="00890C68" w:rsidRDefault="00AB20A0" w:rsidP="00AB20A0">
            <w:pPr>
              <w:jc w:val="center"/>
              <w:rPr>
                <w:rFonts w:ascii="Times New Roman" w:hAnsi="Times New Roman"/>
              </w:rPr>
            </w:pPr>
            <w:r w:rsidRPr="00890C68">
              <w:rPr>
                <w:rFonts w:ascii="Times New Roman" w:hAnsi="Times New Roman"/>
                <w:color w:val="000000"/>
                <w:sz w:val="21"/>
                <w:szCs w:val="21"/>
              </w:rPr>
              <w:t>0</w:t>
            </w:r>
          </w:p>
        </w:tc>
        <w:tc>
          <w:tcPr>
            <w:tcW w:w="1133" w:type="dxa"/>
            <w:shd w:val="clear" w:color="auto" w:fill="FFFFFF"/>
          </w:tcPr>
          <w:p w:rsidR="00AB20A0" w:rsidRPr="00890C68" w:rsidRDefault="00AB20A0" w:rsidP="00AB20A0">
            <w:pPr>
              <w:jc w:val="center"/>
              <w:rPr>
                <w:rFonts w:ascii="Times New Roman" w:hAnsi="Times New Roman"/>
              </w:rPr>
            </w:pPr>
            <w:r w:rsidRPr="00890C68">
              <w:rPr>
                <w:rFonts w:ascii="Times New Roman" w:hAnsi="Times New Roman"/>
                <w:color w:val="000000"/>
                <w:sz w:val="21"/>
                <w:szCs w:val="21"/>
              </w:rPr>
              <w:t>0</w:t>
            </w:r>
          </w:p>
        </w:tc>
      </w:tr>
      <w:tr w:rsidR="00641996" w:rsidRPr="00890C68" w:rsidTr="00EB6523">
        <w:trPr>
          <w:trHeight w:val="344"/>
        </w:trPr>
        <w:tc>
          <w:tcPr>
            <w:tcW w:w="2127" w:type="dxa"/>
            <w:gridSpan w:val="2"/>
            <w:shd w:val="clear" w:color="auto" w:fill="FFFFFF"/>
            <w:vAlign w:val="center"/>
          </w:tcPr>
          <w:p w:rsidR="00641996" w:rsidRPr="00890C68" w:rsidRDefault="00641996" w:rsidP="00DE4146">
            <w:pPr>
              <w:spacing w:line="240" w:lineRule="auto"/>
              <w:rPr>
                <w:rFonts w:ascii="Times New Roman" w:hAnsi="Times New Roman"/>
                <w:color w:val="000000"/>
                <w:sz w:val="21"/>
                <w:szCs w:val="21"/>
              </w:rPr>
            </w:pPr>
            <w:r w:rsidRPr="00890C68">
              <w:rPr>
                <w:rFonts w:ascii="Times New Roman" w:hAnsi="Times New Roman"/>
                <w:color w:val="000000"/>
                <w:sz w:val="21"/>
                <w:szCs w:val="21"/>
              </w:rPr>
              <w:t>pozostałe jednostki (oddzielnie)</w:t>
            </w:r>
          </w:p>
        </w:tc>
        <w:tc>
          <w:tcPr>
            <w:tcW w:w="967" w:type="dxa"/>
            <w:gridSpan w:val="2"/>
            <w:shd w:val="clear" w:color="auto" w:fill="FFFFFF"/>
            <w:vAlign w:val="center"/>
          </w:tcPr>
          <w:p w:rsidR="00641996" w:rsidRPr="00890C68" w:rsidRDefault="00641996" w:rsidP="00DE4146">
            <w:pPr>
              <w:spacing w:line="240" w:lineRule="auto"/>
              <w:jc w:val="center"/>
              <w:rPr>
                <w:rFonts w:ascii="Times New Roman" w:hAnsi="Times New Roman"/>
                <w:color w:val="000000"/>
                <w:sz w:val="21"/>
                <w:szCs w:val="21"/>
              </w:rPr>
            </w:pPr>
            <w:r w:rsidRPr="00890C68">
              <w:rPr>
                <w:rFonts w:ascii="Times New Roman" w:hAnsi="Times New Roman"/>
                <w:color w:val="000000"/>
                <w:sz w:val="21"/>
                <w:szCs w:val="21"/>
              </w:rPr>
              <w:t>0</w:t>
            </w:r>
          </w:p>
        </w:tc>
        <w:tc>
          <w:tcPr>
            <w:tcW w:w="683" w:type="dxa"/>
            <w:shd w:val="clear" w:color="auto" w:fill="FFFFFF"/>
            <w:vAlign w:val="center"/>
          </w:tcPr>
          <w:p w:rsidR="00641996" w:rsidRPr="00890C68" w:rsidRDefault="00641996" w:rsidP="00DE4146">
            <w:pPr>
              <w:spacing w:line="240" w:lineRule="auto"/>
              <w:jc w:val="center"/>
              <w:rPr>
                <w:rFonts w:ascii="Times New Roman" w:hAnsi="Times New Roman"/>
                <w:color w:val="000000"/>
                <w:sz w:val="21"/>
                <w:szCs w:val="21"/>
              </w:rPr>
            </w:pPr>
            <w:r w:rsidRPr="00890C68">
              <w:rPr>
                <w:rFonts w:ascii="Times New Roman" w:hAnsi="Times New Roman"/>
                <w:color w:val="000000"/>
                <w:sz w:val="21"/>
                <w:szCs w:val="21"/>
              </w:rPr>
              <w:t>0</w:t>
            </w:r>
          </w:p>
        </w:tc>
        <w:tc>
          <w:tcPr>
            <w:tcW w:w="683" w:type="dxa"/>
            <w:shd w:val="clear" w:color="auto" w:fill="FFFFFF"/>
            <w:vAlign w:val="center"/>
          </w:tcPr>
          <w:p w:rsidR="00641996" w:rsidRPr="00890C68" w:rsidRDefault="00641996" w:rsidP="00DE4146">
            <w:pPr>
              <w:spacing w:line="240" w:lineRule="auto"/>
              <w:jc w:val="center"/>
              <w:rPr>
                <w:rFonts w:ascii="Times New Roman" w:hAnsi="Times New Roman"/>
                <w:color w:val="000000"/>
                <w:sz w:val="21"/>
                <w:szCs w:val="21"/>
              </w:rPr>
            </w:pPr>
            <w:r w:rsidRPr="00890C68">
              <w:rPr>
                <w:rFonts w:ascii="Times New Roman" w:hAnsi="Times New Roman"/>
                <w:color w:val="000000"/>
                <w:sz w:val="21"/>
                <w:szCs w:val="21"/>
              </w:rPr>
              <w:t>0</w:t>
            </w:r>
          </w:p>
        </w:tc>
        <w:tc>
          <w:tcPr>
            <w:tcW w:w="683" w:type="dxa"/>
            <w:shd w:val="clear" w:color="auto" w:fill="FFFFFF"/>
            <w:vAlign w:val="center"/>
          </w:tcPr>
          <w:p w:rsidR="00641996" w:rsidRPr="00890C68" w:rsidRDefault="00641996" w:rsidP="00DE4146">
            <w:pPr>
              <w:spacing w:line="240" w:lineRule="auto"/>
              <w:jc w:val="center"/>
              <w:rPr>
                <w:rFonts w:ascii="Times New Roman" w:hAnsi="Times New Roman"/>
                <w:color w:val="000000"/>
                <w:sz w:val="21"/>
                <w:szCs w:val="21"/>
              </w:rPr>
            </w:pPr>
            <w:r w:rsidRPr="00890C68">
              <w:rPr>
                <w:rFonts w:ascii="Times New Roman" w:hAnsi="Times New Roman"/>
                <w:color w:val="000000"/>
                <w:sz w:val="21"/>
                <w:szCs w:val="21"/>
              </w:rPr>
              <w:t>0</w:t>
            </w:r>
          </w:p>
        </w:tc>
        <w:tc>
          <w:tcPr>
            <w:tcW w:w="683" w:type="dxa"/>
            <w:shd w:val="clear" w:color="auto" w:fill="FFFFFF"/>
            <w:vAlign w:val="center"/>
          </w:tcPr>
          <w:p w:rsidR="00641996" w:rsidRPr="00890C68" w:rsidRDefault="000A55BD" w:rsidP="00DE4146">
            <w:pPr>
              <w:spacing w:line="240" w:lineRule="auto"/>
              <w:jc w:val="center"/>
              <w:rPr>
                <w:rFonts w:ascii="Times New Roman" w:hAnsi="Times New Roman"/>
                <w:color w:val="000000"/>
                <w:sz w:val="21"/>
                <w:szCs w:val="21"/>
              </w:rPr>
            </w:pPr>
            <w:r w:rsidRPr="00890C68">
              <w:rPr>
                <w:rFonts w:ascii="Times New Roman" w:hAnsi="Times New Roman"/>
                <w:color w:val="000000"/>
                <w:sz w:val="21"/>
                <w:szCs w:val="21"/>
              </w:rPr>
              <w:t>0</w:t>
            </w:r>
          </w:p>
        </w:tc>
        <w:tc>
          <w:tcPr>
            <w:tcW w:w="683" w:type="dxa"/>
            <w:shd w:val="clear" w:color="auto" w:fill="FFFFFF"/>
            <w:vAlign w:val="center"/>
          </w:tcPr>
          <w:p w:rsidR="00641996" w:rsidRPr="00890C68" w:rsidRDefault="000A55BD" w:rsidP="00DE4146">
            <w:pPr>
              <w:spacing w:line="240" w:lineRule="auto"/>
              <w:jc w:val="center"/>
              <w:rPr>
                <w:rFonts w:ascii="Times New Roman" w:hAnsi="Times New Roman"/>
                <w:color w:val="000000"/>
                <w:sz w:val="21"/>
                <w:szCs w:val="21"/>
              </w:rPr>
            </w:pPr>
            <w:r w:rsidRPr="00890C68">
              <w:rPr>
                <w:rFonts w:ascii="Times New Roman" w:hAnsi="Times New Roman"/>
                <w:color w:val="000000"/>
                <w:sz w:val="21"/>
                <w:szCs w:val="21"/>
              </w:rPr>
              <w:t>0</w:t>
            </w:r>
          </w:p>
        </w:tc>
        <w:tc>
          <w:tcPr>
            <w:tcW w:w="683" w:type="dxa"/>
            <w:shd w:val="clear" w:color="auto" w:fill="FFFFFF"/>
            <w:vAlign w:val="center"/>
          </w:tcPr>
          <w:p w:rsidR="00641996" w:rsidRPr="00890C68" w:rsidRDefault="000A55BD" w:rsidP="00DE4146">
            <w:pPr>
              <w:spacing w:line="240" w:lineRule="auto"/>
              <w:jc w:val="center"/>
              <w:rPr>
                <w:rFonts w:ascii="Times New Roman" w:hAnsi="Times New Roman"/>
                <w:color w:val="000000"/>
                <w:sz w:val="21"/>
                <w:szCs w:val="21"/>
              </w:rPr>
            </w:pPr>
            <w:r w:rsidRPr="00890C68">
              <w:rPr>
                <w:rFonts w:ascii="Times New Roman" w:hAnsi="Times New Roman"/>
                <w:color w:val="000000"/>
                <w:sz w:val="21"/>
                <w:szCs w:val="21"/>
              </w:rPr>
              <w:t>0</w:t>
            </w:r>
          </w:p>
        </w:tc>
        <w:tc>
          <w:tcPr>
            <w:tcW w:w="683" w:type="dxa"/>
            <w:shd w:val="clear" w:color="auto" w:fill="FFFFFF"/>
            <w:vAlign w:val="center"/>
          </w:tcPr>
          <w:p w:rsidR="00641996" w:rsidRPr="00890C68" w:rsidRDefault="000A55BD" w:rsidP="00DE4146">
            <w:pPr>
              <w:spacing w:line="240" w:lineRule="auto"/>
              <w:jc w:val="center"/>
              <w:rPr>
                <w:rFonts w:ascii="Times New Roman" w:hAnsi="Times New Roman"/>
                <w:color w:val="000000"/>
                <w:sz w:val="21"/>
                <w:szCs w:val="21"/>
              </w:rPr>
            </w:pPr>
            <w:r w:rsidRPr="00890C68">
              <w:rPr>
                <w:rFonts w:ascii="Times New Roman" w:hAnsi="Times New Roman"/>
                <w:color w:val="000000"/>
                <w:sz w:val="21"/>
                <w:szCs w:val="21"/>
              </w:rPr>
              <w:t>0</w:t>
            </w:r>
          </w:p>
        </w:tc>
        <w:tc>
          <w:tcPr>
            <w:tcW w:w="683" w:type="dxa"/>
            <w:shd w:val="clear" w:color="auto" w:fill="FFFFFF"/>
            <w:vAlign w:val="center"/>
          </w:tcPr>
          <w:p w:rsidR="00641996" w:rsidRPr="00890C68" w:rsidRDefault="000A55BD" w:rsidP="00DE4146">
            <w:pPr>
              <w:spacing w:line="240" w:lineRule="auto"/>
              <w:jc w:val="center"/>
              <w:rPr>
                <w:rFonts w:ascii="Times New Roman" w:hAnsi="Times New Roman"/>
                <w:color w:val="000000"/>
                <w:sz w:val="21"/>
                <w:szCs w:val="21"/>
              </w:rPr>
            </w:pPr>
            <w:r w:rsidRPr="00890C68">
              <w:rPr>
                <w:rFonts w:ascii="Times New Roman" w:hAnsi="Times New Roman"/>
                <w:color w:val="000000"/>
                <w:sz w:val="21"/>
                <w:szCs w:val="21"/>
              </w:rPr>
              <w:t>0</w:t>
            </w:r>
          </w:p>
        </w:tc>
        <w:tc>
          <w:tcPr>
            <w:tcW w:w="683" w:type="dxa"/>
            <w:shd w:val="clear" w:color="auto" w:fill="FFFFFF"/>
            <w:vAlign w:val="center"/>
          </w:tcPr>
          <w:p w:rsidR="00641996" w:rsidRPr="00890C68" w:rsidRDefault="000A55BD" w:rsidP="00DE4146">
            <w:pPr>
              <w:spacing w:line="240" w:lineRule="auto"/>
              <w:jc w:val="center"/>
              <w:rPr>
                <w:rFonts w:ascii="Times New Roman" w:hAnsi="Times New Roman"/>
                <w:color w:val="000000"/>
                <w:sz w:val="21"/>
                <w:szCs w:val="21"/>
              </w:rPr>
            </w:pPr>
            <w:r w:rsidRPr="00890C68">
              <w:rPr>
                <w:rFonts w:ascii="Times New Roman" w:hAnsi="Times New Roman"/>
                <w:color w:val="000000"/>
                <w:sz w:val="21"/>
                <w:szCs w:val="21"/>
              </w:rPr>
              <w:t>0</w:t>
            </w:r>
          </w:p>
        </w:tc>
        <w:tc>
          <w:tcPr>
            <w:tcW w:w="683" w:type="dxa"/>
            <w:shd w:val="clear" w:color="auto" w:fill="FFFFFF"/>
            <w:vAlign w:val="center"/>
          </w:tcPr>
          <w:p w:rsidR="00641996" w:rsidRPr="00890C68" w:rsidRDefault="000A55BD" w:rsidP="00DE4146">
            <w:pPr>
              <w:spacing w:line="240" w:lineRule="auto"/>
              <w:jc w:val="center"/>
              <w:rPr>
                <w:rFonts w:ascii="Times New Roman" w:hAnsi="Times New Roman"/>
                <w:color w:val="000000"/>
                <w:sz w:val="21"/>
                <w:szCs w:val="21"/>
              </w:rPr>
            </w:pPr>
            <w:r w:rsidRPr="00890C68">
              <w:rPr>
                <w:rFonts w:ascii="Times New Roman" w:hAnsi="Times New Roman"/>
                <w:color w:val="000000"/>
                <w:sz w:val="21"/>
                <w:szCs w:val="21"/>
              </w:rPr>
              <w:t>0</w:t>
            </w:r>
          </w:p>
        </w:tc>
        <w:tc>
          <w:tcPr>
            <w:tcW w:w="1133" w:type="dxa"/>
            <w:shd w:val="clear" w:color="auto" w:fill="FFFFFF"/>
            <w:vAlign w:val="center"/>
          </w:tcPr>
          <w:p w:rsidR="00641996" w:rsidRPr="00890C68" w:rsidRDefault="000A55BD" w:rsidP="00DE4146">
            <w:pPr>
              <w:spacing w:line="240" w:lineRule="auto"/>
              <w:jc w:val="center"/>
              <w:rPr>
                <w:rFonts w:ascii="Times New Roman" w:hAnsi="Times New Roman"/>
                <w:b/>
                <w:color w:val="000000"/>
                <w:sz w:val="21"/>
                <w:szCs w:val="21"/>
              </w:rPr>
            </w:pPr>
            <w:r w:rsidRPr="00890C68">
              <w:rPr>
                <w:rFonts w:ascii="Times New Roman" w:hAnsi="Times New Roman"/>
                <w:b/>
                <w:color w:val="000000"/>
                <w:sz w:val="21"/>
                <w:szCs w:val="21"/>
              </w:rPr>
              <w:t>0</w:t>
            </w:r>
          </w:p>
        </w:tc>
      </w:tr>
      <w:tr w:rsidR="00641996" w:rsidRPr="00890C68" w:rsidTr="00EB6523">
        <w:trPr>
          <w:trHeight w:val="330"/>
        </w:trPr>
        <w:tc>
          <w:tcPr>
            <w:tcW w:w="2127" w:type="dxa"/>
            <w:gridSpan w:val="2"/>
            <w:shd w:val="clear" w:color="auto" w:fill="FFFFFF"/>
            <w:vAlign w:val="center"/>
          </w:tcPr>
          <w:p w:rsidR="00641996" w:rsidRPr="00890C68" w:rsidRDefault="00641996" w:rsidP="00DE4146">
            <w:pPr>
              <w:spacing w:line="240" w:lineRule="auto"/>
              <w:rPr>
                <w:rFonts w:ascii="Times New Roman" w:hAnsi="Times New Roman"/>
                <w:color w:val="000000"/>
                <w:sz w:val="21"/>
                <w:szCs w:val="21"/>
              </w:rPr>
            </w:pPr>
            <w:r w:rsidRPr="00890C68">
              <w:rPr>
                <w:rFonts w:ascii="Times New Roman" w:hAnsi="Times New Roman"/>
                <w:b/>
                <w:color w:val="000000"/>
                <w:sz w:val="21"/>
                <w:szCs w:val="21"/>
              </w:rPr>
              <w:t>Wydatki ogółem</w:t>
            </w:r>
          </w:p>
        </w:tc>
        <w:tc>
          <w:tcPr>
            <w:tcW w:w="967" w:type="dxa"/>
            <w:gridSpan w:val="2"/>
            <w:shd w:val="clear" w:color="auto" w:fill="FFFFFF"/>
            <w:vAlign w:val="center"/>
          </w:tcPr>
          <w:p w:rsidR="00641996" w:rsidRPr="00890C68" w:rsidRDefault="00641996" w:rsidP="00DE4146">
            <w:pPr>
              <w:spacing w:line="240" w:lineRule="auto"/>
              <w:jc w:val="center"/>
              <w:rPr>
                <w:rFonts w:ascii="Times New Roman" w:hAnsi="Times New Roman"/>
                <w:color w:val="000000"/>
                <w:sz w:val="21"/>
                <w:szCs w:val="21"/>
              </w:rPr>
            </w:pPr>
            <w:r w:rsidRPr="00890C68">
              <w:rPr>
                <w:rFonts w:ascii="Times New Roman" w:hAnsi="Times New Roman"/>
                <w:color w:val="000000"/>
                <w:sz w:val="21"/>
                <w:szCs w:val="21"/>
              </w:rPr>
              <w:t>0</w:t>
            </w:r>
          </w:p>
        </w:tc>
        <w:tc>
          <w:tcPr>
            <w:tcW w:w="683" w:type="dxa"/>
            <w:shd w:val="clear" w:color="auto" w:fill="FFFFFF"/>
            <w:vAlign w:val="center"/>
          </w:tcPr>
          <w:p w:rsidR="00641996" w:rsidRPr="00890C68" w:rsidRDefault="00F85992" w:rsidP="00DE4146">
            <w:pPr>
              <w:spacing w:line="240" w:lineRule="auto"/>
              <w:jc w:val="center"/>
              <w:rPr>
                <w:rFonts w:ascii="Times New Roman" w:hAnsi="Times New Roman"/>
                <w:color w:val="000000"/>
                <w:sz w:val="21"/>
                <w:szCs w:val="21"/>
              </w:rPr>
            </w:pPr>
            <w:r w:rsidRPr="00890C68">
              <w:rPr>
                <w:rFonts w:ascii="Times New Roman" w:hAnsi="Times New Roman"/>
                <w:color w:val="000000"/>
                <w:sz w:val="21"/>
                <w:szCs w:val="21"/>
              </w:rPr>
              <w:t>-</w:t>
            </w:r>
            <w:r w:rsidR="00DE6DA0">
              <w:rPr>
                <w:rFonts w:ascii="Times New Roman" w:hAnsi="Times New Roman"/>
                <w:color w:val="000000"/>
                <w:sz w:val="21"/>
                <w:szCs w:val="21"/>
              </w:rPr>
              <w:t>0,56</w:t>
            </w:r>
            <w:r w:rsidR="00A15D97" w:rsidRPr="00890C68">
              <w:rPr>
                <w:rFonts w:ascii="Times New Roman" w:hAnsi="Times New Roman"/>
                <w:color w:val="000000"/>
                <w:sz w:val="21"/>
                <w:szCs w:val="21"/>
              </w:rPr>
              <w:t>6601</w:t>
            </w:r>
          </w:p>
        </w:tc>
        <w:tc>
          <w:tcPr>
            <w:tcW w:w="683" w:type="dxa"/>
            <w:shd w:val="clear" w:color="auto" w:fill="FFFFFF"/>
            <w:vAlign w:val="center"/>
          </w:tcPr>
          <w:p w:rsidR="00641996" w:rsidRPr="00890C68" w:rsidRDefault="00194137" w:rsidP="00DE4146">
            <w:pPr>
              <w:spacing w:line="240" w:lineRule="auto"/>
              <w:jc w:val="center"/>
              <w:rPr>
                <w:rFonts w:ascii="Times New Roman" w:hAnsi="Times New Roman"/>
                <w:color w:val="000000"/>
                <w:sz w:val="21"/>
                <w:szCs w:val="21"/>
              </w:rPr>
            </w:pPr>
            <w:r>
              <w:rPr>
                <w:rFonts w:ascii="Times New Roman" w:hAnsi="Times New Roman"/>
                <w:color w:val="000000"/>
                <w:sz w:val="21"/>
                <w:szCs w:val="21"/>
              </w:rPr>
              <w:t>-0,76</w:t>
            </w:r>
            <w:r w:rsidR="00A15D97" w:rsidRPr="00890C68">
              <w:rPr>
                <w:rFonts w:ascii="Times New Roman" w:hAnsi="Times New Roman"/>
                <w:color w:val="000000"/>
                <w:sz w:val="21"/>
                <w:szCs w:val="21"/>
              </w:rPr>
              <w:t>6861</w:t>
            </w:r>
          </w:p>
        </w:tc>
        <w:tc>
          <w:tcPr>
            <w:tcW w:w="683" w:type="dxa"/>
            <w:shd w:val="clear" w:color="auto" w:fill="FFFFFF"/>
            <w:vAlign w:val="center"/>
          </w:tcPr>
          <w:p w:rsidR="00641996" w:rsidRPr="00890C68" w:rsidRDefault="00194137" w:rsidP="00F85992">
            <w:pPr>
              <w:spacing w:line="240" w:lineRule="auto"/>
              <w:jc w:val="center"/>
              <w:rPr>
                <w:rFonts w:ascii="Times New Roman" w:hAnsi="Times New Roman"/>
                <w:color w:val="000000"/>
                <w:sz w:val="21"/>
                <w:szCs w:val="21"/>
              </w:rPr>
            </w:pPr>
            <w:r>
              <w:rPr>
                <w:rFonts w:ascii="Times New Roman" w:hAnsi="Times New Roman"/>
                <w:color w:val="000000"/>
                <w:sz w:val="21"/>
                <w:szCs w:val="21"/>
              </w:rPr>
              <w:t>-1</w:t>
            </w:r>
            <w:r w:rsidR="000A55BD" w:rsidRPr="00890C68">
              <w:rPr>
                <w:rFonts w:ascii="Times New Roman" w:hAnsi="Times New Roman"/>
                <w:color w:val="000000"/>
                <w:sz w:val="21"/>
                <w:szCs w:val="21"/>
              </w:rPr>
              <w:t>,</w:t>
            </w:r>
            <w:r>
              <w:rPr>
                <w:rFonts w:ascii="Times New Roman" w:hAnsi="Times New Roman"/>
                <w:color w:val="000000"/>
                <w:sz w:val="21"/>
                <w:szCs w:val="21"/>
              </w:rPr>
              <w:t>97</w:t>
            </w:r>
            <w:r w:rsidR="00F85992" w:rsidRPr="00890C68">
              <w:rPr>
                <w:rFonts w:ascii="Times New Roman" w:hAnsi="Times New Roman"/>
                <w:color w:val="000000"/>
                <w:sz w:val="21"/>
                <w:szCs w:val="21"/>
              </w:rPr>
              <w:t>6740</w:t>
            </w:r>
          </w:p>
        </w:tc>
        <w:tc>
          <w:tcPr>
            <w:tcW w:w="683" w:type="dxa"/>
            <w:shd w:val="clear" w:color="auto" w:fill="FFFFFF"/>
            <w:vAlign w:val="center"/>
          </w:tcPr>
          <w:p w:rsidR="00641996" w:rsidRPr="00890C68" w:rsidRDefault="00194137" w:rsidP="00C0146F">
            <w:pPr>
              <w:spacing w:line="240" w:lineRule="auto"/>
              <w:jc w:val="center"/>
              <w:rPr>
                <w:rFonts w:ascii="Times New Roman" w:hAnsi="Times New Roman"/>
                <w:color w:val="000000"/>
                <w:sz w:val="21"/>
                <w:szCs w:val="21"/>
              </w:rPr>
            </w:pPr>
            <w:r>
              <w:rPr>
                <w:rFonts w:ascii="Times New Roman" w:hAnsi="Times New Roman"/>
                <w:color w:val="000000"/>
                <w:sz w:val="21"/>
                <w:szCs w:val="21"/>
              </w:rPr>
              <w:t>-11,16</w:t>
            </w:r>
            <w:r w:rsidR="00C0146F" w:rsidRPr="00890C68">
              <w:rPr>
                <w:rFonts w:ascii="Times New Roman" w:hAnsi="Times New Roman"/>
                <w:color w:val="000000"/>
                <w:sz w:val="21"/>
                <w:szCs w:val="21"/>
              </w:rPr>
              <w:t>6321</w:t>
            </w:r>
          </w:p>
        </w:tc>
        <w:tc>
          <w:tcPr>
            <w:tcW w:w="683" w:type="dxa"/>
            <w:shd w:val="clear" w:color="auto" w:fill="FFFFFF"/>
            <w:vAlign w:val="center"/>
          </w:tcPr>
          <w:p w:rsidR="00641996" w:rsidRPr="00890C68" w:rsidRDefault="00194137" w:rsidP="00DE4146">
            <w:pPr>
              <w:spacing w:line="240" w:lineRule="auto"/>
              <w:jc w:val="center"/>
              <w:rPr>
                <w:rFonts w:ascii="Times New Roman" w:hAnsi="Times New Roman"/>
                <w:color w:val="000000"/>
                <w:sz w:val="21"/>
                <w:szCs w:val="21"/>
              </w:rPr>
            </w:pPr>
            <w:r>
              <w:rPr>
                <w:rFonts w:ascii="Times New Roman" w:hAnsi="Times New Roman"/>
                <w:color w:val="000000"/>
                <w:sz w:val="21"/>
                <w:szCs w:val="21"/>
              </w:rPr>
              <w:t>-28,44</w:t>
            </w:r>
            <w:r w:rsidR="00E14AE1" w:rsidRPr="00890C68">
              <w:rPr>
                <w:rFonts w:ascii="Times New Roman" w:hAnsi="Times New Roman"/>
                <w:color w:val="000000"/>
                <w:sz w:val="21"/>
                <w:szCs w:val="21"/>
              </w:rPr>
              <w:t>6373</w:t>
            </w:r>
          </w:p>
        </w:tc>
        <w:tc>
          <w:tcPr>
            <w:tcW w:w="683" w:type="dxa"/>
            <w:shd w:val="clear" w:color="auto" w:fill="FFFFFF"/>
            <w:vAlign w:val="center"/>
          </w:tcPr>
          <w:p w:rsidR="00641996" w:rsidRPr="00890C68" w:rsidRDefault="00194137" w:rsidP="00DE4146">
            <w:pPr>
              <w:spacing w:line="240" w:lineRule="auto"/>
              <w:jc w:val="center"/>
              <w:rPr>
                <w:rFonts w:ascii="Times New Roman" w:hAnsi="Times New Roman"/>
                <w:color w:val="000000"/>
                <w:sz w:val="21"/>
                <w:szCs w:val="21"/>
              </w:rPr>
            </w:pPr>
            <w:r>
              <w:rPr>
                <w:rFonts w:ascii="Times New Roman" w:hAnsi="Times New Roman"/>
                <w:color w:val="000000"/>
                <w:sz w:val="21"/>
                <w:szCs w:val="21"/>
              </w:rPr>
              <w:t>-46,83</w:t>
            </w:r>
            <w:r w:rsidR="00E14AE1" w:rsidRPr="00890C68">
              <w:rPr>
                <w:rFonts w:ascii="Times New Roman" w:hAnsi="Times New Roman"/>
                <w:color w:val="000000"/>
                <w:sz w:val="21"/>
                <w:szCs w:val="21"/>
              </w:rPr>
              <w:t>9909</w:t>
            </w:r>
          </w:p>
        </w:tc>
        <w:tc>
          <w:tcPr>
            <w:tcW w:w="683" w:type="dxa"/>
            <w:shd w:val="clear" w:color="auto" w:fill="FFFFFF"/>
            <w:vAlign w:val="center"/>
          </w:tcPr>
          <w:p w:rsidR="00641996" w:rsidRPr="00890C68" w:rsidRDefault="00194137" w:rsidP="00DE4146">
            <w:pPr>
              <w:spacing w:line="240" w:lineRule="auto"/>
              <w:jc w:val="center"/>
              <w:rPr>
                <w:rFonts w:ascii="Times New Roman" w:hAnsi="Times New Roman"/>
                <w:color w:val="000000"/>
                <w:sz w:val="21"/>
                <w:szCs w:val="21"/>
              </w:rPr>
            </w:pPr>
            <w:r>
              <w:rPr>
                <w:rFonts w:ascii="Times New Roman" w:hAnsi="Times New Roman"/>
                <w:color w:val="000000"/>
                <w:sz w:val="21"/>
                <w:szCs w:val="21"/>
              </w:rPr>
              <w:t>-74,82</w:t>
            </w:r>
            <w:r w:rsidR="00E14AE1" w:rsidRPr="00890C68">
              <w:rPr>
                <w:rFonts w:ascii="Times New Roman" w:hAnsi="Times New Roman"/>
                <w:color w:val="000000"/>
                <w:sz w:val="21"/>
                <w:szCs w:val="21"/>
              </w:rPr>
              <w:t>9373</w:t>
            </w:r>
          </w:p>
        </w:tc>
        <w:tc>
          <w:tcPr>
            <w:tcW w:w="683" w:type="dxa"/>
            <w:shd w:val="clear" w:color="auto" w:fill="FFFFFF"/>
            <w:vAlign w:val="center"/>
          </w:tcPr>
          <w:p w:rsidR="00641996" w:rsidRPr="00890C68" w:rsidRDefault="00194137" w:rsidP="00DE4146">
            <w:pPr>
              <w:spacing w:line="240" w:lineRule="auto"/>
              <w:jc w:val="center"/>
              <w:rPr>
                <w:rFonts w:ascii="Times New Roman" w:hAnsi="Times New Roman"/>
                <w:color w:val="000000"/>
                <w:sz w:val="21"/>
                <w:szCs w:val="21"/>
              </w:rPr>
            </w:pPr>
            <w:r>
              <w:rPr>
                <w:rFonts w:ascii="Times New Roman" w:hAnsi="Times New Roman"/>
                <w:color w:val="000000"/>
                <w:sz w:val="21"/>
                <w:szCs w:val="21"/>
              </w:rPr>
              <w:t>-99,91</w:t>
            </w:r>
            <w:r w:rsidR="00E14AE1" w:rsidRPr="00890C68">
              <w:rPr>
                <w:rFonts w:ascii="Times New Roman" w:hAnsi="Times New Roman"/>
                <w:color w:val="000000"/>
                <w:sz w:val="21"/>
                <w:szCs w:val="21"/>
              </w:rPr>
              <w:t>8594</w:t>
            </w:r>
          </w:p>
        </w:tc>
        <w:tc>
          <w:tcPr>
            <w:tcW w:w="683" w:type="dxa"/>
            <w:shd w:val="clear" w:color="auto" w:fill="FFFFFF"/>
            <w:vAlign w:val="center"/>
          </w:tcPr>
          <w:p w:rsidR="00641996" w:rsidRPr="00890C68" w:rsidRDefault="00194137" w:rsidP="00DE4146">
            <w:pPr>
              <w:spacing w:line="240" w:lineRule="auto"/>
              <w:jc w:val="center"/>
              <w:rPr>
                <w:rFonts w:ascii="Times New Roman" w:hAnsi="Times New Roman"/>
                <w:color w:val="000000"/>
                <w:sz w:val="21"/>
                <w:szCs w:val="21"/>
              </w:rPr>
            </w:pPr>
            <w:r>
              <w:rPr>
                <w:rFonts w:ascii="Times New Roman" w:hAnsi="Times New Roman"/>
                <w:color w:val="000000"/>
                <w:sz w:val="21"/>
                <w:szCs w:val="21"/>
              </w:rPr>
              <w:t>-126,40</w:t>
            </w:r>
            <w:r w:rsidR="00E14AE1" w:rsidRPr="00890C68">
              <w:rPr>
                <w:rFonts w:ascii="Times New Roman" w:hAnsi="Times New Roman"/>
                <w:color w:val="000000"/>
                <w:sz w:val="21"/>
                <w:szCs w:val="21"/>
              </w:rPr>
              <w:t>7567</w:t>
            </w:r>
          </w:p>
        </w:tc>
        <w:tc>
          <w:tcPr>
            <w:tcW w:w="683" w:type="dxa"/>
            <w:shd w:val="clear" w:color="auto" w:fill="FFFFFF"/>
            <w:vAlign w:val="center"/>
          </w:tcPr>
          <w:p w:rsidR="00641996" w:rsidRPr="00890C68" w:rsidRDefault="00DE6DA0" w:rsidP="00DE4146">
            <w:pPr>
              <w:spacing w:line="240" w:lineRule="auto"/>
              <w:jc w:val="center"/>
              <w:rPr>
                <w:rFonts w:ascii="Times New Roman" w:hAnsi="Times New Roman"/>
                <w:color w:val="000000"/>
                <w:sz w:val="21"/>
                <w:szCs w:val="21"/>
              </w:rPr>
            </w:pPr>
            <w:r>
              <w:rPr>
                <w:rFonts w:ascii="Times New Roman" w:hAnsi="Times New Roman"/>
                <w:color w:val="000000"/>
                <w:sz w:val="21"/>
                <w:szCs w:val="21"/>
              </w:rPr>
              <w:t>-147,99</w:t>
            </w:r>
            <w:r w:rsidR="00890C68" w:rsidRPr="00890C68">
              <w:rPr>
                <w:rFonts w:ascii="Times New Roman" w:hAnsi="Times New Roman"/>
                <w:color w:val="000000"/>
                <w:sz w:val="21"/>
                <w:szCs w:val="21"/>
              </w:rPr>
              <w:t>6288</w:t>
            </w:r>
          </w:p>
        </w:tc>
        <w:tc>
          <w:tcPr>
            <w:tcW w:w="1133" w:type="dxa"/>
            <w:shd w:val="clear" w:color="auto" w:fill="FFFFFF"/>
            <w:vAlign w:val="center"/>
          </w:tcPr>
          <w:p w:rsidR="00641996" w:rsidRPr="00890C68" w:rsidRDefault="00DE6DA0" w:rsidP="00DE4146">
            <w:pPr>
              <w:spacing w:line="240" w:lineRule="auto"/>
              <w:jc w:val="center"/>
              <w:rPr>
                <w:rFonts w:ascii="Times New Roman" w:hAnsi="Times New Roman"/>
                <w:b/>
                <w:color w:val="000000"/>
                <w:sz w:val="21"/>
                <w:szCs w:val="21"/>
              </w:rPr>
            </w:pPr>
            <w:r>
              <w:rPr>
                <w:rFonts w:ascii="Times New Roman" w:hAnsi="Times New Roman"/>
                <w:b/>
                <w:color w:val="000000"/>
                <w:sz w:val="21"/>
                <w:szCs w:val="21"/>
              </w:rPr>
              <w:t>-540,38</w:t>
            </w:r>
            <w:r w:rsidR="00890C68" w:rsidRPr="00890C68">
              <w:rPr>
                <w:rFonts w:ascii="Times New Roman" w:hAnsi="Times New Roman"/>
                <w:b/>
                <w:color w:val="000000"/>
                <w:sz w:val="21"/>
                <w:szCs w:val="21"/>
              </w:rPr>
              <w:t>4627</w:t>
            </w:r>
          </w:p>
        </w:tc>
      </w:tr>
      <w:tr w:rsidR="00641996" w:rsidRPr="00890C68" w:rsidTr="00EB6523">
        <w:trPr>
          <w:trHeight w:val="330"/>
        </w:trPr>
        <w:tc>
          <w:tcPr>
            <w:tcW w:w="2127" w:type="dxa"/>
            <w:gridSpan w:val="2"/>
            <w:shd w:val="clear" w:color="auto" w:fill="FFFFFF"/>
            <w:vAlign w:val="center"/>
          </w:tcPr>
          <w:p w:rsidR="00641996" w:rsidRPr="00890C68" w:rsidRDefault="00641996" w:rsidP="00DE4146">
            <w:pPr>
              <w:spacing w:line="240" w:lineRule="auto"/>
              <w:rPr>
                <w:rFonts w:ascii="Times New Roman" w:hAnsi="Times New Roman"/>
                <w:color w:val="000000"/>
                <w:sz w:val="21"/>
                <w:szCs w:val="21"/>
              </w:rPr>
            </w:pPr>
            <w:r w:rsidRPr="00890C68">
              <w:rPr>
                <w:rFonts w:ascii="Times New Roman" w:hAnsi="Times New Roman"/>
                <w:color w:val="000000"/>
                <w:sz w:val="21"/>
                <w:szCs w:val="21"/>
              </w:rPr>
              <w:t>budżet państwa</w:t>
            </w:r>
          </w:p>
        </w:tc>
        <w:tc>
          <w:tcPr>
            <w:tcW w:w="967" w:type="dxa"/>
            <w:gridSpan w:val="2"/>
            <w:shd w:val="clear" w:color="auto" w:fill="FFFFFF"/>
            <w:vAlign w:val="center"/>
          </w:tcPr>
          <w:p w:rsidR="00641996" w:rsidRPr="00890C68" w:rsidRDefault="00641996" w:rsidP="00DE4146">
            <w:pPr>
              <w:spacing w:line="240" w:lineRule="auto"/>
              <w:jc w:val="center"/>
              <w:rPr>
                <w:rFonts w:ascii="Times New Roman" w:hAnsi="Times New Roman"/>
                <w:color w:val="000000"/>
                <w:sz w:val="21"/>
                <w:szCs w:val="21"/>
              </w:rPr>
            </w:pPr>
            <w:r w:rsidRPr="00890C68">
              <w:rPr>
                <w:rFonts w:ascii="Times New Roman" w:hAnsi="Times New Roman"/>
                <w:color w:val="000000"/>
                <w:sz w:val="21"/>
                <w:szCs w:val="21"/>
              </w:rPr>
              <w:t>0</w:t>
            </w:r>
          </w:p>
        </w:tc>
        <w:tc>
          <w:tcPr>
            <w:tcW w:w="683" w:type="dxa"/>
            <w:shd w:val="clear" w:color="auto" w:fill="FFFFFF"/>
            <w:vAlign w:val="center"/>
          </w:tcPr>
          <w:p w:rsidR="00641996" w:rsidRPr="00890C68" w:rsidRDefault="00F85992" w:rsidP="00DE4146">
            <w:pPr>
              <w:spacing w:line="240" w:lineRule="auto"/>
              <w:jc w:val="center"/>
              <w:rPr>
                <w:rFonts w:ascii="Times New Roman" w:hAnsi="Times New Roman"/>
                <w:color w:val="000000"/>
                <w:sz w:val="21"/>
                <w:szCs w:val="21"/>
              </w:rPr>
            </w:pPr>
            <w:r w:rsidRPr="00890C68">
              <w:rPr>
                <w:rFonts w:ascii="Times New Roman" w:hAnsi="Times New Roman"/>
                <w:color w:val="000000"/>
                <w:sz w:val="21"/>
                <w:szCs w:val="21"/>
              </w:rPr>
              <w:t>-</w:t>
            </w:r>
            <w:r w:rsidR="0057204B">
              <w:rPr>
                <w:rFonts w:ascii="Times New Roman" w:hAnsi="Times New Roman"/>
                <w:color w:val="000000"/>
                <w:sz w:val="21"/>
                <w:szCs w:val="21"/>
              </w:rPr>
              <w:t>0,567</w:t>
            </w:r>
            <w:r w:rsidR="00A15D97" w:rsidRPr="00890C68">
              <w:rPr>
                <w:rFonts w:ascii="Times New Roman" w:hAnsi="Times New Roman"/>
                <w:color w:val="000000"/>
                <w:sz w:val="21"/>
                <w:szCs w:val="21"/>
              </w:rPr>
              <w:t>6601</w:t>
            </w:r>
          </w:p>
        </w:tc>
        <w:tc>
          <w:tcPr>
            <w:tcW w:w="683" w:type="dxa"/>
            <w:shd w:val="clear" w:color="auto" w:fill="FFFFFF"/>
            <w:vAlign w:val="center"/>
          </w:tcPr>
          <w:p w:rsidR="00641996" w:rsidRPr="00890C68" w:rsidRDefault="00C76CED" w:rsidP="00DE4146">
            <w:pPr>
              <w:spacing w:line="240" w:lineRule="auto"/>
              <w:jc w:val="center"/>
              <w:rPr>
                <w:rFonts w:ascii="Times New Roman" w:hAnsi="Times New Roman"/>
                <w:color w:val="000000"/>
                <w:sz w:val="21"/>
                <w:szCs w:val="21"/>
              </w:rPr>
            </w:pPr>
            <w:r>
              <w:rPr>
                <w:rFonts w:ascii="Times New Roman" w:hAnsi="Times New Roman"/>
                <w:color w:val="000000"/>
                <w:sz w:val="21"/>
                <w:szCs w:val="21"/>
              </w:rPr>
              <w:t>-0,86</w:t>
            </w:r>
            <w:r w:rsidR="00A15D97" w:rsidRPr="00890C68">
              <w:rPr>
                <w:rFonts w:ascii="Times New Roman" w:hAnsi="Times New Roman"/>
                <w:color w:val="000000"/>
                <w:sz w:val="21"/>
                <w:szCs w:val="21"/>
              </w:rPr>
              <w:t>6861</w:t>
            </w:r>
          </w:p>
        </w:tc>
        <w:tc>
          <w:tcPr>
            <w:tcW w:w="683" w:type="dxa"/>
            <w:shd w:val="clear" w:color="auto" w:fill="FFFFFF"/>
            <w:vAlign w:val="center"/>
          </w:tcPr>
          <w:p w:rsidR="00641996" w:rsidRPr="00890C68" w:rsidRDefault="00F85992" w:rsidP="00DE4146">
            <w:pPr>
              <w:spacing w:line="240" w:lineRule="auto"/>
              <w:jc w:val="center"/>
              <w:rPr>
                <w:rFonts w:ascii="Times New Roman" w:hAnsi="Times New Roman"/>
                <w:color w:val="000000"/>
                <w:sz w:val="21"/>
                <w:szCs w:val="21"/>
              </w:rPr>
            </w:pPr>
            <w:r w:rsidRPr="00890C68">
              <w:rPr>
                <w:rFonts w:ascii="Times New Roman" w:hAnsi="Times New Roman"/>
                <w:color w:val="000000"/>
                <w:sz w:val="21"/>
                <w:szCs w:val="21"/>
              </w:rPr>
              <w:t>-2</w:t>
            </w:r>
            <w:r w:rsidR="00C76CED">
              <w:rPr>
                <w:rFonts w:ascii="Times New Roman" w:hAnsi="Times New Roman"/>
                <w:color w:val="000000"/>
                <w:sz w:val="21"/>
                <w:szCs w:val="21"/>
              </w:rPr>
              <w:t>,07</w:t>
            </w:r>
            <w:r w:rsidRPr="00890C68">
              <w:rPr>
                <w:rFonts w:ascii="Times New Roman" w:hAnsi="Times New Roman"/>
                <w:color w:val="000000"/>
                <w:sz w:val="21"/>
                <w:szCs w:val="21"/>
              </w:rPr>
              <w:t>6740</w:t>
            </w:r>
          </w:p>
        </w:tc>
        <w:tc>
          <w:tcPr>
            <w:tcW w:w="683" w:type="dxa"/>
            <w:shd w:val="clear" w:color="auto" w:fill="FFFFFF"/>
            <w:vAlign w:val="center"/>
          </w:tcPr>
          <w:p w:rsidR="00641996" w:rsidRPr="00890C68" w:rsidRDefault="00C0146F" w:rsidP="00DE4146">
            <w:pPr>
              <w:spacing w:line="240" w:lineRule="auto"/>
              <w:jc w:val="center"/>
              <w:rPr>
                <w:rFonts w:ascii="Times New Roman" w:hAnsi="Times New Roman"/>
                <w:color w:val="000000"/>
                <w:sz w:val="21"/>
                <w:szCs w:val="21"/>
              </w:rPr>
            </w:pPr>
            <w:r w:rsidRPr="00890C68">
              <w:rPr>
                <w:rFonts w:ascii="Times New Roman" w:hAnsi="Times New Roman"/>
                <w:color w:val="000000"/>
                <w:sz w:val="21"/>
                <w:szCs w:val="21"/>
              </w:rPr>
              <w:t>-10</w:t>
            </w:r>
            <w:r w:rsidR="00C76CED">
              <w:rPr>
                <w:rFonts w:ascii="Times New Roman" w:hAnsi="Times New Roman"/>
                <w:color w:val="000000"/>
                <w:sz w:val="21"/>
                <w:szCs w:val="21"/>
              </w:rPr>
              <w:t>,56</w:t>
            </w:r>
            <w:r w:rsidRPr="00890C68">
              <w:rPr>
                <w:rFonts w:ascii="Times New Roman" w:hAnsi="Times New Roman"/>
                <w:color w:val="000000"/>
                <w:sz w:val="21"/>
                <w:szCs w:val="21"/>
              </w:rPr>
              <w:t>6321</w:t>
            </w:r>
          </w:p>
        </w:tc>
        <w:tc>
          <w:tcPr>
            <w:tcW w:w="683" w:type="dxa"/>
            <w:shd w:val="clear" w:color="auto" w:fill="FFFFFF"/>
            <w:vAlign w:val="center"/>
          </w:tcPr>
          <w:p w:rsidR="00641996" w:rsidRPr="00890C68" w:rsidRDefault="00E14AE1" w:rsidP="00DE4146">
            <w:pPr>
              <w:spacing w:line="240" w:lineRule="auto"/>
              <w:jc w:val="center"/>
              <w:rPr>
                <w:rFonts w:ascii="Times New Roman" w:hAnsi="Times New Roman"/>
                <w:color w:val="000000"/>
                <w:sz w:val="21"/>
                <w:szCs w:val="21"/>
              </w:rPr>
            </w:pPr>
            <w:r w:rsidRPr="00890C68">
              <w:rPr>
                <w:rFonts w:ascii="Times New Roman" w:hAnsi="Times New Roman"/>
                <w:color w:val="000000"/>
                <w:sz w:val="21"/>
                <w:szCs w:val="21"/>
              </w:rPr>
              <w:t>-27</w:t>
            </w:r>
            <w:r w:rsidR="00C76CED">
              <w:rPr>
                <w:rFonts w:ascii="Times New Roman" w:hAnsi="Times New Roman"/>
                <w:color w:val="000000"/>
                <w:sz w:val="21"/>
                <w:szCs w:val="21"/>
              </w:rPr>
              <w:t>,84</w:t>
            </w:r>
            <w:r w:rsidRPr="00890C68">
              <w:rPr>
                <w:rFonts w:ascii="Times New Roman" w:hAnsi="Times New Roman"/>
                <w:color w:val="000000"/>
                <w:sz w:val="21"/>
                <w:szCs w:val="21"/>
              </w:rPr>
              <w:t>6373</w:t>
            </w:r>
          </w:p>
        </w:tc>
        <w:tc>
          <w:tcPr>
            <w:tcW w:w="683" w:type="dxa"/>
            <w:shd w:val="clear" w:color="auto" w:fill="FFFFFF"/>
            <w:vAlign w:val="center"/>
          </w:tcPr>
          <w:p w:rsidR="00641996" w:rsidRPr="00890C68" w:rsidRDefault="00C76CED" w:rsidP="00DE4146">
            <w:pPr>
              <w:spacing w:line="240" w:lineRule="auto"/>
              <w:jc w:val="center"/>
              <w:rPr>
                <w:rFonts w:ascii="Times New Roman" w:hAnsi="Times New Roman"/>
                <w:color w:val="000000"/>
                <w:sz w:val="21"/>
                <w:szCs w:val="21"/>
              </w:rPr>
            </w:pPr>
            <w:r>
              <w:rPr>
                <w:rFonts w:ascii="Times New Roman" w:hAnsi="Times New Roman"/>
                <w:color w:val="000000"/>
                <w:sz w:val="21"/>
                <w:szCs w:val="21"/>
              </w:rPr>
              <w:t>-46,23</w:t>
            </w:r>
            <w:r w:rsidR="00E14AE1" w:rsidRPr="00890C68">
              <w:rPr>
                <w:rFonts w:ascii="Times New Roman" w:hAnsi="Times New Roman"/>
                <w:color w:val="000000"/>
                <w:sz w:val="21"/>
                <w:szCs w:val="21"/>
              </w:rPr>
              <w:t>9909</w:t>
            </w:r>
          </w:p>
        </w:tc>
        <w:tc>
          <w:tcPr>
            <w:tcW w:w="683" w:type="dxa"/>
            <w:shd w:val="clear" w:color="auto" w:fill="FFFFFF"/>
            <w:vAlign w:val="center"/>
          </w:tcPr>
          <w:p w:rsidR="00641996" w:rsidRPr="00890C68" w:rsidRDefault="00C76CED" w:rsidP="00DE4146">
            <w:pPr>
              <w:spacing w:line="240" w:lineRule="auto"/>
              <w:jc w:val="center"/>
              <w:rPr>
                <w:rFonts w:ascii="Times New Roman" w:hAnsi="Times New Roman"/>
                <w:color w:val="000000"/>
                <w:sz w:val="21"/>
                <w:szCs w:val="21"/>
              </w:rPr>
            </w:pPr>
            <w:r>
              <w:rPr>
                <w:rFonts w:ascii="Times New Roman" w:hAnsi="Times New Roman"/>
                <w:color w:val="000000"/>
                <w:sz w:val="21"/>
                <w:szCs w:val="21"/>
              </w:rPr>
              <w:t>-74,12</w:t>
            </w:r>
            <w:r w:rsidR="00E14AE1" w:rsidRPr="00890C68">
              <w:rPr>
                <w:rFonts w:ascii="Times New Roman" w:hAnsi="Times New Roman"/>
                <w:color w:val="000000"/>
                <w:sz w:val="21"/>
                <w:szCs w:val="21"/>
              </w:rPr>
              <w:t>9373</w:t>
            </w:r>
          </w:p>
        </w:tc>
        <w:tc>
          <w:tcPr>
            <w:tcW w:w="683" w:type="dxa"/>
            <w:shd w:val="clear" w:color="auto" w:fill="FFFFFF"/>
            <w:vAlign w:val="center"/>
          </w:tcPr>
          <w:p w:rsidR="00641996" w:rsidRPr="00890C68" w:rsidRDefault="00E14AE1" w:rsidP="00DE4146">
            <w:pPr>
              <w:spacing w:line="240" w:lineRule="auto"/>
              <w:jc w:val="center"/>
              <w:rPr>
                <w:rFonts w:ascii="Times New Roman" w:hAnsi="Times New Roman"/>
                <w:color w:val="000000"/>
                <w:sz w:val="21"/>
                <w:szCs w:val="21"/>
              </w:rPr>
            </w:pPr>
            <w:r w:rsidRPr="00890C68">
              <w:rPr>
                <w:rFonts w:ascii="Times New Roman" w:hAnsi="Times New Roman"/>
                <w:color w:val="000000"/>
                <w:sz w:val="21"/>
                <w:szCs w:val="21"/>
              </w:rPr>
              <w:t>-99</w:t>
            </w:r>
            <w:r w:rsidR="00C76CED">
              <w:rPr>
                <w:rFonts w:ascii="Times New Roman" w:hAnsi="Times New Roman"/>
                <w:color w:val="000000"/>
                <w:sz w:val="21"/>
                <w:szCs w:val="21"/>
              </w:rPr>
              <w:t>,11</w:t>
            </w:r>
            <w:r w:rsidRPr="00890C68">
              <w:rPr>
                <w:rFonts w:ascii="Times New Roman" w:hAnsi="Times New Roman"/>
                <w:color w:val="000000"/>
                <w:sz w:val="21"/>
                <w:szCs w:val="21"/>
              </w:rPr>
              <w:t>8594</w:t>
            </w:r>
          </w:p>
        </w:tc>
        <w:tc>
          <w:tcPr>
            <w:tcW w:w="683" w:type="dxa"/>
            <w:shd w:val="clear" w:color="auto" w:fill="FFFFFF"/>
            <w:vAlign w:val="center"/>
          </w:tcPr>
          <w:p w:rsidR="00641996" w:rsidRPr="00890C68" w:rsidRDefault="00E14AE1" w:rsidP="00DE4146">
            <w:pPr>
              <w:spacing w:line="240" w:lineRule="auto"/>
              <w:jc w:val="center"/>
              <w:rPr>
                <w:rFonts w:ascii="Times New Roman" w:hAnsi="Times New Roman"/>
                <w:color w:val="000000"/>
                <w:sz w:val="21"/>
                <w:szCs w:val="21"/>
              </w:rPr>
            </w:pPr>
            <w:r w:rsidRPr="00890C68">
              <w:rPr>
                <w:rFonts w:ascii="Times New Roman" w:hAnsi="Times New Roman"/>
                <w:color w:val="000000"/>
                <w:sz w:val="21"/>
                <w:szCs w:val="21"/>
              </w:rPr>
              <w:t>-125</w:t>
            </w:r>
            <w:r w:rsidR="00C76CED">
              <w:rPr>
                <w:rFonts w:ascii="Times New Roman" w:hAnsi="Times New Roman"/>
                <w:color w:val="000000"/>
                <w:sz w:val="21"/>
                <w:szCs w:val="21"/>
              </w:rPr>
              <w:t>,60</w:t>
            </w:r>
            <w:r w:rsidR="00890C68" w:rsidRPr="00890C68">
              <w:rPr>
                <w:rFonts w:ascii="Times New Roman" w:hAnsi="Times New Roman"/>
                <w:color w:val="000000"/>
                <w:sz w:val="21"/>
                <w:szCs w:val="21"/>
              </w:rPr>
              <w:t>7567</w:t>
            </w:r>
          </w:p>
        </w:tc>
        <w:tc>
          <w:tcPr>
            <w:tcW w:w="683" w:type="dxa"/>
            <w:shd w:val="clear" w:color="auto" w:fill="FFFFFF"/>
            <w:vAlign w:val="center"/>
          </w:tcPr>
          <w:p w:rsidR="00641996" w:rsidRPr="00890C68" w:rsidRDefault="009B2053" w:rsidP="00DE4146">
            <w:pPr>
              <w:spacing w:line="240" w:lineRule="auto"/>
              <w:jc w:val="center"/>
              <w:rPr>
                <w:rFonts w:ascii="Times New Roman" w:hAnsi="Times New Roman"/>
                <w:color w:val="000000"/>
                <w:sz w:val="21"/>
                <w:szCs w:val="21"/>
              </w:rPr>
            </w:pPr>
            <w:r>
              <w:rPr>
                <w:rFonts w:ascii="Times New Roman" w:hAnsi="Times New Roman"/>
                <w:color w:val="000000"/>
                <w:sz w:val="21"/>
                <w:szCs w:val="21"/>
              </w:rPr>
              <w:t>-147,89</w:t>
            </w:r>
            <w:r w:rsidR="00890C68" w:rsidRPr="00890C68">
              <w:rPr>
                <w:rFonts w:ascii="Times New Roman" w:hAnsi="Times New Roman"/>
                <w:color w:val="000000"/>
                <w:sz w:val="21"/>
                <w:szCs w:val="21"/>
              </w:rPr>
              <w:t>6288</w:t>
            </w:r>
          </w:p>
        </w:tc>
        <w:tc>
          <w:tcPr>
            <w:tcW w:w="1133" w:type="dxa"/>
            <w:shd w:val="clear" w:color="auto" w:fill="FFFFFF"/>
            <w:vAlign w:val="center"/>
          </w:tcPr>
          <w:p w:rsidR="00641996" w:rsidRPr="00890C68" w:rsidRDefault="003C5AD1" w:rsidP="00DE4146">
            <w:pPr>
              <w:spacing w:line="240" w:lineRule="auto"/>
              <w:jc w:val="center"/>
              <w:rPr>
                <w:rFonts w:ascii="Times New Roman" w:hAnsi="Times New Roman"/>
                <w:b/>
                <w:color w:val="000000"/>
                <w:sz w:val="21"/>
                <w:szCs w:val="21"/>
              </w:rPr>
            </w:pPr>
            <w:r>
              <w:rPr>
                <w:rFonts w:ascii="Times New Roman" w:hAnsi="Times New Roman"/>
                <w:b/>
                <w:color w:val="000000"/>
                <w:sz w:val="21"/>
                <w:szCs w:val="21"/>
              </w:rPr>
              <w:t>-536,38</w:t>
            </w:r>
            <w:r w:rsidR="00890C68" w:rsidRPr="00890C68">
              <w:rPr>
                <w:rFonts w:ascii="Times New Roman" w:hAnsi="Times New Roman"/>
                <w:b/>
                <w:color w:val="000000"/>
                <w:sz w:val="21"/>
                <w:szCs w:val="21"/>
              </w:rPr>
              <w:t>4627</w:t>
            </w:r>
          </w:p>
        </w:tc>
      </w:tr>
      <w:tr w:rsidR="00B16B19" w:rsidRPr="00890C68" w:rsidTr="00EB6523">
        <w:trPr>
          <w:trHeight w:val="351"/>
        </w:trPr>
        <w:tc>
          <w:tcPr>
            <w:tcW w:w="2127" w:type="dxa"/>
            <w:gridSpan w:val="2"/>
            <w:shd w:val="clear" w:color="auto" w:fill="FFFFFF"/>
            <w:vAlign w:val="center"/>
          </w:tcPr>
          <w:p w:rsidR="00B16B19" w:rsidRPr="00890C68" w:rsidRDefault="00B16B19" w:rsidP="00B16B19">
            <w:pPr>
              <w:spacing w:line="240" w:lineRule="auto"/>
              <w:rPr>
                <w:rFonts w:ascii="Times New Roman" w:hAnsi="Times New Roman"/>
                <w:color w:val="000000"/>
                <w:sz w:val="21"/>
                <w:szCs w:val="21"/>
              </w:rPr>
            </w:pPr>
            <w:r w:rsidRPr="00890C68">
              <w:rPr>
                <w:rFonts w:ascii="Times New Roman" w:hAnsi="Times New Roman"/>
                <w:color w:val="000000"/>
                <w:sz w:val="21"/>
                <w:szCs w:val="21"/>
              </w:rPr>
              <w:t>JST</w:t>
            </w:r>
          </w:p>
        </w:tc>
        <w:tc>
          <w:tcPr>
            <w:tcW w:w="967" w:type="dxa"/>
            <w:gridSpan w:val="2"/>
            <w:shd w:val="clear" w:color="auto" w:fill="FFFFFF"/>
          </w:tcPr>
          <w:p w:rsidR="00B16B19" w:rsidRPr="00890C68" w:rsidRDefault="00B16B19" w:rsidP="00B16B19">
            <w:pPr>
              <w:jc w:val="center"/>
              <w:rPr>
                <w:rFonts w:ascii="Times New Roman" w:hAnsi="Times New Roman"/>
              </w:rPr>
            </w:pPr>
            <w:r w:rsidRPr="00890C68">
              <w:rPr>
                <w:rFonts w:ascii="Times New Roman" w:hAnsi="Times New Roman"/>
              </w:rPr>
              <w:t>0</w:t>
            </w:r>
          </w:p>
        </w:tc>
        <w:tc>
          <w:tcPr>
            <w:tcW w:w="683" w:type="dxa"/>
            <w:shd w:val="clear" w:color="auto" w:fill="FFFFFF"/>
          </w:tcPr>
          <w:p w:rsidR="00B16B19" w:rsidRPr="00890C68" w:rsidRDefault="00B16B19" w:rsidP="00B16B19">
            <w:pPr>
              <w:jc w:val="center"/>
              <w:rPr>
                <w:rFonts w:ascii="Times New Roman" w:hAnsi="Times New Roman"/>
              </w:rPr>
            </w:pPr>
            <w:r w:rsidRPr="00890C68">
              <w:rPr>
                <w:rFonts w:ascii="Times New Roman" w:hAnsi="Times New Roman"/>
              </w:rPr>
              <w:t>0</w:t>
            </w:r>
          </w:p>
        </w:tc>
        <w:tc>
          <w:tcPr>
            <w:tcW w:w="683" w:type="dxa"/>
            <w:shd w:val="clear" w:color="auto" w:fill="FFFFFF"/>
          </w:tcPr>
          <w:p w:rsidR="00B16B19" w:rsidRPr="00890C68" w:rsidRDefault="00B16B19" w:rsidP="00B16B19">
            <w:pPr>
              <w:jc w:val="center"/>
              <w:rPr>
                <w:rFonts w:ascii="Times New Roman" w:hAnsi="Times New Roman"/>
              </w:rPr>
            </w:pPr>
            <w:r w:rsidRPr="00890C68">
              <w:rPr>
                <w:rFonts w:ascii="Times New Roman" w:hAnsi="Times New Roman"/>
              </w:rPr>
              <w:t>0,1</w:t>
            </w:r>
          </w:p>
        </w:tc>
        <w:tc>
          <w:tcPr>
            <w:tcW w:w="683" w:type="dxa"/>
            <w:shd w:val="clear" w:color="auto" w:fill="FFFFFF"/>
          </w:tcPr>
          <w:p w:rsidR="00B16B19" w:rsidRPr="00890C68" w:rsidRDefault="00B16B19" w:rsidP="00B16B19">
            <w:pPr>
              <w:jc w:val="center"/>
              <w:rPr>
                <w:rFonts w:ascii="Times New Roman" w:hAnsi="Times New Roman"/>
              </w:rPr>
            </w:pPr>
            <w:r w:rsidRPr="00890C68">
              <w:rPr>
                <w:rFonts w:ascii="Times New Roman" w:hAnsi="Times New Roman"/>
              </w:rPr>
              <w:t>0,1</w:t>
            </w:r>
          </w:p>
        </w:tc>
        <w:tc>
          <w:tcPr>
            <w:tcW w:w="683" w:type="dxa"/>
            <w:shd w:val="clear" w:color="auto" w:fill="FFFFFF"/>
          </w:tcPr>
          <w:p w:rsidR="00B16B19" w:rsidRPr="00890C68" w:rsidRDefault="00B16B19" w:rsidP="00B16B19">
            <w:pPr>
              <w:jc w:val="center"/>
              <w:rPr>
                <w:rFonts w:ascii="Times New Roman" w:hAnsi="Times New Roman"/>
              </w:rPr>
            </w:pPr>
            <w:r w:rsidRPr="00890C68">
              <w:rPr>
                <w:rFonts w:ascii="Times New Roman" w:hAnsi="Times New Roman"/>
              </w:rPr>
              <w:t>-0,6</w:t>
            </w:r>
          </w:p>
        </w:tc>
        <w:tc>
          <w:tcPr>
            <w:tcW w:w="683" w:type="dxa"/>
            <w:shd w:val="clear" w:color="auto" w:fill="FFFFFF"/>
          </w:tcPr>
          <w:p w:rsidR="00B16B19" w:rsidRPr="00890C68" w:rsidRDefault="00B16B19" w:rsidP="00B16B19">
            <w:pPr>
              <w:jc w:val="center"/>
              <w:rPr>
                <w:rFonts w:ascii="Times New Roman" w:hAnsi="Times New Roman"/>
              </w:rPr>
            </w:pPr>
            <w:r w:rsidRPr="00890C68">
              <w:rPr>
                <w:rFonts w:ascii="Times New Roman" w:hAnsi="Times New Roman"/>
              </w:rPr>
              <w:t>-0,6</w:t>
            </w:r>
          </w:p>
        </w:tc>
        <w:tc>
          <w:tcPr>
            <w:tcW w:w="683" w:type="dxa"/>
            <w:shd w:val="clear" w:color="auto" w:fill="FFFFFF"/>
          </w:tcPr>
          <w:p w:rsidR="00B16B19" w:rsidRPr="00890C68" w:rsidRDefault="00B16B19" w:rsidP="00B16B19">
            <w:pPr>
              <w:jc w:val="center"/>
              <w:rPr>
                <w:rFonts w:ascii="Times New Roman" w:hAnsi="Times New Roman"/>
              </w:rPr>
            </w:pPr>
            <w:r w:rsidRPr="00890C68">
              <w:rPr>
                <w:rFonts w:ascii="Times New Roman" w:hAnsi="Times New Roman"/>
              </w:rPr>
              <w:t>-0,6</w:t>
            </w:r>
          </w:p>
        </w:tc>
        <w:tc>
          <w:tcPr>
            <w:tcW w:w="683" w:type="dxa"/>
            <w:shd w:val="clear" w:color="auto" w:fill="FFFFFF"/>
          </w:tcPr>
          <w:p w:rsidR="00B16B19" w:rsidRPr="00890C68" w:rsidRDefault="00B16B19" w:rsidP="00B16B19">
            <w:pPr>
              <w:jc w:val="center"/>
              <w:rPr>
                <w:rFonts w:ascii="Times New Roman" w:hAnsi="Times New Roman"/>
              </w:rPr>
            </w:pPr>
            <w:r w:rsidRPr="00890C68">
              <w:rPr>
                <w:rFonts w:ascii="Times New Roman" w:hAnsi="Times New Roman"/>
              </w:rPr>
              <w:t>-0,7</w:t>
            </w:r>
          </w:p>
        </w:tc>
        <w:tc>
          <w:tcPr>
            <w:tcW w:w="683" w:type="dxa"/>
            <w:shd w:val="clear" w:color="auto" w:fill="FFFFFF"/>
          </w:tcPr>
          <w:p w:rsidR="00B16B19" w:rsidRPr="00890C68" w:rsidRDefault="00B16B19" w:rsidP="00B16B19">
            <w:pPr>
              <w:jc w:val="center"/>
              <w:rPr>
                <w:rFonts w:ascii="Times New Roman" w:hAnsi="Times New Roman"/>
              </w:rPr>
            </w:pPr>
            <w:r w:rsidRPr="00890C68">
              <w:rPr>
                <w:rFonts w:ascii="Times New Roman" w:hAnsi="Times New Roman"/>
              </w:rPr>
              <w:t>-0,8</w:t>
            </w:r>
          </w:p>
        </w:tc>
        <w:tc>
          <w:tcPr>
            <w:tcW w:w="683" w:type="dxa"/>
            <w:shd w:val="clear" w:color="auto" w:fill="FFFFFF"/>
          </w:tcPr>
          <w:p w:rsidR="00B16B19" w:rsidRPr="00890C68" w:rsidRDefault="00B16B19" w:rsidP="00B16B19">
            <w:pPr>
              <w:jc w:val="center"/>
              <w:rPr>
                <w:rFonts w:ascii="Times New Roman" w:hAnsi="Times New Roman"/>
              </w:rPr>
            </w:pPr>
            <w:r w:rsidRPr="00890C68">
              <w:rPr>
                <w:rFonts w:ascii="Times New Roman" w:hAnsi="Times New Roman"/>
              </w:rPr>
              <w:t>-0,8</w:t>
            </w:r>
          </w:p>
        </w:tc>
        <w:tc>
          <w:tcPr>
            <w:tcW w:w="683" w:type="dxa"/>
            <w:shd w:val="clear" w:color="auto" w:fill="FFFFFF"/>
          </w:tcPr>
          <w:p w:rsidR="00B16B19" w:rsidRPr="00890C68" w:rsidRDefault="00B16B19" w:rsidP="00B16B19">
            <w:pPr>
              <w:jc w:val="center"/>
              <w:rPr>
                <w:rFonts w:ascii="Times New Roman" w:hAnsi="Times New Roman"/>
              </w:rPr>
            </w:pPr>
            <w:r w:rsidRPr="00890C68">
              <w:rPr>
                <w:rFonts w:ascii="Times New Roman" w:hAnsi="Times New Roman"/>
              </w:rPr>
              <w:t>-0,1</w:t>
            </w:r>
          </w:p>
        </w:tc>
        <w:tc>
          <w:tcPr>
            <w:tcW w:w="1133" w:type="dxa"/>
            <w:shd w:val="clear" w:color="auto" w:fill="FFFFFF"/>
          </w:tcPr>
          <w:p w:rsidR="00B16B19" w:rsidRPr="00890C68" w:rsidRDefault="00B16B19" w:rsidP="00B16B19">
            <w:pPr>
              <w:jc w:val="center"/>
              <w:rPr>
                <w:rFonts w:ascii="Times New Roman" w:hAnsi="Times New Roman"/>
                <w:b/>
              </w:rPr>
            </w:pPr>
            <w:r w:rsidRPr="00890C68">
              <w:rPr>
                <w:rFonts w:ascii="Times New Roman" w:hAnsi="Times New Roman"/>
                <w:b/>
              </w:rPr>
              <w:t>-4,0</w:t>
            </w:r>
          </w:p>
        </w:tc>
      </w:tr>
      <w:tr w:rsidR="00641996" w:rsidRPr="00890C68" w:rsidTr="00EB6523">
        <w:trPr>
          <w:trHeight w:val="351"/>
        </w:trPr>
        <w:tc>
          <w:tcPr>
            <w:tcW w:w="2127" w:type="dxa"/>
            <w:gridSpan w:val="2"/>
            <w:shd w:val="clear" w:color="auto" w:fill="FFFFFF"/>
            <w:vAlign w:val="center"/>
          </w:tcPr>
          <w:p w:rsidR="00641996" w:rsidRPr="00890C68" w:rsidRDefault="00641996" w:rsidP="00DE4146">
            <w:pPr>
              <w:spacing w:line="240" w:lineRule="auto"/>
              <w:rPr>
                <w:rFonts w:ascii="Times New Roman" w:hAnsi="Times New Roman"/>
                <w:color w:val="000000"/>
                <w:sz w:val="21"/>
                <w:szCs w:val="21"/>
              </w:rPr>
            </w:pPr>
            <w:r w:rsidRPr="00890C68">
              <w:rPr>
                <w:rFonts w:ascii="Times New Roman" w:hAnsi="Times New Roman"/>
                <w:color w:val="000000"/>
                <w:sz w:val="21"/>
                <w:szCs w:val="21"/>
              </w:rPr>
              <w:t>pozostałe jednostki (oddzielnie)</w:t>
            </w:r>
          </w:p>
        </w:tc>
        <w:tc>
          <w:tcPr>
            <w:tcW w:w="967" w:type="dxa"/>
            <w:gridSpan w:val="2"/>
            <w:shd w:val="clear" w:color="auto" w:fill="FFFFFF"/>
            <w:vAlign w:val="center"/>
          </w:tcPr>
          <w:p w:rsidR="00641996" w:rsidRPr="00890C68" w:rsidRDefault="000A55BD" w:rsidP="00DE4146">
            <w:pPr>
              <w:spacing w:line="240" w:lineRule="auto"/>
              <w:jc w:val="center"/>
              <w:rPr>
                <w:rFonts w:ascii="Times New Roman" w:hAnsi="Times New Roman"/>
                <w:color w:val="000000"/>
                <w:sz w:val="21"/>
                <w:szCs w:val="21"/>
              </w:rPr>
            </w:pPr>
            <w:r w:rsidRPr="00890C68">
              <w:rPr>
                <w:rFonts w:ascii="Times New Roman" w:hAnsi="Times New Roman"/>
                <w:color w:val="000000"/>
                <w:sz w:val="21"/>
                <w:szCs w:val="21"/>
              </w:rPr>
              <w:t>0</w:t>
            </w:r>
          </w:p>
        </w:tc>
        <w:tc>
          <w:tcPr>
            <w:tcW w:w="683" w:type="dxa"/>
            <w:shd w:val="clear" w:color="auto" w:fill="FFFFFF"/>
            <w:vAlign w:val="center"/>
          </w:tcPr>
          <w:p w:rsidR="00641996" w:rsidRPr="00890C68" w:rsidRDefault="000A55BD" w:rsidP="00DE4146">
            <w:pPr>
              <w:spacing w:line="240" w:lineRule="auto"/>
              <w:jc w:val="center"/>
              <w:rPr>
                <w:rFonts w:ascii="Times New Roman" w:hAnsi="Times New Roman"/>
                <w:color w:val="000000"/>
                <w:sz w:val="21"/>
                <w:szCs w:val="21"/>
              </w:rPr>
            </w:pPr>
            <w:r w:rsidRPr="00890C68">
              <w:rPr>
                <w:rFonts w:ascii="Times New Roman" w:hAnsi="Times New Roman"/>
                <w:color w:val="000000"/>
                <w:sz w:val="21"/>
                <w:szCs w:val="21"/>
              </w:rPr>
              <w:t>0</w:t>
            </w:r>
          </w:p>
        </w:tc>
        <w:tc>
          <w:tcPr>
            <w:tcW w:w="683" w:type="dxa"/>
            <w:shd w:val="clear" w:color="auto" w:fill="FFFFFF"/>
            <w:vAlign w:val="center"/>
          </w:tcPr>
          <w:p w:rsidR="00641996" w:rsidRPr="00890C68" w:rsidRDefault="000A55BD" w:rsidP="00DE4146">
            <w:pPr>
              <w:spacing w:line="240" w:lineRule="auto"/>
              <w:jc w:val="center"/>
              <w:rPr>
                <w:rFonts w:ascii="Times New Roman" w:hAnsi="Times New Roman"/>
                <w:color w:val="000000"/>
                <w:sz w:val="21"/>
                <w:szCs w:val="21"/>
              </w:rPr>
            </w:pPr>
            <w:r w:rsidRPr="00890C68">
              <w:rPr>
                <w:rFonts w:ascii="Times New Roman" w:hAnsi="Times New Roman"/>
                <w:color w:val="000000"/>
                <w:sz w:val="21"/>
                <w:szCs w:val="21"/>
              </w:rPr>
              <w:t>0</w:t>
            </w:r>
          </w:p>
        </w:tc>
        <w:tc>
          <w:tcPr>
            <w:tcW w:w="683" w:type="dxa"/>
            <w:shd w:val="clear" w:color="auto" w:fill="FFFFFF"/>
            <w:vAlign w:val="center"/>
          </w:tcPr>
          <w:p w:rsidR="00641996" w:rsidRPr="00890C68" w:rsidRDefault="000A55BD" w:rsidP="00DE4146">
            <w:pPr>
              <w:spacing w:line="240" w:lineRule="auto"/>
              <w:jc w:val="center"/>
              <w:rPr>
                <w:rFonts w:ascii="Times New Roman" w:hAnsi="Times New Roman"/>
                <w:color w:val="000000"/>
                <w:sz w:val="21"/>
                <w:szCs w:val="21"/>
              </w:rPr>
            </w:pPr>
            <w:r w:rsidRPr="00890C68">
              <w:rPr>
                <w:rFonts w:ascii="Times New Roman" w:hAnsi="Times New Roman"/>
                <w:color w:val="000000"/>
                <w:sz w:val="21"/>
                <w:szCs w:val="21"/>
              </w:rPr>
              <w:t>0</w:t>
            </w:r>
          </w:p>
        </w:tc>
        <w:tc>
          <w:tcPr>
            <w:tcW w:w="683" w:type="dxa"/>
            <w:shd w:val="clear" w:color="auto" w:fill="FFFFFF"/>
            <w:vAlign w:val="center"/>
          </w:tcPr>
          <w:p w:rsidR="00641996" w:rsidRPr="00890C68" w:rsidRDefault="000A55BD" w:rsidP="00DE4146">
            <w:pPr>
              <w:spacing w:line="240" w:lineRule="auto"/>
              <w:jc w:val="center"/>
              <w:rPr>
                <w:rFonts w:ascii="Times New Roman" w:hAnsi="Times New Roman"/>
                <w:color w:val="000000"/>
                <w:sz w:val="21"/>
                <w:szCs w:val="21"/>
              </w:rPr>
            </w:pPr>
            <w:r w:rsidRPr="00890C68">
              <w:rPr>
                <w:rFonts w:ascii="Times New Roman" w:hAnsi="Times New Roman"/>
                <w:color w:val="000000"/>
                <w:sz w:val="21"/>
                <w:szCs w:val="21"/>
              </w:rPr>
              <w:t>0</w:t>
            </w:r>
          </w:p>
        </w:tc>
        <w:tc>
          <w:tcPr>
            <w:tcW w:w="683" w:type="dxa"/>
            <w:shd w:val="clear" w:color="auto" w:fill="FFFFFF"/>
            <w:vAlign w:val="center"/>
          </w:tcPr>
          <w:p w:rsidR="00641996" w:rsidRPr="00890C68" w:rsidRDefault="000A55BD" w:rsidP="00DE4146">
            <w:pPr>
              <w:spacing w:line="240" w:lineRule="auto"/>
              <w:jc w:val="center"/>
              <w:rPr>
                <w:rFonts w:ascii="Times New Roman" w:hAnsi="Times New Roman"/>
                <w:color w:val="000000"/>
                <w:sz w:val="21"/>
                <w:szCs w:val="21"/>
              </w:rPr>
            </w:pPr>
            <w:r w:rsidRPr="00890C68">
              <w:rPr>
                <w:rFonts w:ascii="Times New Roman" w:hAnsi="Times New Roman"/>
                <w:color w:val="000000"/>
                <w:sz w:val="21"/>
                <w:szCs w:val="21"/>
              </w:rPr>
              <w:t>0</w:t>
            </w:r>
          </w:p>
        </w:tc>
        <w:tc>
          <w:tcPr>
            <w:tcW w:w="683" w:type="dxa"/>
            <w:shd w:val="clear" w:color="auto" w:fill="FFFFFF"/>
            <w:vAlign w:val="center"/>
          </w:tcPr>
          <w:p w:rsidR="00641996" w:rsidRPr="00890C68" w:rsidRDefault="000A55BD" w:rsidP="00DE4146">
            <w:pPr>
              <w:spacing w:line="240" w:lineRule="auto"/>
              <w:jc w:val="center"/>
              <w:rPr>
                <w:rFonts w:ascii="Times New Roman" w:hAnsi="Times New Roman"/>
                <w:color w:val="000000"/>
                <w:sz w:val="21"/>
                <w:szCs w:val="21"/>
              </w:rPr>
            </w:pPr>
            <w:r w:rsidRPr="00890C68">
              <w:rPr>
                <w:rFonts w:ascii="Times New Roman" w:hAnsi="Times New Roman"/>
                <w:color w:val="000000"/>
                <w:sz w:val="21"/>
                <w:szCs w:val="21"/>
              </w:rPr>
              <w:t>0</w:t>
            </w:r>
          </w:p>
        </w:tc>
        <w:tc>
          <w:tcPr>
            <w:tcW w:w="683" w:type="dxa"/>
            <w:shd w:val="clear" w:color="auto" w:fill="FFFFFF"/>
            <w:vAlign w:val="center"/>
          </w:tcPr>
          <w:p w:rsidR="00641996" w:rsidRPr="00890C68" w:rsidRDefault="000A55BD" w:rsidP="00DE4146">
            <w:pPr>
              <w:spacing w:line="240" w:lineRule="auto"/>
              <w:jc w:val="center"/>
              <w:rPr>
                <w:rFonts w:ascii="Times New Roman" w:hAnsi="Times New Roman"/>
                <w:color w:val="000000"/>
                <w:sz w:val="21"/>
                <w:szCs w:val="21"/>
              </w:rPr>
            </w:pPr>
            <w:r w:rsidRPr="00890C68">
              <w:rPr>
                <w:rFonts w:ascii="Times New Roman" w:hAnsi="Times New Roman"/>
                <w:color w:val="000000"/>
                <w:sz w:val="21"/>
                <w:szCs w:val="21"/>
              </w:rPr>
              <w:t>0</w:t>
            </w:r>
          </w:p>
        </w:tc>
        <w:tc>
          <w:tcPr>
            <w:tcW w:w="683" w:type="dxa"/>
            <w:shd w:val="clear" w:color="auto" w:fill="FFFFFF"/>
            <w:vAlign w:val="center"/>
          </w:tcPr>
          <w:p w:rsidR="00641996" w:rsidRPr="00890C68" w:rsidRDefault="000A55BD" w:rsidP="00DE4146">
            <w:pPr>
              <w:spacing w:line="240" w:lineRule="auto"/>
              <w:jc w:val="center"/>
              <w:rPr>
                <w:rFonts w:ascii="Times New Roman" w:hAnsi="Times New Roman"/>
                <w:color w:val="000000"/>
                <w:sz w:val="21"/>
                <w:szCs w:val="21"/>
              </w:rPr>
            </w:pPr>
            <w:r w:rsidRPr="00890C68">
              <w:rPr>
                <w:rFonts w:ascii="Times New Roman" w:hAnsi="Times New Roman"/>
                <w:color w:val="000000"/>
                <w:sz w:val="21"/>
                <w:szCs w:val="21"/>
              </w:rPr>
              <w:t>0</w:t>
            </w:r>
          </w:p>
        </w:tc>
        <w:tc>
          <w:tcPr>
            <w:tcW w:w="683" w:type="dxa"/>
            <w:shd w:val="clear" w:color="auto" w:fill="FFFFFF"/>
            <w:vAlign w:val="center"/>
          </w:tcPr>
          <w:p w:rsidR="00641996" w:rsidRPr="00890C68" w:rsidRDefault="000A55BD" w:rsidP="00DE4146">
            <w:pPr>
              <w:spacing w:line="240" w:lineRule="auto"/>
              <w:jc w:val="center"/>
              <w:rPr>
                <w:rFonts w:ascii="Times New Roman" w:hAnsi="Times New Roman"/>
                <w:color w:val="000000"/>
                <w:sz w:val="21"/>
                <w:szCs w:val="21"/>
              </w:rPr>
            </w:pPr>
            <w:r w:rsidRPr="00890C68">
              <w:rPr>
                <w:rFonts w:ascii="Times New Roman" w:hAnsi="Times New Roman"/>
                <w:color w:val="000000"/>
                <w:sz w:val="21"/>
                <w:szCs w:val="21"/>
              </w:rPr>
              <w:t>0</w:t>
            </w:r>
          </w:p>
        </w:tc>
        <w:tc>
          <w:tcPr>
            <w:tcW w:w="683" w:type="dxa"/>
            <w:shd w:val="clear" w:color="auto" w:fill="FFFFFF"/>
            <w:vAlign w:val="center"/>
          </w:tcPr>
          <w:p w:rsidR="00641996" w:rsidRPr="00890C68" w:rsidRDefault="000A55BD" w:rsidP="00DE4146">
            <w:pPr>
              <w:spacing w:line="240" w:lineRule="auto"/>
              <w:jc w:val="center"/>
              <w:rPr>
                <w:rFonts w:ascii="Times New Roman" w:hAnsi="Times New Roman"/>
                <w:color w:val="000000"/>
                <w:sz w:val="21"/>
                <w:szCs w:val="21"/>
              </w:rPr>
            </w:pPr>
            <w:r w:rsidRPr="00890C68">
              <w:rPr>
                <w:rFonts w:ascii="Times New Roman" w:hAnsi="Times New Roman"/>
                <w:color w:val="000000"/>
                <w:sz w:val="21"/>
                <w:szCs w:val="21"/>
              </w:rPr>
              <w:t>0</w:t>
            </w:r>
          </w:p>
        </w:tc>
        <w:tc>
          <w:tcPr>
            <w:tcW w:w="1133" w:type="dxa"/>
            <w:shd w:val="clear" w:color="auto" w:fill="FFFFFF"/>
            <w:vAlign w:val="center"/>
          </w:tcPr>
          <w:p w:rsidR="00641996" w:rsidRPr="00890C68" w:rsidRDefault="000A55BD" w:rsidP="00DE4146">
            <w:pPr>
              <w:spacing w:line="240" w:lineRule="auto"/>
              <w:jc w:val="center"/>
              <w:rPr>
                <w:rFonts w:ascii="Times New Roman" w:hAnsi="Times New Roman"/>
                <w:b/>
                <w:color w:val="000000"/>
                <w:sz w:val="21"/>
                <w:szCs w:val="21"/>
              </w:rPr>
            </w:pPr>
            <w:r w:rsidRPr="00890C68">
              <w:rPr>
                <w:rFonts w:ascii="Times New Roman" w:hAnsi="Times New Roman"/>
                <w:b/>
                <w:color w:val="000000"/>
                <w:sz w:val="21"/>
                <w:szCs w:val="21"/>
              </w:rPr>
              <w:t>0</w:t>
            </w:r>
          </w:p>
        </w:tc>
      </w:tr>
      <w:tr w:rsidR="00DE6DA0" w:rsidRPr="00890C68" w:rsidTr="00997FE7">
        <w:trPr>
          <w:trHeight w:val="360"/>
        </w:trPr>
        <w:tc>
          <w:tcPr>
            <w:tcW w:w="2127" w:type="dxa"/>
            <w:gridSpan w:val="2"/>
            <w:shd w:val="clear" w:color="auto" w:fill="FFFFFF"/>
            <w:vAlign w:val="center"/>
          </w:tcPr>
          <w:p w:rsidR="00DE6DA0" w:rsidRPr="00890C68" w:rsidRDefault="00DE6DA0" w:rsidP="00DE6DA0">
            <w:pPr>
              <w:spacing w:line="240" w:lineRule="auto"/>
              <w:rPr>
                <w:rFonts w:ascii="Times New Roman" w:hAnsi="Times New Roman"/>
                <w:color w:val="000000"/>
                <w:sz w:val="21"/>
                <w:szCs w:val="21"/>
              </w:rPr>
            </w:pPr>
            <w:r w:rsidRPr="00890C68">
              <w:rPr>
                <w:rFonts w:ascii="Times New Roman" w:hAnsi="Times New Roman"/>
                <w:b/>
                <w:color w:val="000000"/>
                <w:sz w:val="21"/>
                <w:szCs w:val="21"/>
              </w:rPr>
              <w:t>Saldo ogółem</w:t>
            </w:r>
          </w:p>
        </w:tc>
        <w:tc>
          <w:tcPr>
            <w:tcW w:w="967" w:type="dxa"/>
            <w:gridSpan w:val="2"/>
            <w:shd w:val="clear" w:color="auto" w:fill="FFFFFF"/>
            <w:vAlign w:val="center"/>
          </w:tcPr>
          <w:p w:rsidR="00DE6DA0" w:rsidRPr="00890C68" w:rsidRDefault="00DE6DA0" w:rsidP="00DE6DA0">
            <w:pPr>
              <w:spacing w:line="240" w:lineRule="auto"/>
              <w:jc w:val="center"/>
              <w:rPr>
                <w:rFonts w:ascii="Times New Roman" w:hAnsi="Times New Roman"/>
                <w:color w:val="000000"/>
                <w:sz w:val="21"/>
                <w:szCs w:val="21"/>
              </w:rPr>
            </w:pPr>
            <w:r w:rsidRPr="00890C68">
              <w:rPr>
                <w:rFonts w:ascii="Times New Roman" w:hAnsi="Times New Roman"/>
                <w:color w:val="000000"/>
                <w:sz w:val="21"/>
                <w:szCs w:val="21"/>
              </w:rPr>
              <w:t>0</w:t>
            </w:r>
          </w:p>
        </w:tc>
        <w:tc>
          <w:tcPr>
            <w:tcW w:w="683" w:type="dxa"/>
            <w:shd w:val="clear" w:color="auto" w:fill="FFFFFF"/>
          </w:tcPr>
          <w:p w:rsidR="00DE6DA0" w:rsidRPr="001178CE" w:rsidRDefault="00DE6DA0" w:rsidP="00DE6DA0">
            <w:r w:rsidRPr="001178CE">
              <w:t>0,566601</w:t>
            </w:r>
          </w:p>
        </w:tc>
        <w:tc>
          <w:tcPr>
            <w:tcW w:w="683" w:type="dxa"/>
            <w:shd w:val="clear" w:color="auto" w:fill="FFFFFF"/>
          </w:tcPr>
          <w:p w:rsidR="00DE6DA0" w:rsidRPr="001178CE" w:rsidRDefault="00DE6DA0" w:rsidP="00DE6DA0">
            <w:r w:rsidRPr="001178CE">
              <w:t>0,766861</w:t>
            </w:r>
          </w:p>
        </w:tc>
        <w:tc>
          <w:tcPr>
            <w:tcW w:w="683" w:type="dxa"/>
            <w:shd w:val="clear" w:color="auto" w:fill="FFFFFF"/>
          </w:tcPr>
          <w:p w:rsidR="00DE6DA0" w:rsidRPr="001178CE" w:rsidRDefault="00DE6DA0" w:rsidP="00DE6DA0">
            <w:r w:rsidRPr="001178CE">
              <w:t>1,976740</w:t>
            </w:r>
          </w:p>
        </w:tc>
        <w:tc>
          <w:tcPr>
            <w:tcW w:w="683" w:type="dxa"/>
            <w:shd w:val="clear" w:color="auto" w:fill="FFFFFF"/>
          </w:tcPr>
          <w:p w:rsidR="00DE6DA0" w:rsidRPr="001178CE" w:rsidRDefault="00DE6DA0" w:rsidP="00DE6DA0">
            <w:r w:rsidRPr="001178CE">
              <w:t>11,166321</w:t>
            </w:r>
          </w:p>
        </w:tc>
        <w:tc>
          <w:tcPr>
            <w:tcW w:w="683" w:type="dxa"/>
            <w:shd w:val="clear" w:color="auto" w:fill="FFFFFF"/>
          </w:tcPr>
          <w:p w:rsidR="00DE6DA0" w:rsidRPr="001178CE" w:rsidRDefault="00DE6DA0" w:rsidP="00DE6DA0">
            <w:r w:rsidRPr="001178CE">
              <w:t>28,446373</w:t>
            </w:r>
          </w:p>
        </w:tc>
        <w:tc>
          <w:tcPr>
            <w:tcW w:w="683" w:type="dxa"/>
            <w:shd w:val="clear" w:color="auto" w:fill="FFFFFF"/>
          </w:tcPr>
          <w:p w:rsidR="00DE6DA0" w:rsidRPr="001178CE" w:rsidRDefault="00DE6DA0" w:rsidP="00DE6DA0">
            <w:r w:rsidRPr="001178CE">
              <w:t>46,839909</w:t>
            </w:r>
          </w:p>
        </w:tc>
        <w:tc>
          <w:tcPr>
            <w:tcW w:w="683" w:type="dxa"/>
            <w:shd w:val="clear" w:color="auto" w:fill="FFFFFF"/>
          </w:tcPr>
          <w:p w:rsidR="00DE6DA0" w:rsidRPr="001178CE" w:rsidRDefault="00DE6DA0" w:rsidP="00DE6DA0">
            <w:r w:rsidRPr="001178CE">
              <w:t>74,829373</w:t>
            </w:r>
          </w:p>
        </w:tc>
        <w:tc>
          <w:tcPr>
            <w:tcW w:w="683" w:type="dxa"/>
            <w:shd w:val="clear" w:color="auto" w:fill="FFFFFF"/>
          </w:tcPr>
          <w:p w:rsidR="00DE6DA0" w:rsidRPr="001178CE" w:rsidRDefault="00DE6DA0" w:rsidP="00DE6DA0">
            <w:r w:rsidRPr="001178CE">
              <w:t>99,918594</w:t>
            </w:r>
          </w:p>
        </w:tc>
        <w:tc>
          <w:tcPr>
            <w:tcW w:w="683" w:type="dxa"/>
            <w:shd w:val="clear" w:color="auto" w:fill="FFFFFF"/>
          </w:tcPr>
          <w:p w:rsidR="00DE6DA0" w:rsidRPr="001178CE" w:rsidRDefault="00DE6DA0" w:rsidP="00DE6DA0">
            <w:r w:rsidRPr="001178CE">
              <w:t>126,407567</w:t>
            </w:r>
          </w:p>
        </w:tc>
        <w:tc>
          <w:tcPr>
            <w:tcW w:w="683" w:type="dxa"/>
            <w:shd w:val="clear" w:color="auto" w:fill="FFFFFF"/>
          </w:tcPr>
          <w:p w:rsidR="00DE6DA0" w:rsidRDefault="00DE6DA0" w:rsidP="00DE6DA0">
            <w:r w:rsidRPr="001178CE">
              <w:t>147,996288</w:t>
            </w:r>
          </w:p>
        </w:tc>
        <w:tc>
          <w:tcPr>
            <w:tcW w:w="1133" w:type="dxa"/>
            <w:shd w:val="clear" w:color="auto" w:fill="FFFFFF"/>
          </w:tcPr>
          <w:p w:rsidR="00DE6DA0" w:rsidRPr="00890C68" w:rsidRDefault="00DE6DA0" w:rsidP="00DE6DA0">
            <w:pPr>
              <w:jc w:val="center"/>
              <w:rPr>
                <w:rFonts w:ascii="Times New Roman" w:hAnsi="Times New Roman"/>
                <w:b/>
              </w:rPr>
            </w:pPr>
            <w:r w:rsidRPr="00DE6DA0">
              <w:rPr>
                <w:rFonts w:ascii="Times New Roman" w:hAnsi="Times New Roman"/>
                <w:b/>
              </w:rPr>
              <w:t>540,384627</w:t>
            </w:r>
          </w:p>
        </w:tc>
      </w:tr>
      <w:tr w:rsidR="00DE6DA0" w:rsidRPr="00890C68" w:rsidTr="00997FE7">
        <w:trPr>
          <w:trHeight w:val="360"/>
        </w:trPr>
        <w:tc>
          <w:tcPr>
            <w:tcW w:w="2127" w:type="dxa"/>
            <w:gridSpan w:val="2"/>
            <w:shd w:val="clear" w:color="auto" w:fill="FFFFFF"/>
            <w:vAlign w:val="center"/>
          </w:tcPr>
          <w:p w:rsidR="00DE6DA0" w:rsidRPr="00890C68" w:rsidRDefault="00DE6DA0" w:rsidP="00DE6DA0">
            <w:pPr>
              <w:spacing w:line="240" w:lineRule="auto"/>
              <w:rPr>
                <w:rFonts w:ascii="Times New Roman" w:hAnsi="Times New Roman"/>
                <w:color w:val="000000"/>
                <w:sz w:val="21"/>
                <w:szCs w:val="21"/>
              </w:rPr>
            </w:pPr>
            <w:r w:rsidRPr="00890C68">
              <w:rPr>
                <w:rFonts w:ascii="Times New Roman" w:hAnsi="Times New Roman"/>
                <w:color w:val="000000"/>
                <w:sz w:val="21"/>
                <w:szCs w:val="21"/>
              </w:rPr>
              <w:t>budżet państwa</w:t>
            </w:r>
          </w:p>
        </w:tc>
        <w:tc>
          <w:tcPr>
            <w:tcW w:w="967" w:type="dxa"/>
            <w:gridSpan w:val="2"/>
            <w:shd w:val="clear" w:color="auto" w:fill="FFFFFF"/>
            <w:vAlign w:val="center"/>
          </w:tcPr>
          <w:p w:rsidR="00DE6DA0" w:rsidRPr="00890C68" w:rsidRDefault="00DE6DA0" w:rsidP="00DE6DA0">
            <w:pPr>
              <w:spacing w:line="240" w:lineRule="auto"/>
              <w:jc w:val="center"/>
              <w:rPr>
                <w:rFonts w:ascii="Times New Roman" w:hAnsi="Times New Roman"/>
                <w:color w:val="000000"/>
                <w:sz w:val="21"/>
                <w:szCs w:val="21"/>
              </w:rPr>
            </w:pPr>
            <w:r w:rsidRPr="00890C68">
              <w:rPr>
                <w:rFonts w:ascii="Times New Roman" w:hAnsi="Times New Roman"/>
                <w:color w:val="000000"/>
                <w:sz w:val="21"/>
                <w:szCs w:val="21"/>
              </w:rPr>
              <w:t>0</w:t>
            </w:r>
          </w:p>
        </w:tc>
        <w:tc>
          <w:tcPr>
            <w:tcW w:w="683" w:type="dxa"/>
            <w:shd w:val="clear" w:color="auto" w:fill="FFFFFF"/>
          </w:tcPr>
          <w:p w:rsidR="00DE6DA0" w:rsidRPr="00453A3B" w:rsidRDefault="00DE6DA0" w:rsidP="00DE6DA0">
            <w:r w:rsidRPr="00453A3B">
              <w:t>0,5676601</w:t>
            </w:r>
          </w:p>
        </w:tc>
        <w:tc>
          <w:tcPr>
            <w:tcW w:w="683" w:type="dxa"/>
            <w:shd w:val="clear" w:color="auto" w:fill="FFFFFF"/>
          </w:tcPr>
          <w:p w:rsidR="00DE6DA0" w:rsidRPr="00453A3B" w:rsidRDefault="00DE6DA0" w:rsidP="00DE6DA0">
            <w:r w:rsidRPr="00453A3B">
              <w:t>0,866861</w:t>
            </w:r>
          </w:p>
        </w:tc>
        <w:tc>
          <w:tcPr>
            <w:tcW w:w="683" w:type="dxa"/>
            <w:shd w:val="clear" w:color="auto" w:fill="FFFFFF"/>
          </w:tcPr>
          <w:p w:rsidR="00DE6DA0" w:rsidRPr="00453A3B" w:rsidRDefault="00DE6DA0" w:rsidP="00DE6DA0">
            <w:r w:rsidRPr="00453A3B">
              <w:t>2,076740</w:t>
            </w:r>
          </w:p>
        </w:tc>
        <w:tc>
          <w:tcPr>
            <w:tcW w:w="683" w:type="dxa"/>
            <w:shd w:val="clear" w:color="auto" w:fill="FFFFFF"/>
          </w:tcPr>
          <w:p w:rsidR="00DE6DA0" w:rsidRPr="00453A3B" w:rsidRDefault="00DE6DA0" w:rsidP="00DE6DA0">
            <w:r w:rsidRPr="00453A3B">
              <w:t>10,566321</w:t>
            </w:r>
          </w:p>
        </w:tc>
        <w:tc>
          <w:tcPr>
            <w:tcW w:w="683" w:type="dxa"/>
            <w:shd w:val="clear" w:color="auto" w:fill="FFFFFF"/>
          </w:tcPr>
          <w:p w:rsidR="00DE6DA0" w:rsidRPr="00453A3B" w:rsidRDefault="00DE6DA0" w:rsidP="00DE6DA0">
            <w:r w:rsidRPr="00453A3B">
              <w:t>27,846373</w:t>
            </w:r>
          </w:p>
        </w:tc>
        <w:tc>
          <w:tcPr>
            <w:tcW w:w="683" w:type="dxa"/>
            <w:shd w:val="clear" w:color="auto" w:fill="FFFFFF"/>
          </w:tcPr>
          <w:p w:rsidR="00DE6DA0" w:rsidRPr="00453A3B" w:rsidRDefault="00DE6DA0" w:rsidP="00DE6DA0">
            <w:r w:rsidRPr="00453A3B">
              <w:t>46,239909</w:t>
            </w:r>
          </w:p>
        </w:tc>
        <w:tc>
          <w:tcPr>
            <w:tcW w:w="683" w:type="dxa"/>
            <w:shd w:val="clear" w:color="auto" w:fill="FFFFFF"/>
          </w:tcPr>
          <w:p w:rsidR="00DE6DA0" w:rsidRPr="00453A3B" w:rsidRDefault="00DE6DA0" w:rsidP="00DE6DA0">
            <w:r w:rsidRPr="00453A3B">
              <w:t>74,129373</w:t>
            </w:r>
          </w:p>
        </w:tc>
        <w:tc>
          <w:tcPr>
            <w:tcW w:w="683" w:type="dxa"/>
            <w:shd w:val="clear" w:color="auto" w:fill="FFFFFF"/>
          </w:tcPr>
          <w:p w:rsidR="00DE6DA0" w:rsidRPr="00453A3B" w:rsidRDefault="00DE6DA0" w:rsidP="00DE6DA0">
            <w:r w:rsidRPr="00453A3B">
              <w:t>99,118594</w:t>
            </w:r>
          </w:p>
        </w:tc>
        <w:tc>
          <w:tcPr>
            <w:tcW w:w="683" w:type="dxa"/>
            <w:shd w:val="clear" w:color="auto" w:fill="FFFFFF"/>
          </w:tcPr>
          <w:p w:rsidR="00DE6DA0" w:rsidRPr="00453A3B" w:rsidRDefault="00DE6DA0" w:rsidP="00DE6DA0">
            <w:r w:rsidRPr="00453A3B">
              <w:t>125,607567</w:t>
            </w:r>
          </w:p>
        </w:tc>
        <w:tc>
          <w:tcPr>
            <w:tcW w:w="683" w:type="dxa"/>
            <w:shd w:val="clear" w:color="auto" w:fill="FFFFFF"/>
          </w:tcPr>
          <w:p w:rsidR="00DE6DA0" w:rsidRDefault="00DE6DA0" w:rsidP="00DE6DA0">
            <w:r w:rsidRPr="00453A3B">
              <w:t>147,896288</w:t>
            </w:r>
          </w:p>
        </w:tc>
        <w:tc>
          <w:tcPr>
            <w:tcW w:w="1133" w:type="dxa"/>
            <w:shd w:val="clear" w:color="auto" w:fill="FFFFFF"/>
          </w:tcPr>
          <w:p w:rsidR="00DE6DA0" w:rsidRPr="00890C68" w:rsidRDefault="00DE6DA0" w:rsidP="00DE6DA0">
            <w:pPr>
              <w:jc w:val="center"/>
              <w:rPr>
                <w:rFonts w:ascii="Times New Roman" w:hAnsi="Times New Roman"/>
                <w:b/>
              </w:rPr>
            </w:pPr>
            <w:r w:rsidRPr="00DE6DA0">
              <w:rPr>
                <w:rFonts w:ascii="Times New Roman" w:hAnsi="Times New Roman"/>
                <w:b/>
              </w:rPr>
              <w:t>536,384627</w:t>
            </w:r>
          </w:p>
        </w:tc>
      </w:tr>
      <w:tr w:rsidR="00890C68" w:rsidRPr="00890C68" w:rsidTr="00EB6523">
        <w:trPr>
          <w:trHeight w:val="357"/>
        </w:trPr>
        <w:tc>
          <w:tcPr>
            <w:tcW w:w="2127" w:type="dxa"/>
            <w:gridSpan w:val="2"/>
            <w:shd w:val="clear" w:color="auto" w:fill="FFFFFF"/>
            <w:vAlign w:val="center"/>
          </w:tcPr>
          <w:p w:rsidR="00890C68" w:rsidRPr="00890C68" w:rsidRDefault="00890C68" w:rsidP="00890C68">
            <w:pPr>
              <w:spacing w:line="240" w:lineRule="auto"/>
              <w:rPr>
                <w:rFonts w:ascii="Times New Roman" w:hAnsi="Times New Roman"/>
                <w:color w:val="000000"/>
                <w:sz w:val="21"/>
                <w:szCs w:val="21"/>
              </w:rPr>
            </w:pPr>
            <w:r w:rsidRPr="00890C68">
              <w:rPr>
                <w:rFonts w:ascii="Times New Roman" w:hAnsi="Times New Roman"/>
                <w:color w:val="000000"/>
                <w:sz w:val="21"/>
                <w:szCs w:val="21"/>
              </w:rPr>
              <w:t>JST</w:t>
            </w:r>
          </w:p>
        </w:tc>
        <w:tc>
          <w:tcPr>
            <w:tcW w:w="967" w:type="dxa"/>
            <w:gridSpan w:val="2"/>
            <w:shd w:val="clear" w:color="auto" w:fill="FFFFFF"/>
          </w:tcPr>
          <w:p w:rsidR="00890C68" w:rsidRPr="00890C68" w:rsidRDefault="00890C68" w:rsidP="00890C68">
            <w:pPr>
              <w:jc w:val="center"/>
              <w:rPr>
                <w:rFonts w:ascii="Times New Roman" w:hAnsi="Times New Roman"/>
              </w:rPr>
            </w:pPr>
            <w:r w:rsidRPr="00890C68">
              <w:rPr>
                <w:rFonts w:ascii="Times New Roman" w:hAnsi="Times New Roman"/>
              </w:rPr>
              <w:t>0</w:t>
            </w:r>
          </w:p>
        </w:tc>
        <w:tc>
          <w:tcPr>
            <w:tcW w:w="683" w:type="dxa"/>
            <w:shd w:val="clear" w:color="auto" w:fill="FFFFFF"/>
          </w:tcPr>
          <w:p w:rsidR="00890C68" w:rsidRPr="00890C68" w:rsidRDefault="00890C68" w:rsidP="00890C68">
            <w:pPr>
              <w:jc w:val="center"/>
              <w:rPr>
                <w:rFonts w:ascii="Times New Roman" w:hAnsi="Times New Roman"/>
              </w:rPr>
            </w:pPr>
            <w:r w:rsidRPr="00890C68">
              <w:rPr>
                <w:rFonts w:ascii="Times New Roman" w:hAnsi="Times New Roman"/>
              </w:rPr>
              <w:t>0</w:t>
            </w:r>
          </w:p>
        </w:tc>
        <w:tc>
          <w:tcPr>
            <w:tcW w:w="683" w:type="dxa"/>
            <w:shd w:val="clear" w:color="auto" w:fill="FFFFFF"/>
          </w:tcPr>
          <w:p w:rsidR="00890C68" w:rsidRPr="00890C68" w:rsidRDefault="00890C68" w:rsidP="00890C68">
            <w:pPr>
              <w:jc w:val="center"/>
              <w:rPr>
                <w:rFonts w:ascii="Times New Roman" w:hAnsi="Times New Roman"/>
              </w:rPr>
            </w:pPr>
            <w:r w:rsidRPr="00890C68">
              <w:rPr>
                <w:rFonts w:ascii="Times New Roman" w:hAnsi="Times New Roman"/>
              </w:rPr>
              <w:t>-0,1</w:t>
            </w:r>
          </w:p>
        </w:tc>
        <w:tc>
          <w:tcPr>
            <w:tcW w:w="683" w:type="dxa"/>
            <w:shd w:val="clear" w:color="auto" w:fill="FFFFFF"/>
          </w:tcPr>
          <w:p w:rsidR="00890C68" w:rsidRPr="00890C68" w:rsidRDefault="00890C68" w:rsidP="00890C68">
            <w:pPr>
              <w:jc w:val="center"/>
              <w:rPr>
                <w:rFonts w:ascii="Times New Roman" w:hAnsi="Times New Roman"/>
              </w:rPr>
            </w:pPr>
            <w:r w:rsidRPr="00890C68">
              <w:rPr>
                <w:rFonts w:ascii="Times New Roman" w:hAnsi="Times New Roman"/>
              </w:rPr>
              <w:t>-0,1</w:t>
            </w:r>
          </w:p>
        </w:tc>
        <w:tc>
          <w:tcPr>
            <w:tcW w:w="683" w:type="dxa"/>
            <w:shd w:val="clear" w:color="auto" w:fill="FFFFFF"/>
          </w:tcPr>
          <w:p w:rsidR="00890C68" w:rsidRPr="00890C68" w:rsidRDefault="00890C68" w:rsidP="00890C68">
            <w:pPr>
              <w:jc w:val="center"/>
              <w:rPr>
                <w:rFonts w:ascii="Times New Roman" w:hAnsi="Times New Roman"/>
              </w:rPr>
            </w:pPr>
            <w:r w:rsidRPr="00890C68">
              <w:rPr>
                <w:rFonts w:ascii="Times New Roman" w:hAnsi="Times New Roman"/>
              </w:rPr>
              <w:t>0,6</w:t>
            </w:r>
          </w:p>
        </w:tc>
        <w:tc>
          <w:tcPr>
            <w:tcW w:w="683" w:type="dxa"/>
            <w:shd w:val="clear" w:color="auto" w:fill="FFFFFF"/>
          </w:tcPr>
          <w:p w:rsidR="00890C68" w:rsidRPr="00890C68" w:rsidRDefault="00890C68" w:rsidP="00890C68">
            <w:pPr>
              <w:jc w:val="center"/>
              <w:rPr>
                <w:rFonts w:ascii="Times New Roman" w:hAnsi="Times New Roman"/>
              </w:rPr>
            </w:pPr>
            <w:r w:rsidRPr="00890C68">
              <w:rPr>
                <w:rFonts w:ascii="Times New Roman" w:hAnsi="Times New Roman"/>
              </w:rPr>
              <w:t>0,6</w:t>
            </w:r>
          </w:p>
        </w:tc>
        <w:tc>
          <w:tcPr>
            <w:tcW w:w="683" w:type="dxa"/>
            <w:shd w:val="clear" w:color="auto" w:fill="FFFFFF"/>
          </w:tcPr>
          <w:p w:rsidR="00890C68" w:rsidRPr="00890C68" w:rsidRDefault="00890C68" w:rsidP="00890C68">
            <w:pPr>
              <w:jc w:val="center"/>
              <w:rPr>
                <w:rFonts w:ascii="Times New Roman" w:hAnsi="Times New Roman"/>
              </w:rPr>
            </w:pPr>
            <w:r w:rsidRPr="00890C68">
              <w:rPr>
                <w:rFonts w:ascii="Times New Roman" w:hAnsi="Times New Roman"/>
              </w:rPr>
              <w:t>0,6</w:t>
            </w:r>
          </w:p>
        </w:tc>
        <w:tc>
          <w:tcPr>
            <w:tcW w:w="683" w:type="dxa"/>
            <w:shd w:val="clear" w:color="auto" w:fill="FFFFFF"/>
          </w:tcPr>
          <w:p w:rsidR="00890C68" w:rsidRPr="00890C68" w:rsidRDefault="00890C68" w:rsidP="00890C68">
            <w:pPr>
              <w:jc w:val="center"/>
              <w:rPr>
                <w:rFonts w:ascii="Times New Roman" w:hAnsi="Times New Roman"/>
              </w:rPr>
            </w:pPr>
            <w:r w:rsidRPr="00890C68">
              <w:rPr>
                <w:rFonts w:ascii="Times New Roman" w:hAnsi="Times New Roman"/>
              </w:rPr>
              <w:t>0,7</w:t>
            </w:r>
          </w:p>
        </w:tc>
        <w:tc>
          <w:tcPr>
            <w:tcW w:w="683" w:type="dxa"/>
            <w:shd w:val="clear" w:color="auto" w:fill="FFFFFF"/>
          </w:tcPr>
          <w:p w:rsidR="00890C68" w:rsidRPr="00890C68" w:rsidRDefault="00890C68" w:rsidP="00890C68">
            <w:pPr>
              <w:jc w:val="center"/>
              <w:rPr>
                <w:rFonts w:ascii="Times New Roman" w:hAnsi="Times New Roman"/>
              </w:rPr>
            </w:pPr>
            <w:r w:rsidRPr="00890C68">
              <w:rPr>
                <w:rFonts w:ascii="Times New Roman" w:hAnsi="Times New Roman"/>
              </w:rPr>
              <w:t>0,8</w:t>
            </w:r>
          </w:p>
        </w:tc>
        <w:tc>
          <w:tcPr>
            <w:tcW w:w="683" w:type="dxa"/>
            <w:shd w:val="clear" w:color="auto" w:fill="FFFFFF"/>
          </w:tcPr>
          <w:p w:rsidR="00890C68" w:rsidRPr="00890C68" w:rsidRDefault="00890C68" w:rsidP="00890C68">
            <w:pPr>
              <w:jc w:val="center"/>
              <w:rPr>
                <w:rFonts w:ascii="Times New Roman" w:hAnsi="Times New Roman"/>
              </w:rPr>
            </w:pPr>
            <w:r w:rsidRPr="00890C68">
              <w:rPr>
                <w:rFonts w:ascii="Times New Roman" w:hAnsi="Times New Roman"/>
              </w:rPr>
              <w:t>0,8</w:t>
            </w:r>
          </w:p>
        </w:tc>
        <w:tc>
          <w:tcPr>
            <w:tcW w:w="683" w:type="dxa"/>
            <w:shd w:val="clear" w:color="auto" w:fill="FFFFFF"/>
          </w:tcPr>
          <w:p w:rsidR="00890C68" w:rsidRPr="00890C68" w:rsidRDefault="00890C68" w:rsidP="00890C68">
            <w:pPr>
              <w:jc w:val="center"/>
              <w:rPr>
                <w:rFonts w:ascii="Times New Roman" w:hAnsi="Times New Roman"/>
              </w:rPr>
            </w:pPr>
            <w:r w:rsidRPr="00890C68">
              <w:rPr>
                <w:rFonts w:ascii="Times New Roman" w:hAnsi="Times New Roman"/>
              </w:rPr>
              <w:t>0,1</w:t>
            </w:r>
          </w:p>
        </w:tc>
        <w:tc>
          <w:tcPr>
            <w:tcW w:w="1133" w:type="dxa"/>
            <w:shd w:val="clear" w:color="auto" w:fill="FFFFFF"/>
          </w:tcPr>
          <w:p w:rsidR="00890C68" w:rsidRPr="00890C68" w:rsidRDefault="00890C68" w:rsidP="00890C68">
            <w:pPr>
              <w:jc w:val="center"/>
              <w:rPr>
                <w:rFonts w:ascii="Times New Roman" w:hAnsi="Times New Roman"/>
                <w:b/>
              </w:rPr>
            </w:pPr>
            <w:r w:rsidRPr="00890C68">
              <w:rPr>
                <w:rFonts w:ascii="Times New Roman" w:hAnsi="Times New Roman"/>
                <w:b/>
              </w:rPr>
              <w:t>4,0</w:t>
            </w:r>
          </w:p>
        </w:tc>
      </w:tr>
      <w:tr w:rsidR="00641996" w:rsidRPr="00890C68" w:rsidTr="00EB6523">
        <w:trPr>
          <w:trHeight w:val="357"/>
        </w:trPr>
        <w:tc>
          <w:tcPr>
            <w:tcW w:w="2127" w:type="dxa"/>
            <w:gridSpan w:val="2"/>
            <w:shd w:val="clear" w:color="auto" w:fill="FFFFFF"/>
            <w:vAlign w:val="center"/>
          </w:tcPr>
          <w:p w:rsidR="00641996" w:rsidRPr="00890C68" w:rsidRDefault="00641996" w:rsidP="00DE4146">
            <w:pPr>
              <w:spacing w:line="240" w:lineRule="auto"/>
              <w:rPr>
                <w:rFonts w:ascii="Times New Roman" w:hAnsi="Times New Roman"/>
                <w:color w:val="000000"/>
                <w:sz w:val="21"/>
                <w:szCs w:val="21"/>
              </w:rPr>
            </w:pPr>
            <w:r w:rsidRPr="00890C68">
              <w:rPr>
                <w:rFonts w:ascii="Times New Roman" w:hAnsi="Times New Roman"/>
                <w:color w:val="000000"/>
                <w:sz w:val="21"/>
                <w:szCs w:val="21"/>
              </w:rPr>
              <w:t>pozostałe jednostki (oddzielnie)</w:t>
            </w:r>
          </w:p>
        </w:tc>
        <w:tc>
          <w:tcPr>
            <w:tcW w:w="967" w:type="dxa"/>
            <w:gridSpan w:val="2"/>
            <w:shd w:val="clear" w:color="auto" w:fill="FFFFFF"/>
            <w:vAlign w:val="center"/>
          </w:tcPr>
          <w:p w:rsidR="00641996" w:rsidRPr="00890C68" w:rsidRDefault="000A55BD" w:rsidP="00DE4146">
            <w:pPr>
              <w:spacing w:line="240" w:lineRule="auto"/>
              <w:jc w:val="center"/>
              <w:rPr>
                <w:rFonts w:ascii="Times New Roman" w:hAnsi="Times New Roman"/>
                <w:color w:val="000000"/>
                <w:sz w:val="21"/>
                <w:szCs w:val="21"/>
              </w:rPr>
            </w:pPr>
            <w:r w:rsidRPr="00890C68">
              <w:rPr>
                <w:rFonts w:ascii="Times New Roman" w:hAnsi="Times New Roman"/>
                <w:color w:val="000000"/>
                <w:sz w:val="21"/>
                <w:szCs w:val="21"/>
              </w:rPr>
              <w:t>0</w:t>
            </w:r>
          </w:p>
        </w:tc>
        <w:tc>
          <w:tcPr>
            <w:tcW w:w="683" w:type="dxa"/>
            <w:shd w:val="clear" w:color="auto" w:fill="FFFFFF"/>
            <w:vAlign w:val="center"/>
          </w:tcPr>
          <w:p w:rsidR="00641996" w:rsidRPr="00890C68" w:rsidRDefault="000A55BD" w:rsidP="00DE4146">
            <w:pPr>
              <w:spacing w:line="240" w:lineRule="auto"/>
              <w:jc w:val="center"/>
              <w:rPr>
                <w:rFonts w:ascii="Times New Roman" w:hAnsi="Times New Roman"/>
                <w:color w:val="000000"/>
                <w:sz w:val="21"/>
                <w:szCs w:val="21"/>
              </w:rPr>
            </w:pPr>
            <w:r w:rsidRPr="00890C68">
              <w:rPr>
                <w:rFonts w:ascii="Times New Roman" w:hAnsi="Times New Roman"/>
                <w:color w:val="000000"/>
                <w:sz w:val="21"/>
                <w:szCs w:val="21"/>
              </w:rPr>
              <w:t>0</w:t>
            </w:r>
          </w:p>
        </w:tc>
        <w:tc>
          <w:tcPr>
            <w:tcW w:w="683" w:type="dxa"/>
            <w:shd w:val="clear" w:color="auto" w:fill="FFFFFF"/>
            <w:vAlign w:val="center"/>
          </w:tcPr>
          <w:p w:rsidR="00641996" w:rsidRPr="00890C68" w:rsidRDefault="000A55BD" w:rsidP="00DE4146">
            <w:pPr>
              <w:spacing w:line="240" w:lineRule="auto"/>
              <w:jc w:val="center"/>
              <w:rPr>
                <w:rFonts w:ascii="Times New Roman" w:hAnsi="Times New Roman"/>
                <w:color w:val="000000"/>
                <w:sz w:val="21"/>
                <w:szCs w:val="21"/>
              </w:rPr>
            </w:pPr>
            <w:r w:rsidRPr="00890C68">
              <w:rPr>
                <w:rFonts w:ascii="Times New Roman" w:hAnsi="Times New Roman"/>
                <w:color w:val="000000"/>
                <w:sz w:val="21"/>
                <w:szCs w:val="21"/>
              </w:rPr>
              <w:t>0</w:t>
            </w:r>
          </w:p>
        </w:tc>
        <w:tc>
          <w:tcPr>
            <w:tcW w:w="683" w:type="dxa"/>
            <w:shd w:val="clear" w:color="auto" w:fill="FFFFFF"/>
            <w:vAlign w:val="center"/>
          </w:tcPr>
          <w:p w:rsidR="00641996" w:rsidRPr="00890C68" w:rsidRDefault="000A55BD" w:rsidP="00DE4146">
            <w:pPr>
              <w:spacing w:line="240" w:lineRule="auto"/>
              <w:jc w:val="center"/>
              <w:rPr>
                <w:rFonts w:ascii="Times New Roman" w:hAnsi="Times New Roman"/>
                <w:color w:val="000000"/>
                <w:sz w:val="21"/>
                <w:szCs w:val="21"/>
              </w:rPr>
            </w:pPr>
            <w:r w:rsidRPr="00890C68">
              <w:rPr>
                <w:rFonts w:ascii="Times New Roman" w:hAnsi="Times New Roman"/>
                <w:color w:val="000000"/>
                <w:sz w:val="21"/>
                <w:szCs w:val="21"/>
              </w:rPr>
              <w:t>0</w:t>
            </w:r>
          </w:p>
        </w:tc>
        <w:tc>
          <w:tcPr>
            <w:tcW w:w="683" w:type="dxa"/>
            <w:shd w:val="clear" w:color="auto" w:fill="FFFFFF"/>
            <w:vAlign w:val="center"/>
          </w:tcPr>
          <w:p w:rsidR="00641996" w:rsidRPr="00890C68" w:rsidRDefault="000A55BD" w:rsidP="00DE4146">
            <w:pPr>
              <w:spacing w:line="240" w:lineRule="auto"/>
              <w:jc w:val="center"/>
              <w:rPr>
                <w:rFonts w:ascii="Times New Roman" w:hAnsi="Times New Roman"/>
                <w:color w:val="000000"/>
                <w:sz w:val="21"/>
                <w:szCs w:val="21"/>
              </w:rPr>
            </w:pPr>
            <w:r w:rsidRPr="00890C68">
              <w:rPr>
                <w:rFonts w:ascii="Times New Roman" w:hAnsi="Times New Roman"/>
                <w:color w:val="000000"/>
                <w:sz w:val="21"/>
                <w:szCs w:val="21"/>
              </w:rPr>
              <w:t>0</w:t>
            </w:r>
          </w:p>
        </w:tc>
        <w:tc>
          <w:tcPr>
            <w:tcW w:w="683" w:type="dxa"/>
            <w:shd w:val="clear" w:color="auto" w:fill="FFFFFF"/>
            <w:vAlign w:val="center"/>
          </w:tcPr>
          <w:p w:rsidR="00641996" w:rsidRPr="00890C68" w:rsidRDefault="000A55BD" w:rsidP="00DE4146">
            <w:pPr>
              <w:spacing w:line="240" w:lineRule="auto"/>
              <w:jc w:val="center"/>
              <w:rPr>
                <w:rFonts w:ascii="Times New Roman" w:hAnsi="Times New Roman"/>
                <w:color w:val="000000"/>
                <w:sz w:val="21"/>
                <w:szCs w:val="21"/>
              </w:rPr>
            </w:pPr>
            <w:r w:rsidRPr="00890C68">
              <w:rPr>
                <w:rFonts w:ascii="Times New Roman" w:hAnsi="Times New Roman"/>
                <w:color w:val="000000"/>
                <w:sz w:val="21"/>
                <w:szCs w:val="21"/>
              </w:rPr>
              <w:t>0</w:t>
            </w:r>
          </w:p>
        </w:tc>
        <w:tc>
          <w:tcPr>
            <w:tcW w:w="683" w:type="dxa"/>
            <w:shd w:val="clear" w:color="auto" w:fill="FFFFFF"/>
            <w:vAlign w:val="center"/>
          </w:tcPr>
          <w:p w:rsidR="00641996" w:rsidRPr="00890C68" w:rsidRDefault="000A55BD" w:rsidP="00DE4146">
            <w:pPr>
              <w:spacing w:line="240" w:lineRule="auto"/>
              <w:jc w:val="center"/>
              <w:rPr>
                <w:rFonts w:ascii="Times New Roman" w:hAnsi="Times New Roman"/>
                <w:color w:val="000000"/>
                <w:sz w:val="21"/>
                <w:szCs w:val="21"/>
              </w:rPr>
            </w:pPr>
            <w:r w:rsidRPr="00890C68">
              <w:rPr>
                <w:rFonts w:ascii="Times New Roman" w:hAnsi="Times New Roman"/>
                <w:color w:val="000000"/>
                <w:sz w:val="21"/>
                <w:szCs w:val="21"/>
              </w:rPr>
              <w:t>0</w:t>
            </w:r>
          </w:p>
        </w:tc>
        <w:tc>
          <w:tcPr>
            <w:tcW w:w="683" w:type="dxa"/>
            <w:shd w:val="clear" w:color="auto" w:fill="FFFFFF"/>
            <w:vAlign w:val="center"/>
          </w:tcPr>
          <w:p w:rsidR="00641996" w:rsidRPr="00890C68" w:rsidRDefault="000A55BD" w:rsidP="00DE4146">
            <w:pPr>
              <w:spacing w:line="240" w:lineRule="auto"/>
              <w:jc w:val="center"/>
              <w:rPr>
                <w:rFonts w:ascii="Times New Roman" w:hAnsi="Times New Roman"/>
                <w:color w:val="000000"/>
                <w:sz w:val="21"/>
                <w:szCs w:val="21"/>
              </w:rPr>
            </w:pPr>
            <w:r w:rsidRPr="00890C68">
              <w:rPr>
                <w:rFonts w:ascii="Times New Roman" w:hAnsi="Times New Roman"/>
                <w:color w:val="000000"/>
                <w:sz w:val="21"/>
                <w:szCs w:val="21"/>
              </w:rPr>
              <w:t>0</w:t>
            </w:r>
          </w:p>
        </w:tc>
        <w:tc>
          <w:tcPr>
            <w:tcW w:w="683" w:type="dxa"/>
            <w:shd w:val="clear" w:color="auto" w:fill="FFFFFF"/>
            <w:vAlign w:val="center"/>
          </w:tcPr>
          <w:p w:rsidR="00641996" w:rsidRPr="00890C68" w:rsidRDefault="000A55BD" w:rsidP="00DE4146">
            <w:pPr>
              <w:spacing w:line="240" w:lineRule="auto"/>
              <w:jc w:val="center"/>
              <w:rPr>
                <w:rFonts w:ascii="Times New Roman" w:hAnsi="Times New Roman"/>
                <w:color w:val="000000"/>
                <w:sz w:val="21"/>
                <w:szCs w:val="21"/>
              </w:rPr>
            </w:pPr>
            <w:r w:rsidRPr="00890C68">
              <w:rPr>
                <w:rFonts w:ascii="Times New Roman" w:hAnsi="Times New Roman"/>
                <w:color w:val="000000"/>
                <w:sz w:val="21"/>
                <w:szCs w:val="21"/>
              </w:rPr>
              <w:t>0</w:t>
            </w:r>
          </w:p>
        </w:tc>
        <w:tc>
          <w:tcPr>
            <w:tcW w:w="683" w:type="dxa"/>
            <w:shd w:val="clear" w:color="auto" w:fill="FFFFFF"/>
            <w:vAlign w:val="center"/>
          </w:tcPr>
          <w:p w:rsidR="00641996" w:rsidRPr="00890C68" w:rsidRDefault="000A55BD" w:rsidP="00DE4146">
            <w:pPr>
              <w:spacing w:line="240" w:lineRule="auto"/>
              <w:jc w:val="center"/>
              <w:rPr>
                <w:rFonts w:ascii="Times New Roman" w:hAnsi="Times New Roman"/>
                <w:color w:val="000000"/>
                <w:sz w:val="21"/>
                <w:szCs w:val="21"/>
              </w:rPr>
            </w:pPr>
            <w:r w:rsidRPr="00890C68">
              <w:rPr>
                <w:rFonts w:ascii="Times New Roman" w:hAnsi="Times New Roman"/>
                <w:color w:val="000000"/>
                <w:sz w:val="21"/>
                <w:szCs w:val="21"/>
              </w:rPr>
              <w:t>0</w:t>
            </w:r>
          </w:p>
        </w:tc>
        <w:tc>
          <w:tcPr>
            <w:tcW w:w="683" w:type="dxa"/>
            <w:shd w:val="clear" w:color="auto" w:fill="FFFFFF"/>
            <w:vAlign w:val="center"/>
          </w:tcPr>
          <w:p w:rsidR="00641996" w:rsidRPr="00890C68" w:rsidRDefault="000A55BD" w:rsidP="00DE4146">
            <w:pPr>
              <w:spacing w:line="240" w:lineRule="auto"/>
              <w:jc w:val="center"/>
              <w:rPr>
                <w:rFonts w:ascii="Times New Roman" w:hAnsi="Times New Roman"/>
                <w:color w:val="000000"/>
                <w:sz w:val="21"/>
                <w:szCs w:val="21"/>
              </w:rPr>
            </w:pPr>
            <w:r w:rsidRPr="00890C68">
              <w:rPr>
                <w:rFonts w:ascii="Times New Roman" w:hAnsi="Times New Roman"/>
                <w:color w:val="000000"/>
                <w:sz w:val="21"/>
                <w:szCs w:val="21"/>
              </w:rPr>
              <w:t>0</w:t>
            </w:r>
          </w:p>
        </w:tc>
        <w:tc>
          <w:tcPr>
            <w:tcW w:w="1133" w:type="dxa"/>
            <w:shd w:val="clear" w:color="auto" w:fill="FFFFFF"/>
            <w:vAlign w:val="center"/>
          </w:tcPr>
          <w:p w:rsidR="00641996" w:rsidRPr="00890C68" w:rsidRDefault="000A55BD" w:rsidP="00DE4146">
            <w:pPr>
              <w:spacing w:line="240" w:lineRule="auto"/>
              <w:jc w:val="center"/>
              <w:rPr>
                <w:rFonts w:ascii="Times New Roman" w:hAnsi="Times New Roman"/>
                <w:b/>
                <w:color w:val="000000"/>
                <w:sz w:val="21"/>
                <w:szCs w:val="21"/>
              </w:rPr>
            </w:pPr>
            <w:r w:rsidRPr="00890C68">
              <w:rPr>
                <w:rFonts w:ascii="Times New Roman" w:hAnsi="Times New Roman"/>
                <w:b/>
                <w:color w:val="000000"/>
                <w:sz w:val="21"/>
                <w:szCs w:val="21"/>
              </w:rPr>
              <w:t>0</w:t>
            </w:r>
          </w:p>
        </w:tc>
      </w:tr>
      <w:tr w:rsidR="00641996" w:rsidRPr="00890C68" w:rsidTr="00EB6523">
        <w:trPr>
          <w:trHeight w:val="348"/>
        </w:trPr>
        <w:tc>
          <w:tcPr>
            <w:tcW w:w="2127" w:type="dxa"/>
            <w:gridSpan w:val="2"/>
            <w:shd w:val="clear" w:color="auto" w:fill="FFFFFF"/>
            <w:vAlign w:val="center"/>
          </w:tcPr>
          <w:p w:rsidR="00641996" w:rsidRPr="00890C68" w:rsidRDefault="00641996" w:rsidP="00DE4146">
            <w:pPr>
              <w:spacing w:line="240" w:lineRule="auto"/>
              <w:rPr>
                <w:rFonts w:ascii="Times New Roman" w:hAnsi="Times New Roman"/>
                <w:color w:val="000000"/>
                <w:sz w:val="21"/>
                <w:szCs w:val="21"/>
              </w:rPr>
            </w:pPr>
            <w:r w:rsidRPr="00890C68">
              <w:rPr>
                <w:rFonts w:ascii="Times New Roman" w:hAnsi="Times New Roman"/>
                <w:color w:val="000000"/>
                <w:sz w:val="21"/>
                <w:szCs w:val="21"/>
              </w:rPr>
              <w:t xml:space="preserve">Źródła finansowania </w:t>
            </w:r>
          </w:p>
        </w:tc>
        <w:tc>
          <w:tcPr>
            <w:tcW w:w="8930" w:type="dxa"/>
            <w:gridSpan w:val="13"/>
            <w:shd w:val="clear" w:color="auto" w:fill="FFFFFF"/>
            <w:vAlign w:val="center"/>
          </w:tcPr>
          <w:p w:rsidR="00641996" w:rsidRPr="00890C68" w:rsidRDefault="00641996" w:rsidP="00DE4146">
            <w:pPr>
              <w:spacing w:line="240" w:lineRule="auto"/>
              <w:jc w:val="both"/>
              <w:rPr>
                <w:rFonts w:ascii="Times New Roman" w:hAnsi="Times New Roman"/>
                <w:color w:val="000000"/>
                <w:sz w:val="21"/>
                <w:szCs w:val="21"/>
              </w:rPr>
            </w:pPr>
          </w:p>
          <w:p w:rsidR="00641996" w:rsidRPr="00890C68" w:rsidRDefault="00641996" w:rsidP="00DE4146">
            <w:pPr>
              <w:spacing w:line="240" w:lineRule="auto"/>
              <w:jc w:val="both"/>
              <w:rPr>
                <w:rFonts w:ascii="Times New Roman" w:hAnsi="Times New Roman"/>
                <w:color w:val="000000"/>
                <w:sz w:val="21"/>
                <w:szCs w:val="21"/>
              </w:rPr>
            </w:pPr>
            <w:r w:rsidRPr="00890C68">
              <w:rPr>
                <w:rFonts w:ascii="Times New Roman" w:hAnsi="Times New Roman"/>
                <w:color w:val="000000"/>
                <w:sz w:val="21"/>
                <w:szCs w:val="21"/>
              </w:rPr>
              <w:t>Patrz pkt 6a i 6b</w:t>
            </w:r>
          </w:p>
          <w:p w:rsidR="00641996" w:rsidRPr="00890C68" w:rsidRDefault="00641996" w:rsidP="00DE4146">
            <w:pPr>
              <w:spacing w:line="240" w:lineRule="auto"/>
              <w:jc w:val="both"/>
              <w:rPr>
                <w:rFonts w:ascii="Times New Roman" w:hAnsi="Times New Roman"/>
                <w:color w:val="000000"/>
                <w:sz w:val="21"/>
                <w:szCs w:val="21"/>
              </w:rPr>
            </w:pPr>
          </w:p>
        </w:tc>
      </w:tr>
      <w:tr w:rsidR="00641996" w:rsidRPr="00890C68" w:rsidTr="00EB6523">
        <w:trPr>
          <w:trHeight w:val="937"/>
        </w:trPr>
        <w:tc>
          <w:tcPr>
            <w:tcW w:w="2127" w:type="dxa"/>
            <w:gridSpan w:val="2"/>
            <w:shd w:val="clear" w:color="auto" w:fill="FFFFFF"/>
          </w:tcPr>
          <w:p w:rsidR="00641996" w:rsidRPr="00890C68" w:rsidRDefault="00641996" w:rsidP="00DE4146">
            <w:pPr>
              <w:spacing w:line="240" w:lineRule="auto"/>
              <w:rPr>
                <w:rFonts w:ascii="Times New Roman" w:hAnsi="Times New Roman"/>
                <w:color w:val="000000"/>
                <w:sz w:val="21"/>
                <w:szCs w:val="21"/>
              </w:rPr>
            </w:pPr>
            <w:r w:rsidRPr="00890C68">
              <w:rPr>
                <w:rFonts w:ascii="Times New Roman" w:hAnsi="Times New Roman"/>
                <w:color w:val="000000"/>
                <w:sz w:val="21"/>
                <w:szCs w:val="21"/>
              </w:rPr>
              <w:t>Dodatkowe informacje, w tym wskazanie źródeł danych i przyjętych do obliczeń założeń</w:t>
            </w:r>
          </w:p>
        </w:tc>
        <w:tc>
          <w:tcPr>
            <w:tcW w:w="8930" w:type="dxa"/>
            <w:gridSpan w:val="13"/>
            <w:shd w:val="clear" w:color="auto" w:fill="FFFFFF"/>
          </w:tcPr>
          <w:p w:rsidR="00641996" w:rsidRPr="00890C68" w:rsidRDefault="00641996" w:rsidP="00DE4146">
            <w:pPr>
              <w:spacing w:line="240" w:lineRule="auto"/>
              <w:jc w:val="both"/>
              <w:rPr>
                <w:rFonts w:ascii="Times New Roman" w:hAnsi="Times New Roman"/>
                <w:color w:val="000000"/>
                <w:sz w:val="21"/>
                <w:szCs w:val="21"/>
              </w:rPr>
            </w:pPr>
            <w:r w:rsidRPr="00890C68">
              <w:rPr>
                <w:rFonts w:ascii="Times New Roman" w:hAnsi="Times New Roman"/>
                <w:color w:val="000000"/>
                <w:sz w:val="21"/>
                <w:szCs w:val="21"/>
              </w:rPr>
              <w:t>Patrz pkt 6a i 6b</w:t>
            </w:r>
          </w:p>
        </w:tc>
      </w:tr>
      <w:tr w:rsidR="006A701A" w:rsidRPr="00890C68" w:rsidTr="00641996">
        <w:trPr>
          <w:trHeight w:val="363"/>
        </w:trPr>
        <w:tc>
          <w:tcPr>
            <w:tcW w:w="11057" w:type="dxa"/>
            <w:gridSpan w:val="15"/>
            <w:shd w:val="clear" w:color="auto" w:fill="99CCFF"/>
            <w:vAlign w:val="center"/>
          </w:tcPr>
          <w:p w:rsidR="006A701A" w:rsidRPr="00890C68" w:rsidRDefault="00641996" w:rsidP="00206AF8">
            <w:pPr>
              <w:spacing w:before="60" w:after="60" w:line="240" w:lineRule="auto"/>
              <w:jc w:val="both"/>
              <w:rPr>
                <w:rFonts w:ascii="Times New Roman" w:hAnsi="Times New Roman"/>
                <w:b/>
                <w:color w:val="000000"/>
              </w:rPr>
            </w:pPr>
            <w:r w:rsidRPr="00890C68">
              <w:rPr>
                <w:rFonts w:ascii="Times New Roman" w:hAnsi="Times New Roman"/>
                <w:b/>
                <w:color w:val="000000"/>
              </w:rPr>
              <w:t>6a.</w:t>
            </w:r>
            <w:r w:rsidR="006A701A" w:rsidRPr="00890C68">
              <w:rPr>
                <w:rFonts w:ascii="Times New Roman" w:hAnsi="Times New Roman"/>
                <w:b/>
                <w:color w:val="000000"/>
              </w:rPr>
              <w:t xml:space="preserve"> Wpływ na sektor finansów publicznych</w:t>
            </w:r>
            <w:r w:rsidR="008B59AD" w:rsidRPr="00890C68">
              <w:rPr>
                <w:rFonts w:ascii="Times New Roman" w:hAnsi="Times New Roman"/>
                <w:b/>
                <w:color w:val="000000"/>
              </w:rPr>
              <w:t xml:space="preserve"> </w:t>
            </w:r>
            <w:r w:rsidR="002725BC" w:rsidRPr="00890C68">
              <w:rPr>
                <w:rFonts w:ascii="Times New Roman" w:hAnsi="Times New Roman"/>
                <w:b/>
                <w:color w:val="000000"/>
              </w:rPr>
              <w:t>–</w:t>
            </w:r>
            <w:r w:rsidR="008B59AD" w:rsidRPr="00890C68">
              <w:rPr>
                <w:rFonts w:ascii="Times New Roman" w:hAnsi="Times New Roman"/>
                <w:b/>
                <w:color w:val="000000"/>
              </w:rPr>
              <w:t xml:space="preserve"> </w:t>
            </w:r>
            <w:r w:rsidR="002725BC" w:rsidRPr="00890C68">
              <w:rPr>
                <w:rFonts w:ascii="Times New Roman" w:hAnsi="Times New Roman"/>
                <w:b/>
                <w:color w:val="000000"/>
              </w:rPr>
              <w:t>wprowadzenie ro</w:t>
            </w:r>
            <w:r w:rsidR="00206AF8">
              <w:rPr>
                <w:rFonts w:ascii="Times New Roman" w:hAnsi="Times New Roman"/>
                <w:b/>
                <w:color w:val="000000"/>
              </w:rPr>
              <w:t>związań w obszarze kwalifikacji</w:t>
            </w:r>
          </w:p>
        </w:tc>
      </w:tr>
      <w:tr w:rsidR="00260F33" w:rsidRPr="00890C68" w:rsidTr="00EB6523">
        <w:trPr>
          <w:trHeight w:val="142"/>
        </w:trPr>
        <w:tc>
          <w:tcPr>
            <w:tcW w:w="2127" w:type="dxa"/>
            <w:gridSpan w:val="2"/>
            <w:vMerge w:val="restart"/>
            <w:shd w:val="clear" w:color="auto" w:fill="FFFFFF"/>
          </w:tcPr>
          <w:p w:rsidR="00260F33" w:rsidRPr="00890C68" w:rsidRDefault="00821717" w:rsidP="00821717">
            <w:pPr>
              <w:spacing w:before="40" w:after="40"/>
              <w:rPr>
                <w:rFonts w:ascii="Times New Roman" w:hAnsi="Times New Roman"/>
                <w:i/>
                <w:color w:val="000000"/>
                <w:sz w:val="21"/>
                <w:szCs w:val="21"/>
              </w:rPr>
            </w:pPr>
            <w:r w:rsidRPr="00890C68">
              <w:rPr>
                <w:rFonts w:ascii="Times New Roman" w:hAnsi="Times New Roman"/>
                <w:color w:val="000000"/>
                <w:sz w:val="21"/>
                <w:szCs w:val="21"/>
              </w:rPr>
              <w:t xml:space="preserve">(ceny </w:t>
            </w:r>
            <w:r w:rsidR="00CF5F4F" w:rsidRPr="00890C68">
              <w:rPr>
                <w:rFonts w:ascii="Times New Roman" w:hAnsi="Times New Roman"/>
                <w:color w:val="000000"/>
                <w:sz w:val="21"/>
                <w:szCs w:val="21"/>
              </w:rPr>
              <w:t>stałe</w:t>
            </w:r>
            <w:r w:rsidR="00D705AD" w:rsidRPr="00890C68">
              <w:rPr>
                <w:rFonts w:ascii="Times New Roman" w:hAnsi="Times New Roman"/>
                <w:color w:val="000000"/>
                <w:sz w:val="21"/>
                <w:szCs w:val="21"/>
              </w:rPr>
              <w:t xml:space="preserve"> z 2017 </w:t>
            </w:r>
            <w:r w:rsidRPr="00890C68">
              <w:rPr>
                <w:rFonts w:ascii="Times New Roman" w:hAnsi="Times New Roman"/>
                <w:color w:val="000000"/>
                <w:sz w:val="21"/>
                <w:szCs w:val="21"/>
              </w:rPr>
              <w:t>r.)</w:t>
            </w:r>
          </w:p>
        </w:tc>
        <w:tc>
          <w:tcPr>
            <w:tcW w:w="8930" w:type="dxa"/>
            <w:gridSpan w:val="13"/>
            <w:shd w:val="clear" w:color="auto" w:fill="FFFFFF"/>
          </w:tcPr>
          <w:p w:rsidR="00260F33" w:rsidRPr="00890C68" w:rsidRDefault="00260F33" w:rsidP="00260F33">
            <w:pPr>
              <w:spacing w:before="40" w:after="40" w:line="240" w:lineRule="auto"/>
              <w:jc w:val="center"/>
              <w:rPr>
                <w:rFonts w:ascii="Times New Roman" w:hAnsi="Times New Roman"/>
                <w:i/>
                <w:color w:val="000000"/>
                <w:spacing w:val="-2"/>
                <w:sz w:val="21"/>
                <w:szCs w:val="21"/>
              </w:rPr>
            </w:pPr>
            <w:r w:rsidRPr="00890C68">
              <w:rPr>
                <w:rFonts w:ascii="Times New Roman" w:hAnsi="Times New Roman"/>
                <w:color w:val="000000"/>
                <w:sz w:val="21"/>
                <w:szCs w:val="21"/>
              </w:rPr>
              <w:t>Skutki w okresie 1</w:t>
            </w:r>
            <w:r w:rsidR="00B17EE9" w:rsidRPr="00890C68">
              <w:rPr>
                <w:rFonts w:ascii="Times New Roman" w:hAnsi="Times New Roman"/>
                <w:color w:val="000000"/>
                <w:sz w:val="21"/>
                <w:szCs w:val="21"/>
              </w:rPr>
              <w:t>0 lat od wejścia w życie zmian [</w:t>
            </w:r>
            <w:r w:rsidRPr="00890C68">
              <w:rPr>
                <w:rFonts w:ascii="Times New Roman" w:hAnsi="Times New Roman"/>
                <w:color w:val="000000"/>
                <w:sz w:val="21"/>
                <w:szCs w:val="21"/>
              </w:rPr>
              <w:t>zł]</w:t>
            </w:r>
          </w:p>
        </w:tc>
      </w:tr>
      <w:tr w:rsidR="0057668E" w:rsidRPr="00890C68" w:rsidTr="00EB6523">
        <w:trPr>
          <w:trHeight w:val="142"/>
        </w:trPr>
        <w:tc>
          <w:tcPr>
            <w:tcW w:w="2127" w:type="dxa"/>
            <w:gridSpan w:val="2"/>
            <w:vMerge/>
            <w:shd w:val="clear" w:color="auto" w:fill="FFFFFF"/>
          </w:tcPr>
          <w:p w:rsidR="0057668E" w:rsidRPr="00890C68" w:rsidRDefault="0057668E" w:rsidP="00A52ADB">
            <w:pPr>
              <w:spacing w:before="40" w:after="40" w:line="240" w:lineRule="auto"/>
              <w:rPr>
                <w:rFonts w:ascii="Times New Roman" w:hAnsi="Times New Roman"/>
                <w:i/>
                <w:color w:val="000000"/>
                <w:sz w:val="21"/>
                <w:szCs w:val="21"/>
              </w:rPr>
            </w:pPr>
          </w:p>
        </w:tc>
        <w:tc>
          <w:tcPr>
            <w:tcW w:w="967" w:type="dxa"/>
            <w:gridSpan w:val="2"/>
            <w:shd w:val="clear" w:color="auto" w:fill="FFFFFF"/>
            <w:vAlign w:val="center"/>
          </w:tcPr>
          <w:p w:rsidR="0057668E" w:rsidRPr="00890C68" w:rsidRDefault="00203B23" w:rsidP="0003215D">
            <w:pPr>
              <w:spacing w:line="240" w:lineRule="auto"/>
              <w:jc w:val="center"/>
              <w:rPr>
                <w:rFonts w:ascii="Times New Roman" w:hAnsi="Times New Roman"/>
                <w:color w:val="000000"/>
                <w:sz w:val="21"/>
                <w:szCs w:val="21"/>
              </w:rPr>
            </w:pPr>
            <w:r w:rsidRPr="00890C68">
              <w:rPr>
                <w:rFonts w:ascii="Times New Roman" w:hAnsi="Times New Roman"/>
                <w:color w:val="000000"/>
                <w:sz w:val="21"/>
                <w:szCs w:val="21"/>
              </w:rPr>
              <w:t>0</w:t>
            </w:r>
          </w:p>
        </w:tc>
        <w:tc>
          <w:tcPr>
            <w:tcW w:w="683" w:type="dxa"/>
            <w:shd w:val="clear" w:color="auto" w:fill="FFFFFF"/>
            <w:vAlign w:val="center"/>
          </w:tcPr>
          <w:p w:rsidR="0057668E" w:rsidRPr="00890C68" w:rsidRDefault="0057668E" w:rsidP="00B355A2">
            <w:pPr>
              <w:spacing w:line="240" w:lineRule="auto"/>
              <w:jc w:val="center"/>
              <w:rPr>
                <w:rFonts w:ascii="Times New Roman" w:hAnsi="Times New Roman"/>
                <w:color w:val="000000"/>
                <w:sz w:val="21"/>
                <w:szCs w:val="21"/>
              </w:rPr>
            </w:pPr>
            <w:r w:rsidRPr="00890C68">
              <w:rPr>
                <w:rFonts w:ascii="Times New Roman" w:hAnsi="Times New Roman"/>
                <w:color w:val="000000"/>
                <w:sz w:val="21"/>
                <w:szCs w:val="21"/>
              </w:rPr>
              <w:t>1</w:t>
            </w:r>
          </w:p>
        </w:tc>
        <w:tc>
          <w:tcPr>
            <w:tcW w:w="683" w:type="dxa"/>
            <w:shd w:val="clear" w:color="auto" w:fill="FFFFFF"/>
            <w:vAlign w:val="center"/>
          </w:tcPr>
          <w:p w:rsidR="0057668E" w:rsidRPr="00890C68" w:rsidRDefault="0057668E" w:rsidP="00BF07E7">
            <w:pPr>
              <w:spacing w:line="240" w:lineRule="auto"/>
              <w:jc w:val="center"/>
              <w:rPr>
                <w:rFonts w:ascii="Times New Roman" w:hAnsi="Times New Roman"/>
                <w:color w:val="000000"/>
                <w:sz w:val="21"/>
                <w:szCs w:val="21"/>
              </w:rPr>
            </w:pPr>
            <w:r w:rsidRPr="00890C68">
              <w:rPr>
                <w:rFonts w:ascii="Times New Roman" w:hAnsi="Times New Roman"/>
                <w:color w:val="000000"/>
                <w:sz w:val="21"/>
                <w:szCs w:val="21"/>
              </w:rPr>
              <w:t>2</w:t>
            </w:r>
          </w:p>
        </w:tc>
        <w:tc>
          <w:tcPr>
            <w:tcW w:w="683" w:type="dxa"/>
            <w:shd w:val="clear" w:color="auto" w:fill="FFFFFF"/>
            <w:vAlign w:val="center"/>
          </w:tcPr>
          <w:p w:rsidR="0057668E" w:rsidRPr="00890C68" w:rsidRDefault="0057668E" w:rsidP="00FF6372">
            <w:pPr>
              <w:spacing w:line="240" w:lineRule="auto"/>
              <w:jc w:val="center"/>
              <w:rPr>
                <w:rFonts w:ascii="Times New Roman" w:hAnsi="Times New Roman"/>
                <w:color w:val="000000"/>
                <w:sz w:val="21"/>
                <w:szCs w:val="21"/>
              </w:rPr>
            </w:pPr>
            <w:r w:rsidRPr="00890C68">
              <w:rPr>
                <w:rFonts w:ascii="Times New Roman" w:hAnsi="Times New Roman"/>
                <w:color w:val="000000"/>
                <w:sz w:val="21"/>
                <w:szCs w:val="21"/>
              </w:rPr>
              <w:t>3</w:t>
            </w:r>
          </w:p>
        </w:tc>
        <w:tc>
          <w:tcPr>
            <w:tcW w:w="683" w:type="dxa"/>
            <w:shd w:val="clear" w:color="auto" w:fill="FFFFFF"/>
            <w:vAlign w:val="center"/>
          </w:tcPr>
          <w:p w:rsidR="0057668E" w:rsidRPr="00890C68" w:rsidRDefault="0057668E" w:rsidP="00B87874">
            <w:pPr>
              <w:spacing w:line="240" w:lineRule="auto"/>
              <w:jc w:val="center"/>
              <w:rPr>
                <w:rFonts w:ascii="Times New Roman" w:hAnsi="Times New Roman"/>
                <w:color w:val="000000"/>
                <w:sz w:val="21"/>
                <w:szCs w:val="21"/>
              </w:rPr>
            </w:pPr>
            <w:r w:rsidRPr="00890C68">
              <w:rPr>
                <w:rFonts w:ascii="Times New Roman" w:hAnsi="Times New Roman"/>
                <w:color w:val="000000"/>
                <w:sz w:val="21"/>
                <w:szCs w:val="21"/>
              </w:rPr>
              <w:t>4</w:t>
            </w:r>
          </w:p>
        </w:tc>
        <w:tc>
          <w:tcPr>
            <w:tcW w:w="683" w:type="dxa"/>
            <w:shd w:val="clear" w:color="auto" w:fill="FFFFFF"/>
            <w:vAlign w:val="center"/>
          </w:tcPr>
          <w:p w:rsidR="0057668E" w:rsidRPr="00890C68" w:rsidRDefault="0057668E" w:rsidP="00945864">
            <w:pPr>
              <w:spacing w:line="240" w:lineRule="auto"/>
              <w:jc w:val="center"/>
              <w:rPr>
                <w:rFonts w:ascii="Times New Roman" w:hAnsi="Times New Roman"/>
                <w:color w:val="000000"/>
                <w:sz w:val="21"/>
                <w:szCs w:val="21"/>
              </w:rPr>
            </w:pPr>
            <w:r w:rsidRPr="00890C68">
              <w:rPr>
                <w:rFonts w:ascii="Times New Roman" w:hAnsi="Times New Roman"/>
                <w:color w:val="000000"/>
                <w:sz w:val="21"/>
                <w:szCs w:val="21"/>
              </w:rPr>
              <w:t>5</w:t>
            </w:r>
          </w:p>
        </w:tc>
        <w:tc>
          <w:tcPr>
            <w:tcW w:w="683" w:type="dxa"/>
            <w:shd w:val="clear" w:color="auto" w:fill="FFFFFF"/>
            <w:vAlign w:val="center"/>
          </w:tcPr>
          <w:p w:rsidR="0057668E" w:rsidRPr="00890C68" w:rsidRDefault="0057668E" w:rsidP="00776BBE">
            <w:pPr>
              <w:spacing w:line="240" w:lineRule="auto"/>
              <w:jc w:val="center"/>
              <w:rPr>
                <w:rFonts w:ascii="Times New Roman" w:hAnsi="Times New Roman"/>
                <w:color w:val="000000"/>
                <w:sz w:val="21"/>
                <w:szCs w:val="21"/>
              </w:rPr>
            </w:pPr>
            <w:r w:rsidRPr="00890C68">
              <w:rPr>
                <w:rFonts w:ascii="Times New Roman" w:hAnsi="Times New Roman"/>
                <w:color w:val="000000"/>
                <w:sz w:val="21"/>
                <w:szCs w:val="21"/>
              </w:rPr>
              <w:t>6</w:t>
            </w:r>
          </w:p>
        </w:tc>
        <w:tc>
          <w:tcPr>
            <w:tcW w:w="683" w:type="dxa"/>
            <w:shd w:val="clear" w:color="auto" w:fill="FFFFFF"/>
            <w:vAlign w:val="center"/>
          </w:tcPr>
          <w:p w:rsidR="0057668E" w:rsidRPr="00890C68" w:rsidRDefault="0057668E" w:rsidP="00776BBE">
            <w:pPr>
              <w:spacing w:line="240" w:lineRule="auto"/>
              <w:jc w:val="center"/>
              <w:rPr>
                <w:rFonts w:ascii="Times New Roman" w:hAnsi="Times New Roman"/>
                <w:color w:val="000000"/>
                <w:sz w:val="21"/>
                <w:szCs w:val="21"/>
              </w:rPr>
            </w:pPr>
            <w:r w:rsidRPr="00890C68">
              <w:rPr>
                <w:rFonts w:ascii="Times New Roman" w:hAnsi="Times New Roman"/>
                <w:color w:val="000000"/>
                <w:sz w:val="21"/>
                <w:szCs w:val="21"/>
              </w:rPr>
              <w:t>7</w:t>
            </w:r>
          </w:p>
        </w:tc>
        <w:tc>
          <w:tcPr>
            <w:tcW w:w="683" w:type="dxa"/>
            <w:shd w:val="clear" w:color="auto" w:fill="FFFFFF"/>
            <w:vAlign w:val="center"/>
          </w:tcPr>
          <w:p w:rsidR="0057668E" w:rsidRPr="00890C68" w:rsidRDefault="0057668E" w:rsidP="00776BBE">
            <w:pPr>
              <w:spacing w:line="240" w:lineRule="auto"/>
              <w:jc w:val="center"/>
              <w:rPr>
                <w:rFonts w:ascii="Times New Roman" w:hAnsi="Times New Roman"/>
                <w:color w:val="000000"/>
                <w:sz w:val="21"/>
                <w:szCs w:val="21"/>
              </w:rPr>
            </w:pPr>
            <w:r w:rsidRPr="00890C68">
              <w:rPr>
                <w:rFonts w:ascii="Times New Roman" w:hAnsi="Times New Roman"/>
                <w:color w:val="000000"/>
                <w:sz w:val="21"/>
                <w:szCs w:val="21"/>
              </w:rPr>
              <w:t>8</w:t>
            </w:r>
          </w:p>
        </w:tc>
        <w:tc>
          <w:tcPr>
            <w:tcW w:w="683" w:type="dxa"/>
            <w:shd w:val="clear" w:color="auto" w:fill="FFFFFF"/>
            <w:vAlign w:val="center"/>
          </w:tcPr>
          <w:p w:rsidR="0057668E" w:rsidRPr="00890C68" w:rsidRDefault="0057668E" w:rsidP="00776BBE">
            <w:pPr>
              <w:spacing w:line="240" w:lineRule="auto"/>
              <w:jc w:val="center"/>
              <w:rPr>
                <w:rFonts w:ascii="Times New Roman" w:hAnsi="Times New Roman"/>
                <w:color w:val="000000"/>
                <w:sz w:val="21"/>
                <w:szCs w:val="21"/>
              </w:rPr>
            </w:pPr>
            <w:r w:rsidRPr="00890C68">
              <w:rPr>
                <w:rFonts w:ascii="Times New Roman" w:hAnsi="Times New Roman"/>
                <w:color w:val="000000"/>
                <w:sz w:val="21"/>
                <w:szCs w:val="21"/>
              </w:rPr>
              <w:t>9</w:t>
            </w:r>
          </w:p>
        </w:tc>
        <w:tc>
          <w:tcPr>
            <w:tcW w:w="683" w:type="dxa"/>
            <w:shd w:val="clear" w:color="auto" w:fill="FFFFFF"/>
            <w:vAlign w:val="center"/>
          </w:tcPr>
          <w:p w:rsidR="0057668E" w:rsidRPr="00890C68" w:rsidRDefault="0057668E" w:rsidP="00776BBE">
            <w:pPr>
              <w:spacing w:line="240" w:lineRule="auto"/>
              <w:jc w:val="center"/>
              <w:rPr>
                <w:rFonts w:ascii="Times New Roman" w:hAnsi="Times New Roman"/>
                <w:color w:val="000000"/>
                <w:sz w:val="21"/>
                <w:szCs w:val="21"/>
              </w:rPr>
            </w:pPr>
            <w:r w:rsidRPr="00890C68">
              <w:rPr>
                <w:rFonts w:ascii="Times New Roman" w:hAnsi="Times New Roman"/>
                <w:color w:val="000000"/>
                <w:sz w:val="21"/>
                <w:szCs w:val="21"/>
              </w:rPr>
              <w:t>10</w:t>
            </w:r>
          </w:p>
        </w:tc>
        <w:tc>
          <w:tcPr>
            <w:tcW w:w="1133" w:type="dxa"/>
            <w:shd w:val="clear" w:color="auto" w:fill="FFFFFF"/>
          </w:tcPr>
          <w:p w:rsidR="0057668E" w:rsidRPr="00890C68" w:rsidRDefault="0057668E" w:rsidP="00776BBE">
            <w:pPr>
              <w:spacing w:before="40" w:after="40" w:line="240" w:lineRule="auto"/>
              <w:jc w:val="center"/>
              <w:rPr>
                <w:rFonts w:ascii="Times New Roman" w:hAnsi="Times New Roman"/>
                <w:b/>
                <w:i/>
                <w:color w:val="000000"/>
                <w:spacing w:val="-2"/>
                <w:sz w:val="21"/>
                <w:szCs w:val="21"/>
              </w:rPr>
            </w:pPr>
            <w:r w:rsidRPr="00890C68">
              <w:rPr>
                <w:rFonts w:ascii="Times New Roman" w:hAnsi="Times New Roman"/>
                <w:b/>
                <w:i/>
                <w:color w:val="000000"/>
                <w:spacing w:val="-2"/>
                <w:sz w:val="21"/>
                <w:szCs w:val="21"/>
              </w:rPr>
              <w:t>Łącznie</w:t>
            </w:r>
            <w:r w:rsidR="00CF5F4F" w:rsidRPr="00890C68">
              <w:rPr>
                <w:rFonts w:ascii="Times New Roman" w:hAnsi="Times New Roman"/>
                <w:b/>
                <w:i/>
                <w:color w:val="000000"/>
                <w:spacing w:val="-2"/>
                <w:sz w:val="21"/>
                <w:szCs w:val="21"/>
              </w:rPr>
              <w:t xml:space="preserve"> (0-10)</w:t>
            </w:r>
          </w:p>
        </w:tc>
      </w:tr>
      <w:tr w:rsidR="0057668E" w:rsidRPr="00890C68" w:rsidTr="00EB6523">
        <w:trPr>
          <w:trHeight w:val="321"/>
        </w:trPr>
        <w:tc>
          <w:tcPr>
            <w:tcW w:w="2127" w:type="dxa"/>
            <w:gridSpan w:val="2"/>
            <w:shd w:val="clear" w:color="auto" w:fill="FFFFFF"/>
            <w:vAlign w:val="center"/>
          </w:tcPr>
          <w:p w:rsidR="0057668E" w:rsidRPr="00890C68" w:rsidRDefault="0057668E" w:rsidP="00C53F26">
            <w:pPr>
              <w:spacing w:line="240" w:lineRule="auto"/>
              <w:rPr>
                <w:rFonts w:ascii="Times New Roman" w:hAnsi="Times New Roman"/>
                <w:color w:val="000000"/>
                <w:sz w:val="21"/>
                <w:szCs w:val="21"/>
              </w:rPr>
            </w:pPr>
            <w:r w:rsidRPr="00890C68">
              <w:rPr>
                <w:rFonts w:ascii="Times New Roman" w:hAnsi="Times New Roman"/>
                <w:b/>
                <w:color w:val="000000"/>
                <w:sz w:val="21"/>
                <w:szCs w:val="21"/>
              </w:rPr>
              <w:t>Dochody ogółem</w:t>
            </w:r>
          </w:p>
        </w:tc>
        <w:tc>
          <w:tcPr>
            <w:tcW w:w="967" w:type="dxa"/>
            <w:gridSpan w:val="2"/>
            <w:shd w:val="clear" w:color="auto" w:fill="FFFFFF"/>
            <w:vAlign w:val="center"/>
          </w:tcPr>
          <w:p w:rsidR="0057668E" w:rsidRPr="00890C68" w:rsidRDefault="002158A3" w:rsidP="006704B3">
            <w:pPr>
              <w:spacing w:line="240" w:lineRule="auto"/>
              <w:jc w:val="center"/>
              <w:rPr>
                <w:rFonts w:ascii="Times New Roman" w:hAnsi="Times New Roman"/>
                <w:color w:val="000000"/>
                <w:sz w:val="21"/>
                <w:szCs w:val="21"/>
              </w:rPr>
            </w:pPr>
            <w:r w:rsidRPr="00890C68">
              <w:rPr>
                <w:rFonts w:ascii="Times New Roman" w:hAnsi="Times New Roman"/>
                <w:color w:val="000000"/>
                <w:sz w:val="21"/>
                <w:szCs w:val="21"/>
              </w:rPr>
              <w:t>0</w:t>
            </w:r>
          </w:p>
        </w:tc>
        <w:tc>
          <w:tcPr>
            <w:tcW w:w="683" w:type="dxa"/>
            <w:shd w:val="clear" w:color="auto" w:fill="FFFFFF"/>
            <w:vAlign w:val="center"/>
          </w:tcPr>
          <w:p w:rsidR="0057668E" w:rsidRPr="00890C68" w:rsidRDefault="002158A3" w:rsidP="006704B3">
            <w:pPr>
              <w:spacing w:line="240" w:lineRule="auto"/>
              <w:jc w:val="center"/>
              <w:rPr>
                <w:rFonts w:ascii="Times New Roman" w:hAnsi="Times New Roman"/>
                <w:color w:val="000000"/>
                <w:sz w:val="21"/>
                <w:szCs w:val="21"/>
              </w:rPr>
            </w:pPr>
            <w:r w:rsidRPr="00890C68">
              <w:rPr>
                <w:rFonts w:ascii="Times New Roman" w:hAnsi="Times New Roman"/>
                <w:color w:val="000000"/>
                <w:sz w:val="21"/>
                <w:szCs w:val="21"/>
              </w:rPr>
              <w:t>0</w:t>
            </w:r>
          </w:p>
        </w:tc>
        <w:tc>
          <w:tcPr>
            <w:tcW w:w="683" w:type="dxa"/>
            <w:shd w:val="clear" w:color="auto" w:fill="FFFFFF"/>
            <w:vAlign w:val="center"/>
          </w:tcPr>
          <w:p w:rsidR="0057668E" w:rsidRPr="00890C68" w:rsidRDefault="002158A3" w:rsidP="006704B3">
            <w:pPr>
              <w:spacing w:line="240" w:lineRule="auto"/>
              <w:jc w:val="center"/>
              <w:rPr>
                <w:rFonts w:ascii="Times New Roman" w:hAnsi="Times New Roman"/>
                <w:color w:val="000000"/>
                <w:sz w:val="21"/>
                <w:szCs w:val="21"/>
              </w:rPr>
            </w:pPr>
            <w:r w:rsidRPr="00890C68">
              <w:rPr>
                <w:rFonts w:ascii="Times New Roman" w:hAnsi="Times New Roman"/>
                <w:color w:val="000000"/>
                <w:sz w:val="21"/>
                <w:szCs w:val="21"/>
              </w:rPr>
              <w:t>0</w:t>
            </w:r>
          </w:p>
        </w:tc>
        <w:tc>
          <w:tcPr>
            <w:tcW w:w="683" w:type="dxa"/>
            <w:shd w:val="clear" w:color="auto" w:fill="FFFFFF"/>
            <w:vAlign w:val="center"/>
          </w:tcPr>
          <w:p w:rsidR="0057668E" w:rsidRPr="00890C68" w:rsidRDefault="002158A3" w:rsidP="006704B3">
            <w:pPr>
              <w:spacing w:line="240" w:lineRule="auto"/>
              <w:jc w:val="center"/>
              <w:rPr>
                <w:rFonts w:ascii="Times New Roman" w:hAnsi="Times New Roman"/>
                <w:color w:val="000000"/>
                <w:sz w:val="21"/>
                <w:szCs w:val="21"/>
              </w:rPr>
            </w:pPr>
            <w:r w:rsidRPr="00890C68">
              <w:rPr>
                <w:rFonts w:ascii="Times New Roman" w:hAnsi="Times New Roman"/>
                <w:color w:val="000000"/>
                <w:sz w:val="21"/>
                <w:szCs w:val="21"/>
              </w:rPr>
              <w:t>0</w:t>
            </w:r>
          </w:p>
        </w:tc>
        <w:tc>
          <w:tcPr>
            <w:tcW w:w="683" w:type="dxa"/>
            <w:shd w:val="clear" w:color="auto" w:fill="FFFFFF"/>
            <w:vAlign w:val="center"/>
          </w:tcPr>
          <w:p w:rsidR="0057668E" w:rsidRPr="00890C68" w:rsidRDefault="002158A3" w:rsidP="006704B3">
            <w:pPr>
              <w:spacing w:line="240" w:lineRule="auto"/>
              <w:jc w:val="center"/>
              <w:rPr>
                <w:rFonts w:ascii="Times New Roman" w:hAnsi="Times New Roman"/>
                <w:color w:val="000000"/>
                <w:sz w:val="21"/>
                <w:szCs w:val="21"/>
              </w:rPr>
            </w:pPr>
            <w:r w:rsidRPr="00890C68">
              <w:rPr>
                <w:rFonts w:ascii="Times New Roman" w:hAnsi="Times New Roman"/>
                <w:color w:val="000000"/>
                <w:sz w:val="21"/>
                <w:szCs w:val="21"/>
              </w:rPr>
              <w:t>0</w:t>
            </w:r>
          </w:p>
        </w:tc>
        <w:tc>
          <w:tcPr>
            <w:tcW w:w="683" w:type="dxa"/>
            <w:shd w:val="clear" w:color="auto" w:fill="FFFFFF"/>
            <w:vAlign w:val="center"/>
          </w:tcPr>
          <w:p w:rsidR="0057668E" w:rsidRPr="00890C68" w:rsidRDefault="002158A3" w:rsidP="006704B3">
            <w:pPr>
              <w:spacing w:line="240" w:lineRule="auto"/>
              <w:jc w:val="center"/>
              <w:rPr>
                <w:rFonts w:ascii="Times New Roman" w:hAnsi="Times New Roman"/>
                <w:color w:val="000000"/>
                <w:sz w:val="21"/>
                <w:szCs w:val="21"/>
              </w:rPr>
            </w:pPr>
            <w:r w:rsidRPr="00890C68">
              <w:rPr>
                <w:rFonts w:ascii="Times New Roman" w:hAnsi="Times New Roman"/>
                <w:color w:val="000000"/>
                <w:sz w:val="21"/>
                <w:szCs w:val="21"/>
              </w:rPr>
              <w:t>0</w:t>
            </w:r>
          </w:p>
        </w:tc>
        <w:tc>
          <w:tcPr>
            <w:tcW w:w="683" w:type="dxa"/>
            <w:shd w:val="clear" w:color="auto" w:fill="FFFFFF"/>
            <w:vAlign w:val="center"/>
          </w:tcPr>
          <w:p w:rsidR="0057668E" w:rsidRPr="00890C68" w:rsidRDefault="002158A3" w:rsidP="006704B3">
            <w:pPr>
              <w:spacing w:line="240" w:lineRule="auto"/>
              <w:jc w:val="center"/>
              <w:rPr>
                <w:rFonts w:ascii="Times New Roman" w:hAnsi="Times New Roman"/>
                <w:color w:val="000000"/>
                <w:sz w:val="21"/>
                <w:szCs w:val="21"/>
              </w:rPr>
            </w:pPr>
            <w:r w:rsidRPr="00890C68">
              <w:rPr>
                <w:rFonts w:ascii="Times New Roman" w:hAnsi="Times New Roman"/>
                <w:color w:val="000000"/>
                <w:sz w:val="21"/>
                <w:szCs w:val="21"/>
              </w:rPr>
              <w:t>0</w:t>
            </w:r>
          </w:p>
        </w:tc>
        <w:tc>
          <w:tcPr>
            <w:tcW w:w="683" w:type="dxa"/>
            <w:shd w:val="clear" w:color="auto" w:fill="FFFFFF"/>
            <w:vAlign w:val="center"/>
          </w:tcPr>
          <w:p w:rsidR="0057668E" w:rsidRPr="00890C68" w:rsidRDefault="002158A3" w:rsidP="006704B3">
            <w:pPr>
              <w:spacing w:line="240" w:lineRule="auto"/>
              <w:jc w:val="center"/>
              <w:rPr>
                <w:rFonts w:ascii="Times New Roman" w:hAnsi="Times New Roman"/>
                <w:color w:val="000000"/>
                <w:sz w:val="21"/>
                <w:szCs w:val="21"/>
              </w:rPr>
            </w:pPr>
            <w:r w:rsidRPr="00890C68">
              <w:rPr>
                <w:rFonts w:ascii="Times New Roman" w:hAnsi="Times New Roman"/>
                <w:color w:val="000000"/>
                <w:sz w:val="21"/>
                <w:szCs w:val="21"/>
              </w:rPr>
              <w:t>0</w:t>
            </w:r>
          </w:p>
        </w:tc>
        <w:tc>
          <w:tcPr>
            <w:tcW w:w="683" w:type="dxa"/>
            <w:shd w:val="clear" w:color="auto" w:fill="FFFFFF"/>
            <w:vAlign w:val="center"/>
          </w:tcPr>
          <w:p w:rsidR="0057668E" w:rsidRPr="00890C68" w:rsidRDefault="002158A3" w:rsidP="006704B3">
            <w:pPr>
              <w:spacing w:line="240" w:lineRule="auto"/>
              <w:jc w:val="center"/>
              <w:rPr>
                <w:rFonts w:ascii="Times New Roman" w:hAnsi="Times New Roman"/>
                <w:color w:val="000000"/>
                <w:sz w:val="21"/>
                <w:szCs w:val="21"/>
              </w:rPr>
            </w:pPr>
            <w:r w:rsidRPr="00890C68">
              <w:rPr>
                <w:rFonts w:ascii="Times New Roman" w:hAnsi="Times New Roman"/>
                <w:color w:val="000000"/>
                <w:sz w:val="21"/>
                <w:szCs w:val="21"/>
              </w:rPr>
              <w:t>0</w:t>
            </w:r>
          </w:p>
        </w:tc>
        <w:tc>
          <w:tcPr>
            <w:tcW w:w="683" w:type="dxa"/>
            <w:shd w:val="clear" w:color="auto" w:fill="FFFFFF"/>
            <w:vAlign w:val="center"/>
          </w:tcPr>
          <w:p w:rsidR="0057668E" w:rsidRPr="00890C68" w:rsidRDefault="002158A3" w:rsidP="006704B3">
            <w:pPr>
              <w:spacing w:line="240" w:lineRule="auto"/>
              <w:jc w:val="center"/>
              <w:rPr>
                <w:rFonts w:ascii="Times New Roman" w:hAnsi="Times New Roman"/>
                <w:color w:val="000000"/>
                <w:sz w:val="21"/>
                <w:szCs w:val="21"/>
              </w:rPr>
            </w:pPr>
            <w:r w:rsidRPr="00890C68">
              <w:rPr>
                <w:rFonts w:ascii="Times New Roman" w:hAnsi="Times New Roman"/>
                <w:color w:val="000000"/>
                <w:sz w:val="21"/>
                <w:szCs w:val="21"/>
              </w:rPr>
              <w:t>0</w:t>
            </w:r>
          </w:p>
        </w:tc>
        <w:tc>
          <w:tcPr>
            <w:tcW w:w="683" w:type="dxa"/>
            <w:shd w:val="clear" w:color="auto" w:fill="FFFFFF"/>
            <w:vAlign w:val="center"/>
          </w:tcPr>
          <w:p w:rsidR="0057668E" w:rsidRPr="00890C68" w:rsidRDefault="002158A3" w:rsidP="006704B3">
            <w:pPr>
              <w:spacing w:line="240" w:lineRule="auto"/>
              <w:jc w:val="center"/>
              <w:rPr>
                <w:rFonts w:ascii="Times New Roman" w:hAnsi="Times New Roman"/>
                <w:color w:val="000000"/>
                <w:sz w:val="21"/>
                <w:szCs w:val="21"/>
              </w:rPr>
            </w:pPr>
            <w:r w:rsidRPr="00890C68">
              <w:rPr>
                <w:rFonts w:ascii="Times New Roman" w:hAnsi="Times New Roman"/>
                <w:color w:val="000000"/>
                <w:sz w:val="21"/>
                <w:szCs w:val="21"/>
              </w:rPr>
              <w:t>0</w:t>
            </w:r>
          </w:p>
        </w:tc>
        <w:tc>
          <w:tcPr>
            <w:tcW w:w="1133" w:type="dxa"/>
            <w:shd w:val="clear" w:color="auto" w:fill="FFFFFF"/>
            <w:vAlign w:val="center"/>
          </w:tcPr>
          <w:p w:rsidR="0057668E" w:rsidRPr="00890C68" w:rsidRDefault="002158A3" w:rsidP="006704B3">
            <w:pPr>
              <w:spacing w:line="240" w:lineRule="auto"/>
              <w:jc w:val="center"/>
              <w:rPr>
                <w:rFonts w:ascii="Times New Roman" w:hAnsi="Times New Roman"/>
                <w:b/>
                <w:color w:val="000000"/>
                <w:spacing w:val="-2"/>
                <w:sz w:val="21"/>
                <w:szCs w:val="21"/>
              </w:rPr>
            </w:pPr>
            <w:r w:rsidRPr="00890C68">
              <w:rPr>
                <w:rFonts w:ascii="Times New Roman" w:hAnsi="Times New Roman"/>
                <w:b/>
                <w:color w:val="000000"/>
                <w:spacing w:val="-2"/>
                <w:sz w:val="21"/>
                <w:szCs w:val="21"/>
              </w:rPr>
              <w:t>0</w:t>
            </w:r>
          </w:p>
        </w:tc>
      </w:tr>
      <w:tr w:rsidR="00AB20A0" w:rsidRPr="00890C68" w:rsidTr="00997FE7">
        <w:trPr>
          <w:trHeight w:val="321"/>
        </w:trPr>
        <w:tc>
          <w:tcPr>
            <w:tcW w:w="2127" w:type="dxa"/>
            <w:gridSpan w:val="2"/>
            <w:shd w:val="clear" w:color="auto" w:fill="FFFFFF"/>
            <w:vAlign w:val="center"/>
          </w:tcPr>
          <w:p w:rsidR="00AB20A0" w:rsidRPr="00890C68" w:rsidRDefault="00AB20A0" w:rsidP="00AB20A0">
            <w:pPr>
              <w:spacing w:line="240" w:lineRule="auto"/>
              <w:rPr>
                <w:rFonts w:ascii="Times New Roman" w:hAnsi="Times New Roman"/>
                <w:color w:val="000000"/>
                <w:sz w:val="21"/>
                <w:szCs w:val="21"/>
              </w:rPr>
            </w:pPr>
            <w:r w:rsidRPr="00890C68">
              <w:rPr>
                <w:rFonts w:ascii="Times New Roman" w:hAnsi="Times New Roman"/>
                <w:color w:val="000000"/>
                <w:sz w:val="21"/>
                <w:szCs w:val="21"/>
              </w:rPr>
              <w:t>budżet państwa</w:t>
            </w:r>
          </w:p>
        </w:tc>
        <w:tc>
          <w:tcPr>
            <w:tcW w:w="967" w:type="dxa"/>
            <w:gridSpan w:val="2"/>
            <w:shd w:val="clear" w:color="auto" w:fill="FFFFFF"/>
          </w:tcPr>
          <w:p w:rsidR="00AB20A0" w:rsidRPr="00890C68" w:rsidRDefault="00AB20A0" w:rsidP="00AB20A0">
            <w:pPr>
              <w:jc w:val="center"/>
              <w:rPr>
                <w:rFonts w:ascii="Times New Roman" w:hAnsi="Times New Roman"/>
              </w:rPr>
            </w:pPr>
            <w:r w:rsidRPr="00890C68">
              <w:rPr>
                <w:rFonts w:ascii="Times New Roman" w:hAnsi="Times New Roman"/>
              </w:rPr>
              <w:t>0</w:t>
            </w:r>
          </w:p>
        </w:tc>
        <w:tc>
          <w:tcPr>
            <w:tcW w:w="683" w:type="dxa"/>
            <w:shd w:val="clear" w:color="auto" w:fill="FFFFFF"/>
          </w:tcPr>
          <w:p w:rsidR="00AB20A0" w:rsidRPr="00890C68" w:rsidRDefault="00AB20A0" w:rsidP="00AB20A0">
            <w:pPr>
              <w:jc w:val="center"/>
              <w:rPr>
                <w:rFonts w:ascii="Times New Roman" w:hAnsi="Times New Roman"/>
              </w:rPr>
            </w:pPr>
            <w:r w:rsidRPr="00890C68">
              <w:rPr>
                <w:rFonts w:ascii="Times New Roman" w:hAnsi="Times New Roman"/>
              </w:rPr>
              <w:t>0</w:t>
            </w:r>
          </w:p>
        </w:tc>
        <w:tc>
          <w:tcPr>
            <w:tcW w:w="683" w:type="dxa"/>
            <w:shd w:val="clear" w:color="auto" w:fill="FFFFFF"/>
          </w:tcPr>
          <w:p w:rsidR="00AB20A0" w:rsidRPr="00890C68" w:rsidRDefault="00AB20A0" w:rsidP="00AB20A0">
            <w:pPr>
              <w:jc w:val="center"/>
              <w:rPr>
                <w:rFonts w:ascii="Times New Roman" w:hAnsi="Times New Roman"/>
              </w:rPr>
            </w:pPr>
            <w:r w:rsidRPr="00890C68">
              <w:rPr>
                <w:rFonts w:ascii="Times New Roman" w:hAnsi="Times New Roman"/>
              </w:rPr>
              <w:t>0</w:t>
            </w:r>
          </w:p>
        </w:tc>
        <w:tc>
          <w:tcPr>
            <w:tcW w:w="683" w:type="dxa"/>
            <w:shd w:val="clear" w:color="auto" w:fill="FFFFFF"/>
          </w:tcPr>
          <w:p w:rsidR="00AB20A0" w:rsidRPr="00890C68" w:rsidRDefault="00AB20A0" w:rsidP="00AB20A0">
            <w:pPr>
              <w:jc w:val="center"/>
              <w:rPr>
                <w:rFonts w:ascii="Times New Roman" w:hAnsi="Times New Roman"/>
              </w:rPr>
            </w:pPr>
            <w:r w:rsidRPr="00890C68">
              <w:rPr>
                <w:rFonts w:ascii="Times New Roman" w:hAnsi="Times New Roman"/>
              </w:rPr>
              <w:t>0</w:t>
            </w:r>
          </w:p>
        </w:tc>
        <w:tc>
          <w:tcPr>
            <w:tcW w:w="683" w:type="dxa"/>
            <w:shd w:val="clear" w:color="auto" w:fill="FFFFFF"/>
          </w:tcPr>
          <w:p w:rsidR="00AB20A0" w:rsidRPr="00890C68" w:rsidRDefault="00AB20A0" w:rsidP="00AB20A0">
            <w:pPr>
              <w:jc w:val="center"/>
              <w:rPr>
                <w:rFonts w:ascii="Times New Roman" w:hAnsi="Times New Roman"/>
              </w:rPr>
            </w:pPr>
            <w:r w:rsidRPr="00890C68">
              <w:rPr>
                <w:rFonts w:ascii="Times New Roman" w:hAnsi="Times New Roman"/>
              </w:rPr>
              <w:t>0</w:t>
            </w:r>
          </w:p>
        </w:tc>
        <w:tc>
          <w:tcPr>
            <w:tcW w:w="683" w:type="dxa"/>
            <w:shd w:val="clear" w:color="auto" w:fill="FFFFFF"/>
          </w:tcPr>
          <w:p w:rsidR="00AB20A0" w:rsidRPr="00890C68" w:rsidRDefault="00AB20A0" w:rsidP="00AB20A0">
            <w:pPr>
              <w:jc w:val="center"/>
              <w:rPr>
                <w:rFonts w:ascii="Times New Roman" w:hAnsi="Times New Roman"/>
              </w:rPr>
            </w:pPr>
            <w:r w:rsidRPr="00890C68">
              <w:rPr>
                <w:rFonts w:ascii="Times New Roman" w:hAnsi="Times New Roman"/>
              </w:rPr>
              <w:t>0</w:t>
            </w:r>
          </w:p>
        </w:tc>
        <w:tc>
          <w:tcPr>
            <w:tcW w:w="683" w:type="dxa"/>
            <w:shd w:val="clear" w:color="auto" w:fill="FFFFFF"/>
          </w:tcPr>
          <w:p w:rsidR="00AB20A0" w:rsidRPr="00890C68" w:rsidRDefault="00AB20A0" w:rsidP="00AB20A0">
            <w:pPr>
              <w:jc w:val="center"/>
              <w:rPr>
                <w:rFonts w:ascii="Times New Roman" w:hAnsi="Times New Roman"/>
              </w:rPr>
            </w:pPr>
            <w:r w:rsidRPr="00890C68">
              <w:rPr>
                <w:rFonts w:ascii="Times New Roman" w:hAnsi="Times New Roman"/>
              </w:rPr>
              <w:t>0</w:t>
            </w:r>
          </w:p>
        </w:tc>
        <w:tc>
          <w:tcPr>
            <w:tcW w:w="683" w:type="dxa"/>
            <w:shd w:val="clear" w:color="auto" w:fill="FFFFFF"/>
          </w:tcPr>
          <w:p w:rsidR="00AB20A0" w:rsidRPr="00890C68" w:rsidRDefault="00AB20A0" w:rsidP="00AB20A0">
            <w:pPr>
              <w:jc w:val="center"/>
              <w:rPr>
                <w:rFonts w:ascii="Times New Roman" w:hAnsi="Times New Roman"/>
              </w:rPr>
            </w:pPr>
            <w:r w:rsidRPr="00890C68">
              <w:rPr>
                <w:rFonts w:ascii="Times New Roman" w:hAnsi="Times New Roman"/>
              </w:rPr>
              <w:t>0</w:t>
            </w:r>
          </w:p>
        </w:tc>
        <w:tc>
          <w:tcPr>
            <w:tcW w:w="683" w:type="dxa"/>
            <w:shd w:val="clear" w:color="auto" w:fill="FFFFFF"/>
          </w:tcPr>
          <w:p w:rsidR="00AB20A0" w:rsidRPr="00890C68" w:rsidRDefault="00AB20A0" w:rsidP="00AB20A0">
            <w:pPr>
              <w:jc w:val="center"/>
              <w:rPr>
                <w:rFonts w:ascii="Times New Roman" w:hAnsi="Times New Roman"/>
              </w:rPr>
            </w:pPr>
            <w:r w:rsidRPr="00890C68">
              <w:rPr>
                <w:rFonts w:ascii="Times New Roman" w:hAnsi="Times New Roman"/>
              </w:rPr>
              <w:t>0</w:t>
            </w:r>
          </w:p>
        </w:tc>
        <w:tc>
          <w:tcPr>
            <w:tcW w:w="683" w:type="dxa"/>
            <w:shd w:val="clear" w:color="auto" w:fill="FFFFFF"/>
          </w:tcPr>
          <w:p w:rsidR="00AB20A0" w:rsidRPr="00890C68" w:rsidRDefault="00AB20A0" w:rsidP="00AB20A0">
            <w:pPr>
              <w:jc w:val="center"/>
              <w:rPr>
                <w:rFonts w:ascii="Times New Roman" w:hAnsi="Times New Roman"/>
              </w:rPr>
            </w:pPr>
            <w:r w:rsidRPr="00890C68">
              <w:rPr>
                <w:rFonts w:ascii="Times New Roman" w:hAnsi="Times New Roman"/>
              </w:rPr>
              <w:t>0</w:t>
            </w:r>
          </w:p>
        </w:tc>
        <w:tc>
          <w:tcPr>
            <w:tcW w:w="683" w:type="dxa"/>
            <w:shd w:val="clear" w:color="auto" w:fill="FFFFFF"/>
          </w:tcPr>
          <w:p w:rsidR="00AB20A0" w:rsidRPr="00890C68" w:rsidRDefault="00AB20A0" w:rsidP="00AB20A0">
            <w:pPr>
              <w:jc w:val="center"/>
              <w:rPr>
                <w:rFonts w:ascii="Times New Roman" w:hAnsi="Times New Roman"/>
              </w:rPr>
            </w:pPr>
            <w:r w:rsidRPr="00890C68">
              <w:rPr>
                <w:rFonts w:ascii="Times New Roman" w:hAnsi="Times New Roman"/>
              </w:rPr>
              <w:t>0</w:t>
            </w:r>
          </w:p>
        </w:tc>
        <w:tc>
          <w:tcPr>
            <w:tcW w:w="1133" w:type="dxa"/>
            <w:shd w:val="clear" w:color="auto" w:fill="FFFFFF"/>
          </w:tcPr>
          <w:p w:rsidR="00AB20A0" w:rsidRPr="00890C68" w:rsidRDefault="00AB20A0" w:rsidP="00AB20A0">
            <w:pPr>
              <w:jc w:val="center"/>
              <w:rPr>
                <w:rFonts w:ascii="Times New Roman" w:hAnsi="Times New Roman"/>
              </w:rPr>
            </w:pPr>
            <w:r w:rsidRPr="00890C68">
              <w:rPr>
                <w:rFonts w:ascii="Times New Roman" w:hAnsi="Times New Roman"/>
              </w:rPr>
              <w:t>0</w:t>
            </w:r>
          </w:p>
        </w:tc>
      </w:tr>
      <w:tr w:rsidR="00AB20A0" w:rsidRPr="00890C68" w:rsidTr="00997FE7">
        <w:trPr>
          <w:trHeight w:val="344"/>
        </w:trPr>
        <w:tc>
          <w:tcPr>
            <w:tcW w:w="2127" w:type="dxa"/>
            <w:gridSpan w:val="2"/>
            <w:shd w:val="clear" w:color="auto" w:fill="FFFFFF"/>
            <w:vAlign w:val="center"/>
          </w:tcPr>
          <w:p w:rsidR="00AB20A0" w:rsidRPr="00890C68" w:rsidRDefault="00AB20A0" w:rsidP="00AB20A0">
            <w:pPr>
              <w:spacing w:line="240" w:lineRule="auto"/>
              <w:rPr>
                <w:rFonts w:ascii="Times New Roman" w:hAnsi="Times New Roman"/>
                <w:color w:val="000000"/>
                <w:sz w:val="21"/>
                <w:szCs w:val="21"/>
              </w:rPr>
            </w:pPr>
            <w:r w:rsidRPr="00890C68">
              <w:rPr>
                <w:rFonts w:ascii="Times New Roman" w:hAnsi="Times New Roman"/>
                <w:color w:val="000000"/>
                <w:sz w:val="21"/>
                <w:szCs w:val="21"/>
              </w:rPr>
              <w:t>JST</w:t>
            </w:r>
          </w:p>
        </w:tc>
        <w:tc>
          <w:tcPr>
            <w:tcW w:w="967" w:type="dxa"/>
            <w:gridSpan w:val="2"/>
            <w:shd w:val="clear" w:color="auto" w:fill="FFFFFF"/>
          </w:tcPr>
          <w:p w:rsidR="00AB20A0" w:rsidRPr="00890C68" w:rsidRDefault="00AB20A0" w:rsidP="00AB20A0">
            <w:pPr>
              <w:jc w:val="center"/>
              <w:rPr>
                <w:rFonts w:ascii="Times New Roman" w:hAnsi="Times New Roman"/>
              </w:rPr>
            </w:pPr>
            <w:r w:rsidRPr="00890C68">
              <w:rPr>
                <w:rFonts w:ascii="Times New Roman" w:hAnsi="Times New Roman"/>
              </w:rPr>
              <w:t>0</w:t>
            </w:r>
          </w:p>
        </w:tc>
        <w:tc>
          <w:tcPr>
            <w:tcW w:w="683" w:type="dxa"/>
            <w:shd w:val="clear" w:color="auto" w:fill="FFFFFF"/>
          </w:tcPr>
          <w:p w:rsidR="00AB20A0" w:rsidRPr="00890C68" w:rsidRDefault="00AB20A0" w:rsidP="00AB20A0">
            <w:pPr>
              <w:jc w:val="center"/>
              <w:rPr>
                <w:rFonts w:ascii="Times New Roman" w:hAnsi="Times New Roman"/>
              </w:rPr>
            </w:pPr>
            <w:r w:rsidRPr="00890C68">
              <w:rPr>
                <w:rFonts w:ascii="Times New Roman" w:hAnsi="Times New Roman"/>
              </w:rPr>
              <w:t>0</w:t>
            </w:r>
          </w:p>
        </w:tc>
        <w:tc>
          <w:tcPr>
            <w:tcW w:w="683" w:type="dxa"/>
            <w:shd w:val="clear" w:color="auto" w:fill="FFFFFF"/>
          </w:tcPr>
          <w:p w:rsidR="00AB20A0" w:rsidRPr="00890C68" w:rsidRDefault="00AB20A0" w:rsidP="00AB20A0">
            <w:pPr>
              <w:jc w:val="center"/>
              <w:rPr>
                <w:rFonts w:ascii="Times New Roman" w:hAnsi="Times New Roman"/>
              </w:rPr>
            </w:pPr>
            <w:r w:rsidRPr="00890C68">
              <w:rPr>
                <w:rFonts w:ascii="Times New Roman" w:hAnsi="Times New Roman"/>
              </w:rPr>
              <w:t>0</w:t>
            </w:r>
          </w:p>
        </w:tc>
        <w:tc>
          <w:tcPr>
            <w:tcW w:w="683" w:type="dxa"/>
            <w:shd w:val="clear" w:color="auto" w:fill="FFFFFF"/>
          </w:tcPr>
          <w:p w:rsidR="00AB20A0" w:rsidRPr="00890C68" w:rsidRDefault="00AB20A0" w:rsidP="00AB20A0">
            <w:pPr>
              <w:jc w:val="center"/>
              <w:rPr>
                <w:rFonts w:ascii="Times New Roman" w:hAnsi="Times New Roman"/>
              </w:rPr>
            </w:pPr>
            <w:r w:rsidRPr="00890C68">
              <w:rPr>
                <w:rFonts w:ascii="Times New Roman" w:hAnsi="Times New Roman"/>
              </w:rPr>
              <w:t>0</w:t>
            </w:r>
          </w:p>
        </w:tc>
        <w:tc>
          <w:tcPr>
            <w:tcW w:w="683" w:type="dxa"/>
            <w:shd w:val="clear" w:color="auto" w:fill="FFFFFF"/>
          </w:tcPr>
          <w:p w:rsidR="00AB20A0" w:rsidRPr="00890C68" w:rsidRDefault="00AB20A0" w:rsidP="00AB20A0">
            <w:pPr>
              <w:jc w:val="center"/>
              <w:rPr>
                <w:rFonts w:ascii="Times New Roman" w:hAnsi="Times New Roman"/>
              </w:rPr>
            </w:pPr>
            <w:r w:rsidRPr="00890C68">
              <w:rPr>
                <w:rFonts w:ascii="Times New Roman" w:hAnsi="Times New Roman"/>
              </w:rPr>
              <w:t>0</w:t>
            </w:r>
          </w:p>
        </w:tc>
        <w:tc>
          <w:tcPr>
            <w:tcW w:w="683" w:type="dxa"/>
            <w:shd w:val="clear" w:color="auto" w:fill="FFFFFF"/>
          </w:tcPr>
          <w:p w:rsidR="00AB20A0" w:rsidRPr="00890C68" w:rsidRDefault="00AB20A0" w:rsidP="00AB20A0">
            <w:pPr>
              <w:jc w:val="center"/>
              <w:rPr>
                <w:rFonts w:ascii="Times New Roman" w:hAnsi="Times New Roman"/>
              </w:rPr>
            </w:pPr>
            <w:r w:rsidRPr="00890C68">
              <w:rPr>
                <w:rFonts w:ascii="Times New Roman" w:hAnsi="Times New Roman"/>
              </w:rPr>
              <w:t>0</w:t>
            </w:r>
          </w:p>
        </w:tc>
        <w:tc>
          <w:tcPr>
            <w:tcW w:w="683" w:type="dxa"/>
            <w:shd w:val="clear" w:color="auto" w:fill="FFFFFF"/>
          </w:tcPr>
          <w:p w:rsidR="00AB20A0" w:rsidRPr="00890C68" w:rsidRDefault="00AB20A0" w:rsidP="00AB20A0">
            <w:pPr>
              <w:jc w:val="center"/>
              <w:rPr>
                <w:rFonts w:ascii="Times New Roman" w:hAnsi="Times New Roman"/>
              </w:rPr>
            </w:pPr>
            <w:r w:rsidRPr="00890C68">
              <w:rPr>
                <w:rFonts w:ascii="Times New Roman" w:hAnsi="Times New Roman"/>
              </w:rPr>
              <w:t>0</w:t>
            </w:r>
          </w:p>
        </w:tc>
        <w:tc>
          <w:tcPr>
            <w:tcW w:w="683" w:type="dxa"/>
            <w:shd w:val="clear" w:color="auto" w:fill="FFFFFF"/>
          </w:tcPr>
          <w:p w:rsidR="00AB20A0" w:rsidRPr="00890C68" w:rsidRDefault="00AB20A0" w:rsidP="00AB20A0">
            <w:pPr>
              <w:jc w:val="center"/>
              <w:rPr>
                <w:rFonts w:ascii="Times New Roman" w:hAnsi="Times New Roman"/>
              </w:rPr>
            </w:pPr>
            <w:r w:rsidRPr="00890C68">
              <w:rPr>
                <w:rFonts w:ascii="Times New Roman" w:hAnsi="Times New Roman"/>
              </w:rPr>
              <w:t>0</w:t>
            </w:r>
          </w:p>
        </w:tc>
        <w:tc>
          <w:tcPr>
            <w:tcW w:w="683" w:type="dxa"/>
            <w:shd w:val="clear" w:color="auto" w:fill="FFFFFF"/>
          </w:tcPr>
          <w:p w:rsidR="00AB20A0" w:rsidRPr="00890C68" w:rsidRDefault="00AB20A0" w:rsidP="00AB20A0">
            <w:pPr>
              <w:jc w:val="center"/>
              <w:rPr>
                <w:rFonts w:ascii="Times New Roman" w:hAnsi="Times New Roman"/>
              </w:rPr>
            </w:pPr>
            <w:r w:rsidRPr="00890C68">
              <w:rPr>
                <w:rFonts w:ascii="Times New Roman" w:hAnsi="Times New Roman"/>
              </w:rPr>
              <w:t>0</w:t>
            </w:r>
          </w:p>
        </w:tc>
        <w:tc>
          <w:tcPr>
            <w:tcW w:w="683" w:type="dxa"/>
            <w:shd w:val="clear" w:color="auto" w:fill="FFFFFF"/>
          </w:tcPr>
          <w:p w:rsidR="00AB20A0" w:rsidRPr="00890C68" w:rsidRDefault="00AB20A0" w:rsidP="00AB20A0">
            <w:pPr>
              <w:jc w:val="center"/>
              <w:rPr>
                <w:rFonts w:ascii="Times New Roman" w:hAnsi="Times New Roman"/>
              </w:rPr>
            </w:pPr>
            <w:r w:rsidRPr="00890C68">
              <w:rPr>
                <w:rFonts w:ascii="Times New Roman" w:hAnsi="Times New Roman"/>
              </w:rPr>
              <w:t>0</w:t>
            </w:r>
          </w:p>
        </w:tc>
        <w:tc>
          <w:tcPr>
            <w:tcW w:w="683" w:type="dxa"/>
            <w:shd w:val="clear" w:color="auto" w:fill="FFFFFF"/>
          </w:tcPr>
          <w:p w:rsidR="00AB20A0" w:rsidRPr="00890C68" w:rsidRDefault="00AB20A0" w:rsidP="00AB20A0">
            <w:pPr>
              <w:jc w:val="center"/>
              <w:rPr>
                <w:rFonts w:ascii="Times New Roman" w:hAnsi="Times New Roman"/>
              </w:rPr>
            </w:pPr>
            <w:r w:rsidRPr="00890C68">
              <w:rPr>
                <w:rFonts w:ascii="Times New Roman" w:hAnsi="Times New Roman"/>
              </w:rPr>
              <w:t>0</w:t>
            </w:r>
          </w:p>
        </w:tc>
        <w:tc>
          <w:tcPr>
            <w:tcW w:w="1133" w:type="dxa"/>
            <w:shd w:val="clear" w:color="auto" w:fill="FFFFFF"/>
          </w:tcPr>
          <w:p w:rsidR="00AB20A0" w:rsidRPr="00890C68" w:rsidRDefault="00AB20A0" w:rsidP="00AB20A0">
            <w:pPr>
              <w:jc w:val="center"/>
              <w:rPr>
                <w:rFonts w:ascii="Times New Roman" w:hAnsi="Times New Roman"/>
              </w:rPr>
            </w:pPr>
            <w:r w:rsidRPr="00890C68">
              <w:rPr>
                <w:rFonts w:ascii="Times New Roman" w:hAnsi="Times New Roman"/>
              </w:rPr>
              <w:t>0</w:t>
            </w:r>
          </w:p>
        </w:tc>
      </w:tr>
      <w:tr w:rsidR="00AB20A0" w:rsidRPr="00890C68" w:rsidTr="00997FE7">
        <w:trPr>
          <w:trHeight w:val="344"/>
        </w:trPr>
        <w:tc>
          <w:tcPr>
            <w:tcW w:w="2127" w:type="dxa"/>
            <w:gridSpan w:val="2"/>
            <w:shd w:val="clear" w:color="auto" w:fill="FFFFFF"/>
            <w:vAlign w:val="center"/>
          </w:tcPr>
          <w:p w:rsidR="00AB20A0" w:rsidRPr="00890C68" w:rsidRDefault="00AB20A0" w:rsidP="00AB20A0">
            <w:pPr>
              <w:spacing w:line="240" w:lineRule="auto"/>
              <w:rPr>
                <w:rFonts w:ascii="Times New Roman" w:hAnsi="Times New Roman"/>
                <w:color w:val="000000"/>
                <w:sz w:val="21"/>
                <w:szCs w:val="21"/>
              </w:rPr>
            </w:pPr>
            <w:r w:rsidRPr="00890C68">
              <w:rPr>
                <w:rFonts w:ascii="Times New Roman" w:hAnsi="Times New Roman"/>
                <w:color w:val="000000"/>
                <w:sz w:val="21"/>
                <w:szCs w:val="21"/>
              </w:rPr>
              <w:t>pozostałe jednostki (oddzielnie)</w:t>
            </w:r>
          </w:p>
        </w:tc>
        <w:tc>
          <w:tcPr>
            <w:tcW w:w="967" w:type="dxa"/>
            <w:gridSpan w:val="2"/>
            <w:shd w:val="clear" w:color="auto" w:fill="FFFFFF"/>
          </w:tcPr>
          <w:p w:rsidR="00AB20A0" w:rsidRPr="00890C68" w:rsidRDefault="00AB20A0" w:rsidP="00AB20A0">
            <w:pPr>
              <w:jc w:val="center"/>
              <w:rPr>
                <w:rFonts w:ascii="Times New Roman" w:hAnsi="Times New Roman"/>
              </w:rPr>
            </w:pPr>
            <w:r w:rsidRPr="00890C68">
              <w:rPr>
                <w:rFonts w:ascii="Times New Roman" w:hAnsi="Times New Roman"/>
              </w:rPr>
              <w:t>0</w:t>
            </w:r>
          </w:p>
        </w:tc>
        <w:tc>
          <w:tcPr>
            <w:tcW w:w="683" w:type="dxa"/>
            <w:shd w:val="clear" w:color="auto" w:fill="FFFFFF"/>
          </w:tcPr>
          <w:p w:rsidR="00AB20A0" w:rsidRPr="00890C68" w:rsidRDefault="00AB20A0" w:rsidP="00AB20A0">
            <w:pPr>
              <w:jc w:val="center"/>
              <w:rPr>
                <w:rFonts w:ascii="Times New Roman" w:hAnsi="Times New Roman"/>
              </w:rPr>
            </w:pPr>
            <w:r w:rsidRPr="00890C68">
              <w:rPr>
                <w:rFonts w:ascii="Times New Roman" w:hAnsi="Times New Roman"/>
              </w:rPr>
              <w:t>0</w:t>
            </w:r>
          </w:p>
        </w:tc>
        <w:tc>
          <w:tcPr>
            <w:tcW w:w="683" w:type="dxa"/>
            <w:shd w:val="clear" w:color="auto" w:fill="FFFFFF"/>
          </w:tcPr>
          <w:p w:rsidR="00AB20A0" w:rsidRPr="00890C68" w:rsidRDefault="00AB20A0" w:rsidP="00AB20A0">
            <w:pPr>
              <w:jc w:val="center"/>
              <w:rPr>
                <w:rFonts w:ascii="Times New Roman" w:hAnsi="Times New Roman"/>
              </w:rPr>
            </w:pPr>
            <w:r w:rsidRPr="00890C68">
              <w:rPr>
                <w:rFonts w:ascii="Times New Roman" w:hAnsi="Times New Roman"/>
              </w:rPr>
              <w:t>0</w:t>
            </w:r>
          </w:p>
        </w:tc>
        <w:tc>
          <w:tcPr>
            <w:tcW w:w="683" w:type="dxa"/>
            <w:shd w:val="clear" w:color="auto" w:fill="FFFFFF"/>
          </w:tcPr>
          <w:p w:rsidR="00AB20A0" w:rsidRPr="00890C68" w:rsidRDefault="00AB20A0" w:rsidP="00AB20A0">
            <w:pPr>
              <w:jc w:val="center"/>
              <w:rPr>
                <w:rFonts w:ascii="Times New Roman" w:hAnsi="Times New Roman"/>
              </w:rPr>
            </w:pPr>
            <w:r w:rsidRPr="00890C68">
              <w:rPr>
                <w:rFonts w:ascii="Times New Roman" w:hAnsi="Times New Roman"/>
              </w:rPr>
              <w:t>0</w:t>
            </w:r>
          </w:p>
        </w:tc>
        <w:tc>
          <w:tcPr>
            <w:tcW w:w="683" w:type="dxa"/>
            <w:shd w:val="clear" w:color="auto" w:fill="FFFFFF"/>
          </w:tcPr>
          <w:p w:rsidR="00AB20A0" w:rsidRPr="00890C68" w:rsidRDefault="00AB20A0" w:rsidP="00AB20A0">
            <w:pPr>
              <w:jc w:val="center"/>
              <w:rPr>
                <w:rFonts w:ascii="Times New Roman" w:hAnsi="Times New Roman"/>
              </w:rPr>
            </w:pPr>
            <w:r w:rsidRPr="00890C68">
              <w:rPr>
                <w:rFonts w:ascii="Times New Roman" w:hAnsi="Times New Roman"/>
              </w:rPr>
              <w:t>0</w:t>
            </w:r>
          </w:p>
        </w:tc>
        <w:tc>
          <w:tcPr>
            <w:tcW w:w="683" w:type="dxa"/>
            <w:shd w:val="clear" w:color="auto" w:fill="FFFFFF"/>
          </w:tcPr>
          <w:p w:rsidR="00AB20A0" w:rsidRPr="00890C68" w:rsidRDefault="00AB20A0" w:rsidP="00AB20A0">
            <w:pPr>
              <w:jc w:val="center"/>
              <w:rPr>
                <w:rFonts w:ascii="Times New Roman" w:hAnsi="Times New Roman"/>
              </w:rPr>
            </w:pPr>
            <w:r w:rsidRPr="00890C68">
              <w:rPr>
                <w:rFonts w:ascii="Times New Roman" w:hAnsi="Times New Roman"/>
              </w:rPr>
              <w:t>0</w:t>
            </w:r>
          </w:p>
        </w:tc>
        <w:tc>
          <w:tcPr>
            <w:tcW w:w="683" w:type="dxa"/>
            <w:shd w:val="clear" w:color="auto" w:fill="FFFFFF"/>
          </w:tcPr>
          <w:p w:rsidR="00AB20A0" w:rsidRPr="00890C68" w:rsidRDefault="00AB20A0" w:rsidP="00AB20A0">
            <w:pPr>
              <w:jc w:val="center"/>
              <w:rPr>
                <w:rFonts w:ascii="Times New Roman" w:hAnsi="Times New Roman"/>
              </w:rPr>
            </w:pPr>
            <w:r w:rsidRPr="00890C68">
              <w:rPr>
                <w:rFonts w:ascii="Times New Roman" w:hAnsi="Times New Roman"/>
              </w:rPr>
              <w:t>0</w:t>
            </w:r>
          </w:p>
        </w:tc>
        <w:tc>
          <w:tcPr>
            <w:tcW w:w="683" w:type="dxa"/>
            <w:shd w:val="clear" w:color="auto" w:fill="FFFFFF"/>
          </w:tcPr>
          <w:p w:rsidR="00AB20A0" w:rsidRPr="00890C68" w:rsidRDefault="00AB20A0" w:rsidP="00AB20A0">
            <w:pPr>
              <w:jc w:val="center"/>
              <w:rPr>
                <w:rFonts w:ascii="Times New Roman" w:hAnsi="Times New Roman"/>
              </w:rPr>
            </w:pPr>
            <w:r w:rsidRPr="00890C68">
              <w:rPr>
                <w:rFonts w:ascii="Times New Roman" w:hAnsi="Times New Roman"/>
              </w:rPr>
              <w:t>0</w:t>
            </w:r>
          </w:p>
        </w:tc>
        <w:tc>
          <w:tcPr>
            <w:tcW w:w="683" w:type="dxa"/>
            <w:shd w:val="clear" w:color="auto" w:fill="FFFFFF"/>
          </w:tcPr>
          <w:p w:rsidR="00AB20A0" w:rsidRPr="00890C68" w:rsidRDefault="00AB20A0" w:rsidP="00AB20A0">
            <w:pPr>
              <w:jc w:val="center"/>
              <w:rPr>
                <w:rFonts w:ascii="Times New Roman" w:hAnsi="Times New Roman"/>
              </w:rPr>
            </w:pPr>
            <w:r w:rsidRPr="00890C68">
              <w:rPr>
                <w:rFonts w:ascii="Times New Roman" w:hAnsi="Times New Roman"/>
              </w:rPr>
              <w:t>0</w:t>
            </w:r>
          </w:p>
        </w:tc>
        <w:tc>
          <w:tcPr>
            <w:tcW w:w="683" w:type="dxa"/>
            <w:shd w:val="clear" w:color="auto" w:fill="FFFFFF"/>
          </w:tcPr>
          <w:p w:rsidR="00AB20A0" w:rsidRPr="00890C68" w:rsidRDefault="00AB20A0" w:rsidP="00AB20A0">
            <w:pPr>
              <w:jc w:val="center"/>
              <w:rPr>
                <w:rFonts w:ascii="Times New Roman" w:hAnsi="Times New Roman"/>
              </w:rPr>
            </w:pPr>
            <w:r w:rsidRPr="00890C68">
              <w:rPr>
                <w:rFonts w:ascii="Times New Roman" w:hAnsi="Times New Roman"/>
              </w:rPr>
              <w:t>0</w:t>
            </w:r>
          </w:p>
        </w:tc>
        <w:tc>
          <w:tcPr>
            <w:tcW w:w="683" w:type="dxa"/>
            <w:shd w:val="clear" w:color="auto" w:fill="FFFFFF"/>
          </w:tcPr>
          <w:p w:rsidR="00AB20A0" w:rsidRPr="00890C68" w:rsidRDefault="00AB20A0" w:rsidP="00AB20A0">
            <w:pPr>
              <w:jc w:val="center"/>
              <w:rPr>
                <w:rFonts w:ascii="Times New Roman" w:hAnsi="Times New Roman"/>
              </w:rPr>
            </w:pPr>
            <w:r w:rsidRPr="00890C68">
              <w:rPr>
                <w:rFonts w:ascii="Times New Roman" w:hAnsi="Times New Roman"/>
              </w:rPr>
              <w:t>0</w:t>
            </w:r>
          </w:p>
        </w:tc>
        <w:tc>
          <w:tcPr>
            <w:tcW w:w="1133" w:type="dxa"/>
            <w:shd w:val="clear" w:color="auto" w:fill="FFFFFF"/>
          </w:tcPr>
          <w:p w:rsidR="00AB20A0" w:rsidRPr="00890C68" w:rsidRDefault="00AB20A0" w:rsidP="00AB20A0">
            <w:pPr>
              <w:jc w:val="center"/>
              <w:rPr>
                <w:rFonts w:ascii="Times New Roman" w:hAnsi="Times New Roman"/>
              </w:rPr>
            </w:pPr>
            <w:r w:rsidRPr="00890C68">
              <w:rPr>
                <w:rFonts w:ascii="Times New Roman" w:hAnsi="Times New Roman"/>
              </w:rPr>
              <w:t>0</w:t>
            </w:r>
          </w:p>
        </w:tc>
      </w:tr>
      <w:tr w:rsidR="0057668E" w:rsidRPr="00890C68" w:rsidTr="00EB6523">
        <w:trPr>
          <w:trHeight w:val="330"/>
        </w:trPr>
        <w:tc>
          <w:tcPr>
            <w:tcW w:w="2127" w:type="dxa"/>
            <w:gridSpan w:val="2"/>
            <w:shd w:val="clear" w:color="auto" w:fill="FFFFFF"/>
            <w:vAlign w:val="center"/>
          </w:tcPr>
          <w:p w:rsidR="0057668E" w:rsidRPr="00890C68" w:rsidRDefault="0057668E" w:rsidP="00C53F26">
            <w:pPr>
              <w:spacing w:line="240" w:lineRule="auto"/>
              <w:rPr>
                <w:rFonts w:ascii="Times New Roman" w:hAnsi="Times New Roman"/>
                <w:color w:val="000000"/>
                <w:sz w:val="21"/>
                <w:szCs w:val="21"/>
              </w:rPr>
            </w:pPr>
            <w:r w:rsidRPr="00890C68">
              <w:rPr>
                <w:rFonts w:ascii="Times New Roman" w:hAnsi="Times New Roman"/>
                <w:b/>
                <w:color w:val="000000"/>
                <w:sz w:val="21"/>
                <w:szCs w:val="21"/>
              </w:rPr>
              <w:lastRenderedPageBreak/>
              <w:t>Wydatki ogółem</w:t>
            </w:r>
          </w:p>
        </w:tc>
        <w:tc>
          <w:tcPr>
            <w:tcW w:w="967" w:type="dxa"/>
            <w:gridSpan w:val="2"/>
            <w:shd w:val="clear" w:color="auto" w:fill="FFFFFF"/>
            <w:vAlign w:val="center"/>
          </w:tcPr>
          <w:p w:rsidR="0057668E" w:rsidRPr="00890C68" w:rsidRDefault="002158A3" w:rsidP="006704B3">
            <w:pPr>
              <w:spacing w:line="240" w:lineRule="auto"/>
              <w:jc w:val="center"/>
              <w:rPr>
                <w:rFonts w:ascii="Times New Roman" w:hAnsi="Times New Roman"/>
                <w:color w:val="000000"/>
                <w:sz w:val="21"/>
                <w:szCs w:val="21"/>
              </w:rPr>
            </w:pPr>
            <w:r w:rsidRPr="00890C68">
              <w:rPr>
                <w:rFonts w:ascii="Times New Roman" w:hAnsi="Times New Roman"/>
                <w:color w:val="000000"/>
                <w:sz w:val="21"/>
                <w:szCs w:val="21"/>
              </w:rPr>
              <w:t>0</w:t>
            </w:r>
          </w:p>
        </w:tc>
        <w:tc>
          <w:tcPr>
            <w:tcW w:w="683" w:type="dxa"/>
            <w:shd w:val="clear" w:color="auto" w:fill="FFFFFF"/>
            <w:vAlign w:val="center"/>
          </w:tcPr>
          <w:p w:rsidR="0057668E" w:rsidRPr="00890C68" w:rsidRDefault="00206AF8" w:rsidP="006704B3">
            <w:pPr>
              <w:spacing w:line="240" w:lineRule="auto"/>
              <w:jc w:val="center"/>
              <w:rPr>
                <w:rFonts w:ascii="Times New Roman" w:hAnsi="Times New Roman"/>
                <w:color w:val="000000"/>
                <w:sz w:val="21"/>
                <w:szCs w:val="21"/>
              </w:rPr>
            </w:pPr>
            <w:r>
              <w:rPr>
                <w:rFonts w:ascii="Times New Roman" w:hAnsi="Times New Roman"/>
                <w:color w:val="000000"/>
                <w:sz w:val="21"/>
                <w:szCs w:val="21"/>
              </w:rPr>
              <w:t>43</w:t>
            </w:r>
            <w:r w:rsidR="00B17EE9" w:rsidRPr="00890C68">
              <w:rPr>
                <w:rFonts w:ascii="Times New Roman" w:hAnsi="Times New Roman"/>
                <w:color w:val="000000"/>
                <w:sz w:val="21"/>
                <w:szCs w:val="21"/>
              </w:rPr>
              <w:t>3 399</w:t>
            </w:r>
          </w:p>
        </w:tc>
        <w:tc>
          <w:tcPr>
            <w:tcW w:w="683" w:type="dxa"/>
            <w:shd w:val="clear" w:color="auto" w:fill="FFFFFF"/>
            <w:vAlign w:val="center"/>
          </w:tcPr>
          <w:p w:rsidR="0057668E" w:rsidRPr="00890C68" w:rsidRDefault="00206AF8" w:rsidP="006704B3">
            <w:pPr>
              <w:spacing w:line="240" w:lineRule="auto"/>
              <w:jc w:val="center"/>
              <w:rPr>
                <w:rFonts w:ascii="Times New Roman" w:hAnsi="Times New Roman"/>
                <w:color w:val="000000"/>
                <w:sz w:val="21"/>
                <w:szCs w:val="21"/>
              </w:rPr>
            </w:pPr>
            <w:r>
              <w:rPr>
                <w:rFonts w:ascii="Times New Roman" w:hAnsi="Times New Roman"/>
                <w:color w:val="000000"/>
                <w:sz w:val="21"/>
                <w:szCs w:val="21"/>
              </w:rPr>
              <w:t>41</w:t>
            </w:r>
            <w:r w:rsidR="00B17EE9" w:rsidRPr="00890C68">
              <w:rPr>
                <w:rFonts w:ascii="Times New Roman" w:hAnsi="Times New Roman"/>
                <w:color w:val="000000"/>
                <w:sz w:val="21"/>
                <w:szCs w:val="21"/>
              </w:rPr>
              <w:t>3 139</w:t>
            </w:r>
          </w:p>
        </w:tc>
        <w:tc>
          <w:tcPr>
            <w:tcW w:w="683" w:type="dxa"/>
            <w:shd w:val="clear" w:color="auto" w:fill="FFFFFF"/>
            <w:vAlign w:val="center"/>
          </w:tcPr>
          <w:p w:rsidR="0057668E" w:rsidRPr="00890C68" w:rsidRDefault="00206AF8" w:rsidP="006704B3">
            <w:pPr>
              <w:spacing w:line="240" w:lineRule="auto"/>
              <w:jc w:val="center"/>
              <w:rPr>
                <w:rFonts w:ascii="Times New Roman" w:hAnsi="Times New Roman"/>
                <w:color w:val="000000"/>
                <w:sz w:val="21"/>
                <w:szCs w:val="21"/>
              </w:rPr>
            </w:pPr>
            <w:r>
              <w:rPr>
                <w:rFonts w:ascii="Times New Roman" w:hAnsi="Times New Roman"/>
                <w:color w:val="000000"/>
                <w:sz w:val="21"/>
                <w:szCs w:val="21"/>
              </w:rPr>
              <w:t>42</w:t>
            </w:r>
            <w:r w:rsidR="00B17EE9" w:rsidRPr="00890C68">
              <w:rPr>
                <w:rFonts w:ascii="Times New Roman" w:hAnsi="Times New Roman"/>
                <w:color w:val="000000"/>
                <w:sz w:val="21"/>
                <w:szCs w:val="21"/>
              </w:rPr>
              <w:t>3 260</w:t>
            </w:r>
          </w:p>
        </w:tc>
        <w:tc>
          <w:tcPr>
            <w:tcW w:w="683" w:type="dxa"/>
            <w:shd w:val="clear" w:color="auto" w:fill="FFFFFF"/>
            <w:vAlign w:val="center"/>
          </w:tcPr>
          <w:p w:rsidR="0057668E" w:rsidRPr="00890C68" w:rsidRDefault="00206AF8" w:rsidP="006704B3">
            <w:pPr>
              <w:spacing w:line="240" w:lineRule="auto"/>
              <w:jc w:val="center"/>
              <w:rPr>
                <w:rFonts w:ascii="Times New Roman" w:hAnsi="Times New Roman"/>
                <w:color w:val="000000"/>
                <w:sz w:val="21"/>
                <w:szCs w:val="21"/>
              </w:rPr>
            </w:pPr>
            <w:r>
              <w:rPr>
                <w:rFonts w:ascii="Times New Roman" w:hAnsi="Times New Roman"/>
                <w:color w:val="000000"/>
                <w:sz w:val="21"/>
                <w:szCs w:val="21"/>
              </w:rPr>
              <w:t>43</w:t>
            </w:r>
            <w:r w:rsidR="00B17EE9" w:rsidRPr="00890C68">
              <w:rPr>
                <w:rFonts w:ascii="Times New Roman" w:hAnsi="Times New Roman"/>
                <w:color w:val="000000"/>
                <w:sz w:val="21"/>
                <w:szCs w:val="21"/>
              </w:rPr>
              <w:t>3 679</w:t>
            </w:r>
          </w:p>
        </w:tc>
        <w:tc>
          <w:tcPr>
            <w:tcW w:w="683" w:type="dxa"/>
            <w:shd w:val="clear" w:color="auto" w:fill="FFFFFF"/>
            <w:vAlign w:val="center"/>
          </w:tcPr>
          <w:p w:rsidR="0057668E" w:rsidRPr="00890C68" w:rsidRDefault="00206AF8" w:rsidP="006704B3">
            <w:pPr>
              <w:spacing w:line="240" w:lineRule="auto"/>
              <w:jc w:val="center"/>
              <w:rPr>
                <w:rFonts w:ascii="Times New Roman" w:hAnsi="Times New Roman"/>
                <w:color w:val="000000"/>
                <w:sz w:val="21"/>
                <w:szCs w:val="21"/>
              </w:rPr>
            </w:pPr>
            <w:r>
              <w:rPr>
                <w:rFonts w:ascii="Times New Roman" w:hAnsi="Times New Roman"/>
                <w:color w:val="000000"/>
                <w:sz w:val="21"/>
                <w:szCs w:val="21"/>
              </w:rPr>
              <w:t>45</w:t>
            </w:r>
            <w:r w:rsidR="00B17EE9" w:rsidRPr="00890C68">
              <w:rPr>
                <w:rFonts w:ascii="Times New Roman" w:hAnsi="Times New Roman"/>
                <w:color w:val="000000"/>
                <w:sz w:val="21"/>
                <w:szCs w:val="21"/>
              </w:rPr>
              <w:t>3 627</w:t>
            </w:r>
          </w:p>
        </w:tc>
        <w:tc>
          <w:tcPr>
            <w:tcW w:w="683" w:type="dxa"/>
            <w:shd w:val="clear" w:color="auto" w:fill="FFFFFF"/>
            <w:vAlign w:val="center"/>
          </w:tcPr>
          <w:p w:rsidR="0057668E" w:rsidRPr="00890C68" w:rsidRDefault="00206AF8" w:rsidP="006704B3">
            <w:pPr>
              <w:spacing w:line="240" w:lineRule="auto"/>
              <w:jc w:val="center"/>
              <w:rPr>
                <w:rFonts w:ascii="Times New Roman" w:hAnsi="Times New Roman"/>
                <w:color w:val="000000"/>
                <w:sz w:val="21"/>
                <w:szCs w:val="21"/>
              </w:rPr>
            </w:pPr>
            <w:r>
              <w:rPr>
                <w:rFonts w:ascii="Times New Roman" w:hAnsi="Times New Roman"/>
                <w:color w:val="000000"/>
                <w:sz w:val="21"/>
                <w:szCs w:val="21"/>
              </w:rPr>
              <w:t>46</w:t>
            </w:r>
            <w:r w:rsidR="00B17EE9" w:rsidRPr="00890C68">
              <w:rPr>
                <w:rFonts w:ascii="Times New Roman" w:hAnsi="Times New Roman"/>
                <w:color w:val="000000"/>
                <w:sz w:val="21"/>
                <w:szCs w:val="21"/>
              </w:rPr>
              <w:t>0 091</w:t>
            </w:r>
          </w:p>
        </w:tc>
        <w:tc>
          <w:tcPr>
            <w:tcW w:w="683" w:type="dxa"/>
            <w:shd w:val="clear" w:color="auto" w:fill="FFFFFF"/>
            <w:vAlign w:val="center"/>
          </w:tcPr>
          <w:p w:rsidR="0057668E" w:rsidRPr="00890C68" w:rsidRDefault="00B17EE9" w:rsidP="006704B3">
            <w:pPr>
              <w:spacing w:line="240" w:lineRule="auto"/>
              <w:jc w:val="center"/>
              <w:rPr>
                <w:rFonts w:ascii="Times New Roman" w:hAnsi="Times New Roman"/>
                <w:color w:val="000000"/>
                <w:sz w:val="21"/>
                <w:szCs w:val="21"/>
              </w:rPr>
            </w:pPr>
            <w:r w:rsidRPr="00890C68">
              <w:rPr>
                <w:rFonts w:ascii="Times New Roman" w:hAnsi="Times New Roman"/>
                <w:color w:val="000000"/>
                <w:sz w:val="21"/>
                <w:szCs w:val="21"/>
              </w:rPr>
              <w:t>620 627</w:t>
            </w:r>
          </w:p>
        </w:tc>
        <w:tc>
          <w:tcPr>
            <w:tcW w:w="683" w:type="dxa"/>
            <w:shd w:val="clear" w:color="auto" w:fill="FFFFFF"/>
            <w:vAlign w:val="center"/>
          </w:tcPr>
          <w:p w:rsidR="0057668E" w:rsidRPr="00890C68" w:rsidRDefault="00206AF8" w:rsidP="006704B3">
            <w:pPr>
              <w:spacing w:line="240" w:lineRule="auto"/>
              <w:jc w:val="center"/>
              <w:rPr>
                <w:rFonts w:ascii="Times New Roman" w:hAnsi="Times New Roman"/>
                <w:color w:val="000000"/>
                <w:sz w:val="21"/>
                <w:szCs w:val="21"/>
              </w:rPr>
            </w:pPr>
            <w:r>
              <w:rPr>
                <w:rFonts w:ascii="Times New Roman" w:hAnsi="Times New Roman"/>
                <w:color w:val="000000"/>
                <w:sz w:val="21"/>
                <w:szCs w:val="21"/>
              </w:rPr>
              <w:t>48</w:t>
            </w:r>
            <w:r w:rsidR="00B17EE9" w:rsidRPr="00890C68">
              <w:rPr>
                <w:rFonts w:ascii="Times New Roman" w:hAnsi="Times New Roman"/>
                <w:color w:val="000000"/>
                <w:sz w:val="21"/>
                <w:szCs w:val="21"/>
              </w:rPr>
              <w:t>1 406</w:t>
            </w:r>
          </w:p>
        </w:tc>
        <w:tc>
          <w:tcPr>
            <w:tcW w:w="683" w:type="dxa"/>
            <w:shd w:val="clear" w:color="auto" w:fill="FFFFFF"/>
            <w:vAlign w:val="center"/>
          </w:tcPr>
          <w:p w:rsidR="0057668E" w:rsidRPr="00890C68" w:rsidRDefault="00206AF8" w:rsidP="006704B3">
            <w:pPr>
              <w:spacing w:line="240" w:lineRule="auto"/>
              <w:jc w:val="center"/>
              <w:rPr>
                <w:rFonts w:ascii="Times New Roman" w:hAnsi="Times New Roman"/>
                <w:color w:val="000000"/>
                <w:sz w:val="21"/>
                <w:szCs w:val="21"/>
              </w:rPr>
            </w:pPr>
            <w:r>
              <w:rPr>
                <w:rFonts w:ascii="Times New Roman" w:hAnsi="Times New Roman"/>
                <w:color w:val="000000"/>
                <w:sz w:val="21"/>
                <w:szCs w:val="21"/>
              </w:rPr>
              <w:t>49</w:t>
            </w:r>
            <w:r w:rsidR="00B17EE9" w:rsidRPr="00890C68">
              <w:rPr>
                <w:rFonts w:ascii="Times New Roman" w:hAnsi="Times New Roman"/>
                <w:color w:val="000000"/>
                <w:sz w:val="21"/>
                <w:szCs w:val="21"/>
              </w:rPr>
              <w:t>2 433</w:t>
            </w:r>
          </w:p>
        </w:tc>
        <w:tc>
          <w:tcPr>
            <w:tcW w:w="683" w:type="dxa"/>
            <w:shd w:val="clear" w:color="auto" w:fill="FFFFFF"/>
            <w:vAlign w:val="center"/>
          </w:tcPr>
          <w:p w:rsidR="0057668E" w:rsidRPr="00890C68" w:rsidRDefault="00206AF8" w:rsidP="006704B3">
            <w:pPr>
              <w:spacing w:line="240" w:lineRule="auto"/>
              <w:jc w:val="center"/>
              <w:rPr>
                <w:rFonts w:ascii="Times New Roman" w:hAnsi="Times New Roman"/>
                <w:color w:val="000000"/>
                <w:sz w:val="21"/>
                <w:szCs w:val="21"/>
              </w:rPr>
            </w:pPr>
            <w:r>
              <w:rPr>
                <w:rFonts w:ascii="Times New Roman" w:hAnsi="Times New Roman"/>
                <w:color w:val="000000"/>
                <w:sz w:val="21"/>
                <w:szCs w:val="21"/>
              </w:rPr>
              <w:t>50</w:t>
            </w:r>
            <w:r w:rsidR="00B17EE9" w:rsidRPr="00890C68">
              <w:rPr>
                <w:rFonts w:ascii="Times New Roman" w:hAnsi="Times New Roman"/>
                <w:color w:val="000000"/>
                <w:sz w:val="21"/>
                <w:szCs w:val="21"/>
              </w:rPr>
              <w:t>3 712</w:t>
            </w:r>
          </w:p>
        </w:tc>
        <w:tc>
          <w:tcPr>
            <w:tcW w:w="1133" w:type="dxa"/>
            <w:shd w:val="clear" w:color="auto" w:fill="FFFFFF"/>
            <w:vAlign w:val="center"/>
          </w:tcPr>
          <w:p w:rsidR="0057668E" w:rsidRPr="00890C68" w:rsidRDefault="00206AF8" w:rsidP="006704B3">
            <w:pPr>
              <w:spacing w:line="240" w:lineRule="auto"/>
              <w:jc w:val="center"/>
              <w:rPr>
                <w:rFonts w:ascii="Times New Roman" w:hAnsi="Times New Roman"/>
                <w:b/>
                <w:color w:val="000000"/>
                <w:sz w:val="21"/>
                <w:szCs w:val="21"/>
              </w:rPr>
            </w:pPr>
            <w:r>
              <w:rPr>
                <w:rFonts w:ascii="Times New Roman" w:hAnsi="Times New Roman"/>
                <w:b/>
                <w:color w:val="000000"/>
                <w:sz w:val="21"/>
                <w:szCs w:val="21"/>
              </w:rPr>
              <w:t>4 5</w:t>
            </w:r>
            <w:r w:rsidR="003519B1" w:rsidRPr="00890C68">
              <w:rPr>
                <w:rFonts w:ascii="Times New Roman" w:hAnsi="Times New Roman"/>
                <w:b/>
                <w:color w:val="000000"/>
                <w:sz w:val="21"/>
                <w:szCs w:val="21"/>
              </w:rPr>
              <w:t>65 373</w:t>
            </w:r>
          </w:p>
        </w:tc>
      </w:tr>
      <w:tr w:rsidR="0057668E" w:rsidRPr="00890C68" w:rsidTr="00EB6523">
        <w:trPr>
          <w:trHeight w:val="330"/>
        </w:trPr>
        <w:tc>
          <w:tcPr>
            <w:tcW w:w="2127" w:type="dxa"/>
            <w:gridSpan w:val="2"/>
            <w:shd w:val="clear" w:color="auto" w:fill="FFFFFF"/>
            <w:vAlign w:val="center"/>
          </w:tcPr>
          <w:p w:rsidR="0057668E" w:rsidRPr="00890C68" w:rsidRDefault="0057668E" w:rsidP="00C53F26">
            <w:pPr>
              <w:spacing w:line="240" w:lineRule="auto"/>
              <w:rPr>
                <w:rFonts w:ascii="Times New Roman" w:hAnsi="Times New Roman"/>
                <w:color w:val="000000"/>
                <w:sz w:val="21"/>
                <w:szCs w:val="21"/>
              </w:rPr>
            </w:pPr>
            <w:r w:rsidRPr="00890C68">
              <w:rPr>
                <w:rFonts w:ascii="Times New Roman" w:hAnsi="Times New Roman"/>
                <w:color w:val="000000"/>
                <w:sz w:val="21"/>
                <w:szCs w:val="21"/>
              </w:rPr>
              <w:t>budżet państwa</w:t>
            </w:r>
          </w:p>
        </w:tc>
        <w:tc>
          <w:tcPr>
            <w:tcW w:w="967" w:type="dxa"/>
            <w:gridSpan w:val="2"/>
            <w:shd w:val="clear" w:color="auto" w:fill="FFFFFF"/>
            <w:vAlign w:val="center"/>
          </w:tcPr>
          <w:p w:rsidR="0057668E" w:rsidRPr="00890C68" w:rsidRDefault="002158A3" w:rsidP="006704B3">
            <w:pPr>
              <w:spacing w:line="240" w:lineRule="auto"/>
              <w:jc w:val="center"/>
              <w:rPr>
                <w:rFonts w:ascii="Times New Roman" w:hAnsi="Times New Roman"/>
                <w:color w:val="000000"/>
                <w:sz w:val="21"/>
                <w:szCs w:val="21"/>
              </w:rPr>
            </w:pPr>
            <w:r w:rsidRPr="00890C68">
              <w:rPr>
                <w:rFonts w:ascii="Times New Roman" w:hAnsi="Times New Roman"/>
                <w:color w:val="000000"/>
                <w:sz w:val="21"/>
                <w:szCs w:val="21"/>
              </w:rPr>
              <w:t>0</w:t>
            </w:r>
          </w:p>
        </w:tc>
        <w:tc>
          <w:tcPr>
            <w:tcW w:w="683" w:type="dxa"/>
            <w:shd w:val="clear" w:color="auto" w:fill="FFFFFF"/>
            <w:vAlign w:val="center"/>
          </w:tcPr>
          <w:p w:rsidR="0057668E" w:rsidRPr="00890C68" w:rsidRDefault="00206AF8" w:rsidP="006704B3">
            <w:pPr>
              <w:spacing w:line="240" w:lineRule="auto"/>
              <w:jc w:val="center"/>
              <w:rPr>
                <w:rFonts w:ascii="Times New Roman" w:hAnsi="Times New Roman"/>
                <w:color w:val="000000"/>
                <w:sz w:val="21"/>
                <w:szCs w:val="21"/>
              </w:rPr>
            </w:pPr>
            <w:r>
              <w:rPr>
                <w:rFonts w:ascii="Times New Roman" w:hAnsi="Times New Roman"/>
                <w:color w:val="000000"/>
                <w:sz w:val="21"/>
                <w:szCs w:val="21"/>
              </w:rPr>
              <w:t>43</w:t>
            </w:r>
            <w:r w:rsidR="003519B1" w:rsidRPr="00890C68">
              <w:rPr>
                <w:rFonts w:ascii="Times New Roman" w:hAnsi="Times New Roman"/>
                <w:color w:val="000000"/>
                <w:sz w:val="21"/>
                <w:szCs w:val="21"/>
              </w:rPr>
              <w:t>3 399</w:t>
            </w:r>
          </w:p>
        </w:tc>
        <w:tc>
          <w:tcPr>
            <w:tcW w:w="683" w:type="dxa"/>
            <w:shd w:val="clear" w:color="auto" w:fill="FFFFFF"/>
            <w:vAlign w:val="center"/>
          </w:tcPr>
          <w:p w:rsidR="0057668E" w:rsidRPr="00890C68" w:rsidRDefault="00206AF8" w:rsidP="006704B3">
            <w:pPr>
              <w:spacing w:line="240" w:lineRule="auto"/>
              <w:jc w:val="center"/>
              <w:rPr>
                <w:rFonts w:ascii="Times New Roman" w:hAnsi="Times New Roman"/>
                <w:color w:val="000000"/>
                <w:sz w:val="21"/>
                <w:szCs w:val="21"/>
              </w:rPr>
            </w:pPr>
            <w:r>
              <w:rPr>
                <w:rFonts w:ascii="Times New Roman" w:hAnsi="Times New Roman"/>
                <w:color w:val="000000"/>
                <w:sz w:val="21"/>
                <w:szCs w:val="21"/>
              </w:rPr>
              <w:t>41</w:t>
            </w:r>
            <w:r w:rsidR="003519B1" w:rsidRPr="00890C68">
              <w:rPr>
                <w:rFonts w:ascii="Times New Roman" w:hAnsi="Times New Roman"/>
                <w:color w:val="000000"/>
                <w:sz w:val="21"/>
                <w:szCs w:val="21"/>
              </w:rPr>
              <w:t>3 139</w:t>
            </w:r>
          </w:p>
        </w:tc>
        <w:tc>
          <w:tcPr>
            <w:tcW w:w="683" w:type="dxa"/>
            <w:shd w:val="clear" w:color="auto" w:fill="FFFFFF"/>
            <w:vAlign w:val="center"/>
          </w:tcPr>
          <w:p w:rsidR="0057668E" w:rsidRPr="00890C68" w:rsidRDefault="00206AF8" w:rsidP="006704B3">
            <w:pPr>
              <w:spacing w:line="240" w:lineRule="auto"/>
              <w:jc w:val="center"/>
              <w:rPr>
                <w:rFonts w:ascii="Times New Roman" w:hAnsi="Times New Roman"/>
                <w:color w:val="000000"/>
                <w:sz w:val="21"/>
                <w:szCs w:val="21"/>
              </w:rPr>
            </w:pPr>
            <w:r>
              <w:rPr>
                <w:rFonts w:ascii="Times New Roman" w:hAnsi="Times New Roman"/>
                <w:color w:val="000000"/>
                <w:sz w:val="21"/>
                <w:szCs w:val="21"/>
              </w:rPr>
              <w:t>42</w:t>
            </w:r>
            <w:r w:rsidR="003519B1" w:rsidRPr="00890C68">
              <w:rPr>
                <w:rFonts w:ascii="Times New Roman" w:hAnsi="Times New Roman"/>
                <w:color w:val="000000"/>
                <w:sz w:val="21"/>
                <w:szCs w:val="21"/>
              </w:rPr>
              <w:t>3 260</w:t>
            </w:r>
          </w:p>
        </w:tc>
        <w:tc>
          <w:tcPr>
            <w:tcW w:w="683" w:type="dxa"/>
            <w:shd w:val="clear" w:color="auto" w:fill="FFFFFF"/>
            <w:vAlign w:val="center"/>
          </w:tcPr>
          <w:p w:rsidR="0057668E" w:rsidRPr="00890C68" w:rsidRDefault="00206AF8" w:rsidP="006704B3">
            <w:pPr>
              <w:spacing w:line="240" w:lineRule="auto"/>
              <w:jc w:val="center"/>
              <w:rPr>
                <w:rFonts w:ascii="Times New Roman" w:hAnsi="Times New Roman"/>
                <w:color w:val="000000"/>
                <w:sz w:val="21"/>
                <w:szCs w:val="21"/>
              </w:rPr>
            </w:pPr>
            <w:r>
              <w:rPr>
                <w:rFonts w:ascii="Times New Roman" w:hAnsi="Times New Roman"/>
                <w:color w:val="000000"/>
                <w:sz w:val="21"/>
                <w:szCs w:val="21"/>
              </w:rPr>
              <w:t>43</w:t>
            </w:r>
            <w:r w:rsidR="003519B1" w:rsidRPr="00890C68">
              <w:rPr>
                <w:rFonts w:ascii="Times New Roman" w:hAnsi="Times New Roman"/>
                <w:color w:val="000000"/>
                <w:sz w:val="21"/>
                <w:szCs w:val="21"/>
              </w:rPr>
              <w:t>3 679</w:t>
            </w:r>
          </w:p>
        </w:tc>
        <w:tc>
          <w:tcPr>
            <w:tcW w:w="683" w:type="dxa"/>
            <w:shd w:val="clear" w:color="auto" w:fill="FFFFFF"/>
            <w:vAlign w:val="center"/>
          </w:tcPr>
          <w:p w:rsidR="0057668E" w:rsidRPr="00890C68" w:rsidRDefault="00206AF8" w:rsidP="006704B3">
            <w:pPr>
              <w:spacing w:line="240" w:lineRule="auto"/>
              <w:jc w:val="center"/>
              <w:rPr>
                <w:rFonts w:ascii="Times New Roman" w:hAnsi="Times New Roman"/>
                <w:color w:val="000000"/>
                <w:sz w:val="21"/>
                <w:szCs w:val="21"/>
              </w:rPr>
            </w:pPr>
            <w:r>
              <w:rPr>
                <w:rFonts w:ascii="Times New Roman" w:hAnsi="Times New Roman"/>
                <w:color w:val="000000"/>
                <w:sz w:val="21"/>
                <w:szCs w:val="21"/>
              </w:rPr>
              <w:t>45</w:t>
            </w:r>
            <w:r w:rsidR="003519B1" w:rsidRPr="00890C68">
              <w:rPr>
                <w:rFonts w:ascii="Times New Roman" w:hAnsi="Times New Roman"/>
                <w:color w:val="000000"/>
                <w:sz w:val="21"/>
                <w:szCs w:val="21"/>
              </w:rPr>
              <w:t>3 627</w:t>
            </w:r>
          </w:p>
        </w:tc>
        <w:tc>
          <w:tcPr>
            <w:tcW w:w="683" w:type="dxa"/>
            <w:shd w:val="clear" w:color="auto" w:fill="FFFFFF"/>
            <w:vAlign w:val="center"/>
          </w:tcPr>
          <w:p w:rsidR="0057668E" w:rsidRPr="00890C68" w:rsidRDefault="00206AF8" w:rsidP="006704B3">
            <w:pPr>
              <w:spacing w:line="240" w:lineRule="auto"/>
              <w:jc w:val="center"/>
              <w:rPr>
                <w:rFonts w:ascii="Times New Roman" w:hAnsi="Times New Roman"/>
                <w:color w:val="000000"/>
                <w:sz w:val="21"/>
                <w:szCs w:val="21"/>
              </w:rPr>
            </w:pPr>
            <w:r>
              <w:rPr>
                <w:rFonts w:ascii="Times New Roman" w:hAnsi="Times New Roman"/>
                <w:color w:val="000000"/>
                <w:sz w:val="21"/>
                <w:szCs w:val="21"/>
              </w:rPr>
              <w:t>46</w:t>
            </w:r>
            <w:r w:rsidR="003519B1" w:rsidRPr="00890C68">
              <w:rPr>
                <w:rFonts w:ascii="Times New Roman" w:hAnsi="Times New Roman"/>
                <w:color w:val="000000"/>
                <w:sz w:val="21"/>
                <w:szCs w:val="21"/>
              </w:rPr>
              <w:t>0 091</w:t>
            </w:r>
          </w:p>
        </w:tc>
        <w:tc>
          <w:tcPr>
            <w:tcW w:w="683" w:type="dxa"/>
            <w:shd w:val="clear" w:color="auto" w:fill="FFFFFF"/>
            <w:vAlign w:val="center"/>
          </w:tcPr>
          <w:p w:rsidR="0057668E" w:rsidRPr="00890C68" w:rsidRDefault="003519B1" w:rsidP="006704B3">
            <w:pPr>
              <w:spacing w:line="240" w:lineRule="auto"/>
              <w:jc w:val="center"/>
              <w:rPr>
                <w:rFonts w:ascii="Times New Roman" w:hAnsi="Times New Roman"/>
                <w:color w:val="000000"/>
                <w:sz w:val="21"/>
                <w:szCs w:val="21"/>
              </w:rPr>
            </w:pPr>
            <w:r w:rsidRPr="00890C68">
              <w:rPr>
                <w:rFonts w:ascii="Times New Roman" w:hAnsi="Times New Roman"/>
                <w:color w:val="000000"/>
                <w:sz w:val="21"/>
                <w:szCs w:val="21"/>
              </w:rPr>
              <w:t>620 627</w:t>
            </w:r>
          </w:p>
        </w:tc>
        <w:tc>
          <w:tcPr>
            <w:tcW w:w="683" w:type="dxa"/>
            <w:shd w:val="clear" w:color="auto" w:fill="FFFFFF"/>
            <w:vAlign w:val="center"/>
          </w:tcPr>
          <w:p w:rsidR="0057668E" w:rsidRPr="00890C68" w:rsidRDefault="00206AF8" w:rsidP="006704B3">
            <w:pPr>
              <w:spacing w:line="240" w:lineRule="auto"/>
              <w:jc w:val="center"/>
              <w:rPr>
                <w:rFonts w:ascii="Times New Roman" w:hAnsi="Times New Roman"/>
                <w:color w:val="000000"/>
                <w:sz w:val="21"/>
                <w:szCs w:val="21"/>
              </w:rPr>
            </w:pPr>
            <w:r>
              <w:rPr>
                <w:rFonts w:ascii="Times New Roman" w:hAnsi="Times New Roman"/>
                <w:color w:val="000000"/>
                <w:sz w:val="21"/>
                <w:szCs w:val="21"/>
              </w:rPr>
              <w:t>48</w:t>
            </w:r>
            <w:r w:rsidR="003519B1" w:rsidRPr="00890C68">
              <w:rPr>
                <w:rFonts w:ascii="Times New Roman" w:hAnsi="Times New Roman"/>
                <w:color w:val="000000"/>
                <w:sz w:val="21"/>
                <w:szCs w:val="21"/>
              </w:rPr>
              <w:t>1 406</w:t>
            </w:r>
          </w:p>
        </w:tc>
        <w:tc>
          <w:tcPr>
            <w:tcW w:w="683" w:type="dxa"/>
            <w:shd w:val="clear" w:color="auto" w:fill="FFFFFF"/>
            <w:vAlign w:val="center"/>
          </w:tcPr>
          <w:p w:rsidR="0057668E" w:rsidRPr="00890C68" w:rsidRDefault="00206AF8" w:rsidP="006704B3">
            <w:pPr>
              <w:spacing w:line="240" w:lineRule="auto"/>
              <w:jc w:val="center"/>
              <w:rPr>
                <w:rFonts w:ascii="Times New Roman" w:hAnsi="Times New Roman"/>
                <w:color w:val="000000"/>
                <w:sz w:val="21"/>
                <w:szCs w:val="21"/>
              </w:rPr>
            </w:pPr>
            <w:r>
              <w:rPr>
                <w:rFonts w:ascii="Times New Roman" w:hAnsi="Times New Roman"/>
                <w:color w:val="000000"/>
                <w:sz w:val="21"/>
                <w:szCs w:val="21"/>
              </w:rPr>
              <w:t>49</w:t>
            </w:r>
            <w:r w:rsidR="003519B1" w:rsidRPr="00890C68">
              <w:rPr>
                <w:rFonts w:ascii="Times New Roman" w:hAnsi="Times New Roman"/>
                <w:color w:val="000000"/>
                <w:sz w:val="21"/>
                <w:szCs w:val="21"/>
              </w:rPr>
              <w:t>2 433</w:t>
            </w:r>
          </w:p>
        </w:tc>
        <w:tc>
          <w:tcPr>
            <w:tcW w:w="683" w:type="dxa"/>
            <w:shd w:val="clear" w:color="auto" w:fill="FFFFFF"/>
            <w:vAlign w:val="center"/>
          </w:tcPr>
          <w:p w:rsidR="0057668E" w:rsidRPr="00890C68" w:rsidRDefault="00206AF8" w:rsidP="006704B3">
            <w:pPr>
              <w:spacing w:line="240" w:lineRule="auto"/>
              <w:jc w:val="center"/>
              <w:rPr>
                <w:rFonts w:ascii="Times New Roman" w:hAnsi="Times New Roman"/>
                <w:color w:val="000000"/>
                <w:sz w:val="21"/>
                <w:szCs w:val="21"/>
              </w:rPr>
            </w:pPr>
            <w:r>
              <w:rPr>
                <w:rFonts w:ascii="Times New Roman" w:hAnsi="Times New Roman"/>
                <w:color w:val="000000"/>
                <w:sz w:val="21"/>
                <w:szCs w:val="21"/>
              </w:rPr>
              <w:t>50</w:t>
            </w:r>
            <w:r w:rsidR="003519B1" w:rsidRPr="00890C68">
              <w:rPr>
                <w:rFonts w:ascii="Times New Roman" w:hAnsi="Times New Roman"/>
                <w:color w:val="000000"/>
                <w:sz w:val="21"/>
                <w:szCs w:val="21"/>
              </w:rPr>
              <w:t>3 712</w:t>
            </w:r>
          </w:p>
        </w:tc>
        <w:tc>
          <w:tcPr>
            <w:tcW w:w="1133" w:type="dxa"/>
            <w:shd w:val="clear" w:color="auto" w:fill="FFFFFF"/>
            <w:vAlign w:val="center"/>
          </w:tcPr>
          <w:p w:rsidR="0057668E" w:rsidRPr="00890C68" w:rsidRDefault="00206AF8" w:rsidP="006704B3">
            <w:pPr>
              <w:spacing w:line="240" w:lineRule="auto"/>
              <w:jc w:val="center"/>
              <w:rPr>
                <w:rFonts w:ascii="Times New Roman" w:hAnsi="Times New Roman"/>
                <w:b/>
                <w:color w:val="000000"/>
                <w:sz w:val="21"/>
                <w:szCs w:val="21"/>
              </w:rPr>
            </w:pPr>
            <w:r>
              <w:rPr>
                <w:rFonts w:ascii="Times New Roman" w:hAnsi="Times New Roman"/>
                <w:b/>
                <w:color w:val="000000"/>
                <w:sz w:val="21"/>
                <w:szCs w:val="21"/>
              </w:rPr>
              <w:t>4 5</w:t>
            </w:r>
            <w:r w:rsidR="003519B1" w:rsidRPr="00890C68">
              <w:rPr>
                <w:rFonts w:ascii="Times New Roman" w:hAnsi="Times New Roman"/>
                <w:b/>
                <w:color w:val="000000"/>
                <w:sz w:val="21"/>
                <w:szCs w:val="21"/>
              </w:rPr>
              <w:t>65 373</w:t>
            </w:r>
          </w:p>
        </w:tc>
      </w:tr>
      <w:tr w:rsidR="00F85992" w:rsidRPr="00890C68" w:rsidTr="00997FE7">
        <w:trPr>
          <w:trHeight w:val="351"/>
        </w:trPr>
        <w:tc>
          <w:tcPr>
            <w:tcW w:w="2127" w:type="dxa"/>
            <w:gridSpan w:val="2"/>
            <w:shd w:val="clear" w:color="auto" w:fill="FFFFFF"/>
            <w:vAlign w:val="center"/>
          </w:tcPr>
          <w:p w:rsidR="00F85992" w:rsidRPr="00890C68" w:rsidRDefault="00F85992" w:rsidP="00F85992">
            <w:pPr>
              <w:spacing w:line="240" w:lineRule="auto"/>
              <w:rPr>
                <w:rFonts w:ascii="Times New Roman" w:hAnsi="Times New Roman"/>
                <w:color w:val="000000"/>
                <w:sz w:val="21"/>
                <w:szCs w:val="21"/>
              </w:rPr>
            </w:pPr>
            <w:r w:rsidRPr="00890C68">
              <w:rPr>
                <w:rFonts w:ascii="Times New Roman" w:hAnsi="Times New Roman"/>
                <w:color w:val="000000"/>
                <w:sz w:val="21"/>
                <w:szCs w:val="21"/>
              </w:rPr>
              <w:t>JST</w:t>
            </w:r>
          </w:p>
        </w:tc>
        <w:tc>
          <w:tcPr>
            <w:tcW w:w="967" w:type="dxa"/>
            <w:gridSpan w:val="2"/>
            <w:shd w:val="clear" w:color="auto" w:fill="FFFFFF"/>
          </w:tcPr>
          <w:p w:rsidR="00F85992" w:rsidRPr="00890C68" w:rsidRDefault="00F85992" w:rsidP="00F85992">
            <w:pPr>
              <w:jc w:val="center"/>
              <w:rPr>
                <w:rFonts w:ascii="Times New Roman" w:hAnsi="Times New Roman"/>
              </w:rPr>
            </w:pPr>
            <w:r w:rsidRPr="00890C68">
              <w:rPr>
                <w:rFonts w:ascii="Times New Roman" w:hAnsi="Times New Roman"/>
              </w:rPr>
              <w:t>0</w:t>
            </w:r>
          </w:p>
        </w:tc>
        <w:tc>
          <w:tcPr>
            <w:tcW w:w="683" w:type="dxa"/>
            <w:shd w:val="clear" w:color="auto" w:fill="FFFFFF"/>
          </w:tcPr>
          <w:p w:rsidR="00F85992" w:rsidRPr="00890C68" w:rsidRDefault="00F85992" w:rsidP="00F85992">
            <w:pPr>
              <w:jc w:val="center"/>
              <w:rPr>
                <w:rFonts w:ascii="Times New Roman" w:hAnsi="Times New Roman"/>
              </w:rPr>
            </w:pPr>
            <w:r w:rsidRPr="00890C68">
              <w:rPr>
                <w:rFonts w:ascii="Times New Roman" w:hAnsi="Times New Roman"/>
              </w:rPr>
              <w:t>0</w:t>
            </w:r>
          </w:p>
        </w:tc>
        <w:tc>
          <w:tcPr>
            <w:tcW w:w="683" w:type="dxa"/>
            <w:shd w:val="clear" w:color="auto" w:fill="FFFFFF"/>
          </w:tcPr>
          <w:p w:rsidR="00F85992" w:rsidRPr="00890C68" w:rsidRDefault="00F85992" w:rsidP="00F85992">
            <w:pPr>
              <w:jc w:val="center"/>
              <w:rPr>
                <w:rFonts w:ascii="Times New Roman" w:hAnsi="Times New Roman"/>
              </w:rPr>
            </w:pPr>
            <w:r w:rsidRPr="00890C68">
              <w:rPr>
                <w:rFonts w:ascii="Times New Roman" w:hAnsi="Times New Roman"/>
              </w:rPr>
              <w:t>0</w:t>
            </w:r>
          </w:p>
        </w:tc>
        <w:tc>
          <w:tcPr>
            <w:tcW w:w="683" w:type="dxa"/>
            <w:shd w:val="clear" w:color="auto" w:fill="FFFFFF"/>
          </w:tcPr>
          <w:p w:rsidR="00F85992" w:rsidRPr="00890C68" w:rsidRDefault="00F85992" w:rsidP="00F85992">
            <w:pPr>
              <w:jc w:val="center"/>
              <w:rPr>
                <w:rFonts w:ascii="Times New Roman" w:hAnsi="Times New Roman"/>
              </w:rPr>
            </w:pPr>
            <w:r w:rsidRPr="00890C68">
              <w:rPr>
                <w:rFonts w:ascii="Times New Roman" w:hAnsi="Times New Roman"/>
              </w:rPr>
              <w:t>0</w:t>
            </w:r>
          </w:p>
        </w:tc>
        <w:tc>
          <w:tcPr>
            <w:tcW w:w="683" w:type="dxa"/>
            <w:shd w:val="clear" w:color="auto" w:fill="FFFFFF"/>
          </w:tcPr>
          <w:p w:rsidR="00F85992" w:rsidRPr="00890C68" w:rsidRDefault="00F85992" w:rsidP="00F85992">
            <w:pPr>
              <w:jc w:val="center"/>
              <w:rPr>
                <w:rFonts w:ascii="Times New Roman" w:hAnsi="Times New Roman"/>
              </w:rPr>
            </w:pPr>
            <w:r w:rsidRPr="00890C68">
              <w:rPr>
                <w:rFonts w:ascii="Times New Roman" w:hAnsi="Times New Roman"/>
              </w:rPr>
              <w:t>0</w:t>
            </w:r>
          </w:p>
        </w:tc>
        <w:tc>
          <w:tcPr>
            <w:tcW w:w="683" w:type="dxa"/>
            <w:shd w:val="clear" w:color="auto" w:fill="FFFFFF"/>
          </w:tcPr>
          <w:p w:rsidR="00F85992" w:rsidRPr="00890C68" w:rsidRDefault="00F85992" w:rsidP="00F85992">
            <w:pPr>
              <w:jc w:val="center"/>
              <w:rPr>
                <w:rFonts w:ascii="Times New Roman" w:hAnsi="Times New Roman"/>
              </w:rPr>
            </w:pPr>
            <w:r w:rsidRPr="00890C68">
              <w:rPr>
                <w:rFonts w:ascii="Times New Roman" w:hAnsi="Times New Roman"/>
              </w:rPr>
              <w:t>0</w:t>
            </w:r>
          </w:p>
        </w:tc>
        <w:tc>
          <w:tcPr>
            <w:tcW w:w="683" w:type="dxa"/>
            <w:shd w:val="clear" w:color="auto" w:fill="FFFFFF"/>
          </w:tcPr>
          <w:p w:rsidR="00F85992" w:rsidRPr="00890C68" w:rsidRDefault="00F85992" w:rsidP="00F85992">
            <w:pPr>
              <w:jc w:val="center"/>
              <w:rPr>
                <w:rFonts w:ascii="Times New Roman" w:hAnsi="Times New Roman"/>
              </w:rPr>
            </w:pPr>
            <w:r w:rsidRPr="00890C68">
              <w:rPr>
                <w:rFonts w:ascii="Times New Roman" w:hAnsi="Times New Roman"/>
              </w:rPr>
              <w:t>0</w:t>
            </w:r>
          </w:p>
        </w:tc>
        <w:tc>
          <w:tcPr>
            <w:tcW w:w="683" w:type="dxa"/>
            <w:shd w:val="clear" w:color="auto" w:fill="FFFFFF"/>
          </w:tcPr>
          <w:p w:rsidR="00F85992" w:rsidRPr="00890C68" w:rsidRDefault="00F85992" w:rsidP="00F85992">
            <w:pPr>
              <w:jc w:val="center"/>
              <w:rPr>
                <w:rFonts w:ascii="Times New Roman" w:hAnsi="Times New Roman"/>
              </w:rPr>
            </w:pPr>
            <w:r w:rsidRPr="00890C68">
              <w:rPr>
                <w:rFonts w:ascii="Times New Roman" w:hAnsi="Times New Roman"/>
              </w:rPr>
              <w:t>0</w:t>
            </w:r>
          </w:p>
        </w:tc>
        <w:tc>
          <w:tcPr>
            <w:tcW w:w="683" w:type="dxa"/>
            <w:shd w:val="clear" w:color="auto" w:fill="FFFFFF"/>
          </w:tcPr>
          <w:p w:rsidR="00F85992" w:rsidRPr="00890C68" w:rsidRDefault="00F85992" w:rsidP="00F85992">
            <w:pPr>
              <w:jc w:val="center"/>
              <w:rPr>
                <w:rFonts w:ascii="Times New Roman" w:hAnsi="Times New Roman"/>
              </w:rPr>
            </w:pPr>
            <w:r w:rsidRPr="00890C68">
              <w:rPr>
                <w:rFonts w:ascii="Times New Roman" w:hAnsi="Times New Roman"/>
              </w:rPr>
              <w:t>0</w:t>
            </w:r>
          </w:p>
        </w:tc>
        <w:tc>
          <w:tcPr>
            <w:tcW w:w="683" w:type="dxa"/>
            <w:shd w:val="clear" w:color="auto" w:fill="FFFFFF"/>
          </w:tcPr>
          <w:p w:rsidR="00F85992" w:rsidRPr="00890C68" w:rsidRDefault="00F85992" w:rsidP="00F85992">
            <w:pPr>
              <w:jc w:val="center"/>
              <w:rPr>
                <w:rFonts w:ascii="Times New Roman" w:hAnsi="Times New Roman"/>
              </w:rPr>
            </w:pPr>
            <w:r w:rsidRPr="00890C68">
              <w:rPr>
                <w:rFonts w:ascii="Times New Roman" w:hAnsi="Times New Roman"/>
              </w:rPr>
              <w:t>0</w:t>
            </w:r>
          </w:p>
        </w:tc>
        <w:tc>
          <w:tcPr>
            <w:tcW w:w="683" w:type="dxa"/>
            <w:shd w:val="clear" w:color="auto" w:fill="FFFFFF"/>
          </w:tcPr>
          <w:p w:rsidR="00F85992" w:rsidRPr="00890C68" w:rsidRDefault="00F85992" w:rsidP="00F85992">
            <w:pPr>
              <w:jc w:val="center"/>
              <w:rPr>
                <w:rFonts w:ascii="Times New Roman" w:hAnsi="Times New Roman"/>
              </w:rPr>
            </w:pPr>
            <w:r w:rsidRPr="00890C68">
              <w:rPr>
                <w:rFonts w:ascii="Times New Roman" w:hAnsi="Times New Roman"/>
              </w:rPr>
              <w:t>0</w:t>
            </w:r>
          </w:p>
        </w:tc>
        <w:tc>
          <w:tcPr>
            <w:tcW w:w="1133" w:type="dxa"/>
            <w:shd w:val="clear" w:color="auto" w:fill="FFFFFF"/>
          </w:tcPr>
          <w:p w:rsidR="00F85992" w:rsidRPr="00890C68" w:rsidRDefault="00F85992" w:rsidP="00F85992">
            <w:pPr>
              <w:jc w:val="center"/>
              <w:rPr>
                <w:rFonts w:ascii="Times New Roman" w:hAnsi="Times New Roman"/>
              </w:rPr>
            </w:pPr>
            <w:r w:rsidRPr="00890C68">
              <w:rPr>
                <w:rFonts w:ascii="Times New Roman" w:hAnsi="Times New Roman"/>
              </w:rPr>
              <w:t>0</w:t>
            </w:r>
          </w:p>
        </w:tc>
      </w:tr>
      <w:tr w:rsidR="00F85992" w:rsidRPr="00890C68" w:rsidTr="00997FE7">
        <w:trPr>
          <w:trHeight w:val="351"/>
        </w:trPr>
        <w:tc>
          <w:tcPr>
            <w:tcW w:w="2127" w:type="dxa"/>
            <w:gridSpan w:val="2"/>
            <w:shd w:val="clear" w:color="auto" w:fill="FFFFFF"/>
            <w:vAlign w:val="center"/>
          </w:tcPr>
          <w:p w:rsidR="00F85992" w:rsidRPr="00890C68" w:rsidRDefault="00F85992" w:rsidP="00F85992">
            <w:pPr>
              <w:spacing w:line="240" w:lineRule="auto"/>
              <w:rPr>
                <w:rFonts w:ascii="Times New Roman" w:hAnsi="Times New Roman"/>
                <w:color w:val="000000"/>
                <w:sz w:val="21"/>
                <w:szCs w:val="21"/>
              </w:rPr>
            </w:pPr>
            <w:r w:rsidRPr="00890C68">
              <w:rPr>
                <w:rFonts w:ascii="Times New Roman" w:hAnsi="Times New Roman"/>
                <w:color w:val="000000"/>
                <w:sz w:val="21"/>
                <w:szCs w:val="21"/>
              </w:rPr>
              <w:t>pozostałe jednostki (oddzielnie)</w:t>
            </w:r>
          </w:p>
        </w:tc>
        <w:tc>
          <w:tcPr>
            <w:tcW w:w="967" w:type="dxa"/>
            <w:gridSpan w:val="2"/>
            <w:shd w:val="clear" w:color="auto" w:fill="FFFFFF"/>
          </w:tcPr>
          <w:p w:rsidR="00F85992" w:rsidRPr="00890C68" w:rsidRDefault="00F85992" w:rsidP="00F85992">
            <w:pPr>
              <w:jc w:val="center"/>
              <w:rPr>
                <w:rFonts w:ascii="Times New Roman" w:hAnsi="Times New Roman"/>
              </w:rPr>
            </w:pPr>
            <w:r w:rsidRPr="00890C68">
              <w:rPr>
                <w:rFonts w:ascii="Times New Roman" w:hAnsi="Times New Roman"/>
              </w:rPr>
              <w:t>0</w:t>
            </w:r>
          </w:p>
        </w:tc>
        <w:tc>
          <w:tcPr>
            <w:tcW w:w="683" w:type="dxa"/>
            <w:shd w:val="clear" w:color="auto" w:fill="FFFFFF"/>
          </w:tcPr>
          <w:p w:rsidR="00F85992" w:rsidRPr="00890C68" w:rsidRDefault="00F85992" w:rsidP="00F85992">
            <w:pPr>
              <w:jc w:val="center"/>
              <w:rPr>
                <w:rFonts w:ascii="Times New Roman" w:hAnsi="Times New Roman"/>
              </w:rPr>
            </w:pPr>
            <w:r w:rsidRPr="00890C68">
              <w:rPr>
                <w:rFonts w:ascii="Times New Roman" w:hAnsi="Times New Roman"/>
              </w:rPr>
              <w:t>0</w:t>
            </w:r>
          </w:p>
        </w:tc>
        <w:tc>
          <w:tcPr>
            <w:tcW w:w="683" w:type="dxa"/>
            <w:shd w:val="clear" w:color="auto" w:fill="FFFFFF"/>
          </w:tcPr>
          <w:p w:rsidR="00F85992" w:rsidRPr="00890C68" w:rsidRDefault="00F85992" w:rsidP="00F85992">
            <w:pPr>
              <w:jc w:val="center"/>
              <w:rPr>
                <w:rFonts w:ascii="Times New Roman" w:hAnsi="Times New Roman"/>
              </w:rPr>
            </w:pPr>
            <w:r w:rsidRPr="00890C68">
              <w:rPr>
                <w:rFonts w:ascii="Times New Roman" w:hAnsi="Times New Roman"/>
              </w:rPr>
              <w:t>0</w:t>
            </w:r>
          </w:p>
        </w:tc>
        <w:tc>
          <w:tcPr>
            <w:tcW w:w="683" w:type="dxa"/>
            <w:shd w:val="clear" w:color="auto" w:fill="FFFFFF"/>
          </w:tcPr>
          <w:p w:rsidR="00F85992" w:rsidRPr="00890C68" w:rsidRDefault="00F85992" w:rsidP="00F85992">
            <w:pPr>
              <w:jc w:val="center"/>
              <w:rPr>
                <w:rFonts w:ascii="Times New Roman" w:hAnsi="Times New Roman"/>
              </w:rPr>
            </w:pPr>
            <w:r w:rsidRPr="00890C68">
              <w:rPr>
                <w:rFonts w:ascii="Times New Roman" w:hAnsi="Times New Roman"/>
              </w:rPr>
              <w:t>0</w:t>
            </w:r>
          </w:p>
        </w:tc>
        <w:tc>
          <w:tcPr>
            <w:tcW w:w="683" w:type="dxa"/>
            <w:shd w:val="clear" w:color="auto" w:fill="FFFFFF"/>
          </w:tcPr>
          <w:p w:rsidR="00F85992" w:rsidRPr="00890C68" w:rsidRDefault="00F85992" w:rsidP="00F85992">
            <w:pPr>
              <w:jc w:val="center"/>
              <w:rPr>
                <w:rFonts w:ascii="Times New Roman" w:hAnsi="Times New Roman"/>
              </w:rPr>
            </w:pPr>
            <w:r w:rsidRPr="00890C68">
              <w:rPr>
                <w:rFonts w:ascii="Times New Roman" w:hAnsi="Times New Roman"/>
              </w:rPr>
              <w:t>0</w:t>
            </w:r>
          </w:p>
        </w:tc>
        <w:tc>
          <w:tcPr>
            <w:tcW w:w="683" w:type="dxa"/>
            <w:shd w:val="clear" w:color="auto" w:fill="FFFFFF"/>
          </w:tcPr>
          <w:p w:rsidR="00F85992" w:rsidRPr="00890C68" w:rsidRDefault="00F85992" w:rsidP="00F85992">
            <w:pPr>
              <w:jc w:val="center"/>
              <w:rPr>
                <w:rFonts w:ascii="Times New Roman" w:hAnsi="Times New Roman"/>
              </w:rPr>
            </w:pPr>
            <w:r w:rsidRPr="00890C68">
              <w:rPr>
                <w:rFonts w:ascii="Times New Roman" w:hAnsi="Times New Roman"/>
              </w:rPr>
              <w:t>0</w:t>
            </w:r>
          </w:p>
        </w:tc>
        <w:tc>
          <w:tcPr>
            <w:tcW w:w="683" w:type="dxa"/>
            <w:shd w:val="clear" w:color="auto" w:fill="FFFFFF"/>
          </w:tcPr>
          <w:p w:rsidR="00F85992" w:rsidRPr="00890C68" w:rsidRDefault="00F85992" w:rsidP="00F85992">
            <w:pPr>
              <w:jc w:val="center"/>
              <w:rPr>
                <w:rFonts w:ascii="Times New Roman" w:hAnsi="Times New Roman"/>
              </w:rPr>
            </w:pPr>
            <w:r w:rsidRPr="00890C68">
              <w:rPr>
                <w:rFonts w:ascii="Times New Roman" w:hAnsi="Times New Roman"/>
              </w:rPr>
              <w:t>0</w:t>
            </w:r>
          </w:p>
        </w:tc>
        <w:tc>
          <w:tcPr>
            <w:tcW w:w="683" w:type="dxa"/>
            <w:shd w:val="clear" w:color="auto" w:fill="FFFFFF"/>
          </w:tcPr>
          <w:p w:rsidR="00F85992" w:rsidRPr="00890C68" w:rsidRDefault="00F85992" w:rsidP="00F85992">
            <w:pPr>
              <w:jc w:val="center"/>
              <w:rPr>
                <w:rFonts w:ascii="Times New Roman" w:hAnsi="Times New Roman"/>
              </w:rPr>
            </w:pPr>
            <w:r w:rsidRPr="00890C68">
              <w:rPr>
                <w:rFonts w:ascii="Times New Roman" w:hAnsi="Times New Roman"/>
              </w:rPr>
              <w:t>0</w:t>
            </w:r>
          </w:p>
        </w:tc>
        <w:tc>
          <w:tcPr>
            <w:tcW w:w="683" w:type="dxa"/>
            <w:shd w:val="clear" w:color="auto" w:fill="FFFFFF"/>
          </w:tcPr>
          <w:p w:rsidR="00F85992" w:rsidRPr="00890C68" w:rsidRDefault="00F85992" w:rsidP="00F85992">
            <w:pPr>
              <w:jc w:val="center"/>
              <w:rPr>
                <w:rFonts w:ascii="Times New Roman" w:hAnsi="Times New Roman"/>
              </w:rPr>
            </w:pPr>
            <w:r w:rsidRPr="00890C68">
              <w:rPr>
                <w:rFonts w:ascii="Times New Roman" w:hAnsi="Times New Roman"/>
              </w:rPr>
              <w:t>0</w:t>
            </w:r>
          </w:p>
        </w:tc>
        <w:tc>
          <w:tcPr>
            <w:tcW w:w="683" w:type="dxa"/>
            <w:shd w:val="clear" w:color="auto" w:fill="FFFFFF"/>
          </w:tcPr>
          <w:p w:rsidR="00F85992" w:rsidRPr="00890C68" w:rsidRDefault="00F85992" w:rsidP="00F85992">
            <w:pPr>
              <w:jc w:val="center"/>
              <w:rPr>
                <w:rFonts w:ascii="Times New Roman" w:hAnsi="Times New Roman"/>
              </w:rPr>
            </w:pPr>
            <w:r w:rsidRPr="00890C68">
              <w:rPr>
                <w:rFonts w:ascii="Times New Roman" w:hAnsi="Times New Roman"/>
              </w:rPr>
              <w:t>0</w:t>
            </w:r>
          </w:p>
        </w:tc>
        <w:tc>
          <w:tcPr>
            <w:tcW w:w="683" w:type="dxa"/>
            <w:shd w:val="clear" w:color="auto" w:fill="FFFFFF"/>
          </w:tcPr>
          <w:p w:rsidR="00F85992" w:rsidRPr="00890C68" w:rsidRDefault="00F85992" w:rsidP="00F85992">
            <w:pPr>
              <w:jc w:val="center"/>
              <w:rPr>
                <w:rFonts w:ascii="Times New Roman" w:hAnsi="Times New Roman"/>
              </w:rPr>
            </w:pPr>
            <w:r w:rsidRPr="00890C68">
              <w:rPr>
                <w:rFonts w:ascii="Times New Roman" w:hAnsi="Times New Roman"/>
              </w:rPr>
              <w:t>0</w:t>
            </w:r>
          </w:p>
        </w:tc>
        <w:tc>
          <w:tcPr>
            <w:tcW w:w="1133" w:type="dxa"/>
            <w:shd w:val="clear" w:color="auto" w:fill="FFFFFF"/>
          </w:tcPr>
          <w:p w:rsidR="00F85992" w:rsidRPr="00890C68" w:rsidRDefault="00F85992" w:rsidP="00F85992">
            <w:pPr>
              <w:jc w:val="center"/>
              <w:rPr>
                <w:rFonts w:ascii="Times New Roman" w:hAnsi="Times New Roman"/>
              </w:rPr>
            </w:pPr>
            <w:r w:rsidRPr="00890C68">
              <w:rPr>
                <w:rFonts w:ascii="Times New Roman" w:hAnsi="Times New Roman"/>
              </w:rPr>
              <w:t>0</w:t>
            </w:r>
          </w:p>
        </w:tc>
      </w:tr>
      <w:tr w:rsidR="0057668E" w:rsidRPr="00890C68" w:rsidTr="00EB6523">
        <w:trPr>
          <w:trHeight w:val="360"/>
        </w:trPr>
        <w:tc>
          <w:tcPr>
            <w:tcW w:w="2127" w:type="dxa"/>
            <w:gridSpan w:val="2"/>
            <w:shd w:val="clear" w:color="auto" w:fill="FFFFFF"/>
            <w:vAlign w:val="center"/>
          </w:tcPr>
          <w:p w:rsidR="0057668E" w:rsidRPr="00890C68" w:rsidRDefault="0057668E" w:rsidP="00C53F26">
            <w:pPr>
              <w:spacing w:line="240" w:lineRule="auto"/>
              <w:rPr>
                <w:rFonts w:ascii="Times New Roman" w:hAnsi="Times New Roman"/>
                <w:color w:val="000000"/>
                <w:sz w:val="21"/>
                <w:szCs w:val="21"/>
              </w:rPr>
            </w:pPr>
            <w:r w:rsidRPr="00890C68">
              <w:rPr>
                <w:rFonts w:ascii="Times New Roman" w:hAnsi="Times New Roman"/>
                <w:b/>
                <w:color w:val="000000"/>
                <w:sz w:val="21"/>
                <w:szCs w:val="21"/>
              </w:rPr>
              <w:t>Saldo ogółem</w:t>
            </w:r>
          </w:p>
        </w:tc>
        <w:tc>
          <w:tcPr>
            <w:tcW w:w="967" w:type="dxa"/>
            <w:gridSpan w:val="2"/>
            <w:shd w:val="clear" w:color="auto" w:fill="FFFFFF"/>
            <w:vAlign w:val="center"/>
          </w:tcPr>
          <w:p w:rsidR="0057668E" w:rsidRPr="00890C68" w:rsidRDefault="002158A3" w:rsidP="006704B3">
            <w:pPr>
              <w:spacing w:line="240" w:lineRule="auto"/>
              <w:jc w:val="center"/>
              <w:rPr>
                <w:rFonts w:ascii="Times New Roman" w:hAnsi="Times New Roman"/>
                <w:color w:val="000000"/>
                <w:sz w:val="21"/>
                <w:szCs w:val="21"/>
              </w:rPr>
            </w:pPr>
            <w:r w:rsidRPr="00890C68">
              <w:rPr>
                <w:rFonts w:ascii="Times New Roman" w:hAnsi="Times New Roman"/>
                <w:color w:val="000000"/>
                <w:sz w:val="21"/>
                <w:szCs w:val="21"/>
              </w:rPr>
              <w:t>0</w:t>
            </w:r>
          </w:p>
        </w:tc>
        <w:tc>
          <w:tcPr>
            <w:tcW w:w="683" w:type="dxa"/>
            <w:shd w:val="clear" w:color="auto" w:fill="FFFFFF"/>
            <w:vAlign w:val="center"/>
          </w:tcPr>
          <w:p w:rsidR="0057668E" w:rsidRPr="00890C68" w:rsidRDefault="00206AF8" w:rsidP="006704B3">
            <w:pPr>
              <w:spacing w:line="240" w:lineRule="auto"/>
              <w:jc w:val="center"/>
              <w:rPr>
                <w:rFonts w:ascii="Times New Roman" w:hAnsi="Times New Roman"/>
                <w:color w:val="000000"/>
                <w:sz w:val="21"/>
                <w:szCs w:val="21"/>
              </w:rPr>
            </w:pPr>
            <w:r>
              <w:rPr>
                <w:rFonts w:ascii="Times New Roman" w:hAnsi="Times New Roman"/>
                <w:color w:val="000000"/>
                <w:sz w:val="21"/>
                <w:szCs w:val="21"/>
              </w:rPr>
              <w:t>-43</w:t>
            </w:r>
            <w:r w:rsidR="003519B1" w:rsidRPr="00890C68">
              <w:rPr>
                <w:rFonts w:ascii="Times New Roman" w:hAnsi="Times New Roman"/>
                <w:color w:val="000000"/>
                <w:sz w:val="21"/>
                <w:szCs w:val="21"/>
              </w:rPr>
              <w:t>3 399</w:t>
            </w:r>
          </w:p>
        </w:tc>
        <w:tc>
          <w:tcPr>
            <w:tcW w:w="683" w:type="dxa"/>
            <w:shd w:val="clear" w:color="auto" w:fill="FFFFFF"/>
            <w:vAlign w:val="center"/>
          </w:tcPr>
          <w:p w:rsidR="0057668E" w:rsidRPr="00890C68" w:rsidRDefault="00206AF8" w:rsidP="006704B3">
            <w:pPr>
              <w:spacing w:line="240" w:lineRule="auto"/>
              <w:jc w:val="center"/>
              <w:rPr>
                <w:rFonts w:ascii="Times New Roman" w:hAnsi="Times New Roman"/>
                <w:color w:val="000000"/>
                <w:sz w:val="21"/>
                <w:szCs w:val="21"/>
              </w:rPr>
            </w:pPr>
            <w:r>
              <w:rPr>
                <w:rFonts w:ascii="Times New Roman" w:hAnsi="Times New Roman"/>
                <w:color w:val="000000"/>
                <w:sz w:val="21"/>
                <w:szCs w:val="21"/>
              </w:rPr>
              <w:t>-41</w:t>
            </w:r>
            <w:r w:rsidR="003519B1" w:rsidRPr="00890C68">
              <w:rPr>
                <w:rFonts w:ascii="Times New Roman" w:hAnsi="Times New Roman"/>
                <w:color w:val="000000"/>
                <w:sz w:val="21"/>
                <w:szCs w:val="21"/>
              </w:rPr>
              <w:t>3 139</w:t>
            </w:r>
          </w:p>
        </w:tc>
        <w:tc>
          <w:tcPr>
            <w:tcW w:w="683" w:type="dxa"/>
            <w:shd w:val="clear" w:color="auto" w:fill="FFFFFF"/>
            <w:vAlign w:val="center"/>
          </w:tcPr>
          <w:p w:rsidR="0057668E" w:rsidRPr="00890C68" w:rsidRDefault="00206AF8" w:rsidP="006704B3">
            <w:pPr>
              <w:spacing w:line="240" w:lineRule="auto"/>
              <w:jc w:val="center"/>
              <w:rPr>
                <w:rFonts w:ascii="Times New Roman" w:hAnsi="Times New Roman"/>
                <w:color w:val="000000"/>
                <w:sz w:val="21"/>
                <w:szCs w:val="21"/>
              </w:rPr>
            </w:pPr>
            <w:r>
              <w:rPr>
                <w:rFonts w:ascii="Times New Roman" w:hAnsi="Times New Roman"/>
                <w:color w:val="000000"/>
                <w:sz w:val="21"/>
                <w:szCs w:val="21"/>
              </w:rPr>
              <w:t>-42</w:t>
            </w:r>
            <w:r w:rsidR="003519B1" w:rsidRPr="00890C68">
              <w:rPr>
                <w:rFonts w:ascii="Times New Roman" w:hAnsi="Times New Roman"/>
                <w:color w:val="000000"/>
                <w:sz w:val="21"/>
                <w:szCs w:val="21"/>
              </w:rPr>
              <w:t>3 260</w:t>
            </w:r>
          </w:p>
        </w:tc>
        <w:tc>
          <w:tcPr>
            <w:tcW w:w="683" w:type="dxa"/>
            <w:shd w:val="clear" w:color="auto" w:fill="FFFFFF"/>
            <w:vAlign w:val="center"/>
          </w:tcPr>
          <w:p w:rsidR="0057668E" w:rsidRPr="00890C68" w:rsidRDefault="00206AF8" w:rsidP="003519B1">
            <w:pPr>
              <w:spacing w:line="240" w:lineRule="auto"/>
              <w:jc w:val="center"/>
              <w:rPr>
                <w:rFonts w:ascii="Times New Roman" w:hAnsi="Times New Roman"/>
                <w:color w:val="000000"/>
                <w:sz w:val="21"/>
                <w:szCs w:val="21"/>
              </w:rPr>
            </w:pPr>
            <w:r>
              <w:rPr>
                <w:rFonts w:ascii="Times New Roman" w:hAnsi="Times New Roman"/>
                <w:color w:val="000000"/>
                <w:sz w:val="21"/>
                <w:szCs w:val="21"/>
              </w:rPr>
              <w:t>-43</w:t>
            </w:r>
            <w:r w:rsidR="003519B1" w:rsidRPr="00890C68">
              <w:rPr>
                <w:rFonts w:ascii="Times New Roman" w:hAnsi="Times New Roman"/>
                <w:color w:val="000000"/>
                <w:sz w:val="21"/>
                <w:szCs w:val="21"/>
              </w:rPr>
              <w:t>3 679</w:t>
            </w:r>
          </w:p>
        </w:tc>
        <w:tc>
          <w:tcPr>
            <w:tcW w:w="683" w:type="dxa"/>
            <w:shd w:val="clear" w:color="auto" w:fill="FFFFFF"/>
            <w:vAlign w:val="center"/>
          </w:tcPr>
          <w:p w:rsidR="0057668E" w:rsidRPr="00890C68" w:rsidRDefault="00206AF8" w:rsidP="003519B1">
            <w:pPr>
              <w:spacing w:line="240" w:lineRule="auto"/>
              <w:jc w:val="center"/>
              <w:rPr>
                <w:rFonts w:ascii="Times New Roman" w:hAnsi="Times New Roman"/>
                <w:color w:val="000000"/>
                <w:sz w:val="21"/>
                <w:szCs w:val="21"/>
              </w:rPr>
            </w:pPr>
            <w:r>
              <w:rPr>
                <w:rFonts w:ascii="Times New Roman" w:hAnsi="Times New Roman"/>
                <w:color w:val="000000"/>
                <w:sz w:val="21"/>
                <w:szCs w:val="21"/>
              </w:rPr>
              <w:t>-45</w:t>
            </w:r>
            <w:r w:rsidR="003519B1" w:rsidRPr="00890C68">
              <w:rPr>
                <w:rFonts w:ascii="Times New Roman" w:hAnsi="Times New Roman"/>
                <w:color w:val="000000"/>
                <w:sz w:val="21"/>
                <w:szCs w:val="21"/>
              </w:rPr>
              <w:t>3 627</w:t>
            </w:r>
          </w:p>
        </w:tc>
        <w:tc>
          <w:tcPr>
            <w:tcW w:w="683" w:type="dxa"/>
            <w:shd w:val="clear" w:color="auto" w:fill="FFFFFF"/>
            <w:vAlign w:val="center"/>
          </w:tcPr>
          <w:p w:rsidR="0057668E" w:rsidRPr="00890C68" w:rsidRDefault="00206AF8" w:rsidP="006704B3">
            <w:pPr>
              <w:spacing w:line="240" w:lineRule="auto"/>
              <w:jc w:val="center"/>
              <w:rPr>
                <w:rFonts w:ascii="Times New Roman" w:hAnsi="Times New Roman"/>
                <w:color w:val="000000"/>
                <w:sz w:val="21"/>
                <w:szCs w:val="21"/>
              </w:rPr>
            </w:pPr>
            <w:r>
              <w:rPr>
                <w:rFonts w:ascii="Times New Roman" w:hAnsi="Times New Roman"/>
                <w:color w:val="000000"/>
                <w:sz w:val="21"/>
                <w:szCs w:val="21"/>
              </w:rPr>
              <w:t>-46</w:t>
            </w:r>
            <w:r w:rsidR="003519B1" w:rsidRPr="00890C68">
              <w:rPr>
                <w:rFonts w:ascii="Times New Roman" w:hAnsi="Times New Roman"/>
                <w:color w:val="000000"/>
                <w:sz w:val="21"/>
                <w:szCs w:val="21"/>
              </w:rPr>
              <w:t>0 091</w:t>
            </w:r>
          </w:p>
        </w:tc>
        <w:tc>
          <w:tcPr>
            <w:tcW w:w="683" w:type="dxa"/>
            <w:shd w:val="clear" w:color="auto" w:fill="FFFFFF"/>
            <w:vAlign w:val="center"/>
          </w:tcPr>
          <w:p w:rsidR="0057668E" w:rsidRPr="00890C68" w:rsidRDefault="003519B1" w:rsidP="006704B3">
            <w:pPr>
              <w:spacing w:line="240" w:lineRule="auto"/>
              <w:jc w:val="center"/>
              <w:rPr>
                <w:rFonts w:ascii="Times New Roman" w:hAnsi="Times New Roman"/>
                <w:color w:val="000000"/>
                <w:sz w:val="21"/>
                <w:szCs w:val="21"/>
              </w:rPr>
            </w:pPr>
            <w:r w:rsidRPr="00890C68">
              <w:rPr>
                <w:rFonts w:ascii="Times New Roman" w:hAnsi="Times New Roman"/>
                <w:color w:val="000000"/>
                <w:sz w:val="21"/>
                <w:szCs w:val="21"/>
              </w:rPr>
              <w:t>-620 627</w:t>
            </w:r>
          </w:p>
        </w:tc>
        <w:tc>
          <w:tcPr>
            <w:tcW w:w="683" w:type="dxa"/>
            <w:shd w:val="clear" w:color="auto" w:fill="FFFFFF"/>
            <w:vAlign w:val="center"/>
          </w:tcPr>
          <w:p w:rsidR="0057668E" w:rsidRPr="00890C68" w:rsidRDefault="00206AF8" w:rsidP="006704B3">
            <w:pPr>
              <w:spacing w:line="240" w:lineRule="auto"/>
              <w:jc w:val="center"/>
              <w:rPr>
                <w:rFonts w:ascii="Times New Roman" w:hAnsi="Times New Roman"/>
                <w:color w:val="000000"/>
                <w:sz w:val="21"/>
                <w:szCs w:val="21"/>
              </w:rPr>
            </w:pPr>
            <w:r>
              <w:rPr>
                <w:rFonts w:ascii="Times New Roman" w:hAnsi="Times New Roman"/>
                <w:color w:val="000000"/>
                <w:sz w:val="21"/>
                <w:szCs w:val="21"/>
              </w:rPr>
              <w:t>-48</w:t>
            </w:r>
            <w:r w:rsidR="003519B1" w:rsidRPr="00890C68">
              <w:rPr>
                <w:rFonts w:ascii="Times New Roman" w:hAnsi="Times New Roman"/>
                <w:color w:val="000000"/>
                <w:sz w:val="21"/>
                <w:szCs w:val="21"/>
              </w:rPr>
              <w:t>1 406</w:t>
            </w:r>
          </w:p>
        </w:tc>
        <w:tc>
          <w:tcPr>
            <w:tcW w:w="683" w:type="dxa"/>
            <w:shd w:val="clear" w:color="auto" w:fill="FFFFFF"/>
            <w:vAlign w:val="center"/>
          </w:tcPr>
          <w:p w:rsidR="0057668E" w:rsidRPr="00890C68" w:rsidRDefault="00206AF8" w:rsidP="006704B3">
            <w:pPr>
              <w:spacing w:line="240" w:lineRule="auto"/>
              <w:jc w:val="center"/>
              <w:rPr>
                <w:rFonts w:ascii="Times New Roman" w:hAnsi="Times New Roman"/>
                <w:color w:val="000000"/>
                <w:sz w:val="21"/>
                <w:szCs w:val="21"/>
              </w:rPr>
            </w:pPr>
            <w:r>
              <w:rPr>
                <w:rFonts w:ascii="Times New Roman" w:hAnsi="Times New Roman"/>
                <w:color w:val="000000"/>
                <w:sz w:val="21"/>
                <w:szCs w:val="21"/>
              </w:rPr>
              <w:t>-49</w:t>
            </w:r>
            <w:r w:rsidR="003519B1" w:rsidRPr="00890C68">
              <w:rPr>
                <w:rFonts w:ascii="Times New Roman" w:hAnsi="Times New Roman"/>
                <w:color w:val="000000"/>
                <w:sz w:val="21"/>
                <w:szCs w:val="21"/>
              </w:rPr>
              <w:t>2 433</w:t>
            </w:r>
          </w:p>
        </w:tc>
        <w:tc>
          <w:tcPr>
            <w:tcW w:w="683" w:type="dxa"/>
            <w:shd w:val="clear" w:color="auto" w:fill="FFFFFF"/>
            <w:vAlign w:val="center"/>
          </w:tcPr>
          <w:p w:rsidR="0057668E" w:rsidRPr="00890C68" w:rsidRDefault="00206AF8" w:rsidP="006704B3">
            <w:pPr>
              <w:spacing w:line="240" w:lineRule="auto"/>
              <w:jc w:val="center"/>
              <w:rPr>
                <w:rFonts w:ascii="Times New Roman" w:hAnsi="Times New Roman"/>
                <w:color w:val="000000"/>
                <w:sz w:val="21"/>
                <w:szCs w:val="21"/>
              </w:rPr>
            </w:pPr>
            <w:r>
              <w:rPr>
                <w:rFonts w:ascii="Times New Roman" w:hAnsi="Times New Roman"/>
                <w:color w:val="000000"/>
                <w:sz w:val="21"/>
                <w:szCs w:val="21"/>
              </w:rPr>
              <w:t>-50</w:t>
            </w:r>
            <w:r w:rsidR="003519B1" w:rsidRPr="00890C68">
              <w:rPr>
                <w:rFonts w:ascii="Times New Roman" w:hAnsi="Times New Roman"/>
                <w:color w:val="000000"/>
                <w:sz w:val="21"/>
                <w:szCs w:val="21"/>
              </w:rPr>
              <w:t>3 712</w:t>
            </w:r>
          </w:p>
        </w:tc>
        <w:tc>
          <w:tcPr>
            <w:tcW w:w="1133" w:type="dxa"/>
            <w:shd w:val="clear" w:color="auto" w:fill="FFFFFF"/>
            <w:vAlign w:val="center"/>
          </w:tcPr>
          <w:p w:rsidR="0057668E" w:rsidRPr="00890C68" w:rsidRDefault="00641996" w:rsidP="003519B1">
            <w:pPr>
              <w:spacing w:line="240" w:lineRule="auto"/>
              <w:jc w:val="center"/>
              <w:rPr>
                <w:rFonts w:ascii="Times New Roman" w:hAnsi="Times New Roman"/>
                <w:b/>
                <w:color w:val="000000"/>
                <w:sz w:val="21"/>
                <w:szCs w:val="21"/>
              </w:rPr>
            </w:pPr>
            <w:r w:rsidRPr="00890C68">
              <w:rPr>
                <w:rFonts w:ascii="Times New Roman" w:hAnsi="Times New Roman"/>
                <w:b/>
                <w:color w:val="000000"/>
                <w:sz w:val="21"/>
                <w:szCs w:val="21"/>
              </w:rPr>
              <w:t>-</w:t>
            </w:r>
            <w:r w:rsidR="00206AF8">
              <w:rPr>
                <w:rFonts w:ascii="Times New Roman" w:hAnsi="Times New Roman"/>
                <w:b/>
                <w:color w:val="000000"/>
                <w:sz w:val="21"/>
                <w:szCs w:val="21"/>
              </w:rPr>
              <w:t>4 5</w:t>
            </w:r>
            <w:r w:rsidR="003519B1" w:rsidRPr="00890C68">
              <w:rPr>
                <w:rFonts w:ascii="Times New Roman" w:hAnsi="Times New Roman"/>
                <w:b/>
                <w:color w:val="000000"/>
                <w:sz w:val="21"/>
                <w:szCs w:val="21"/>
              </w:rPr>
              <w:t>65 373</w:t>
            </w:r>
          </w:p>
        </w:tc>
      </w:tr>
      <w:tr w:rsidR="00A37257" w:rsidRPr="00890C68" w:rsidTr="00EB6523">
        <w:trPr>
          <w:trHeight w:val="360"/>
        </w:trPr>
        <w:tc>
          <w:tcPr>
            <w:tcW w:w="2127" w:type="dxa"/>
            <w:gridSpan w:val="2"/>
            <w:shd w:val="clear" w:color="auto" w:fill="FFFFFF"/>
            <w:vAlign w:val="center"/>
          </w:tcPr>
          <w:p w:rsidR="00A37257" w:rsidRPr="00890C68" w:rsidRDefault="00A37257" w:rsidP="00A37257">
            <w:pPr>
              <w:spacing w:line="240" w:lineRule="auto"/>
              <w:rPr>
                <w:rFonts w:ascii="Times New Roman" w:hAnsi="Times New Roman"/>
                <w:color w:val="000000"/>
                <w:sz w:val="21"/>
                <w:szCs w:val="21"/>
              </w:rPr>
            </w:pPr>
            <w:r w:rsidRPr="00890C68">
              <w:rPr>
                <w:rFonts w:ascii="Times New Roman" w:hAnsi="Times New Roman"/>
                <w:color w:val="000000"/>
                <w:sz w:val="21"/>
                <w:szCs w:val="21"/>
              </w:rPr>
              <w:t>budżet państwa</w:t>
            </w:r>
          </w:p>
        </w:tc>
        <w:tc>
          <w:tcPr>
            <w:tcW w:w="967" w:type="dxa"/>
            <w:gridSpan w:val="2"/>
            <w:shd w:val="clear" w:color="auto" w:fill="FFFFFF"/>
            <w:vAlign w:val="center"/>
          </w:tcPr>
          <w:p w:rsidR="00A37257" w:rsidRPr="00890C68" w:rsidRDefault="00A37257" w:rsidP="006704B3">
            <w:pPr>
              <w:spacing w:line="240" w:lineRule="auto"/>
              <w:jc w:val="center"/>
              <w:rPr>
                <w:rFonts w:ascii="Times New Roman" w:hAnsi="Times New Roman"/>
                <w:color w:val="000000"/>
                <w:sz w:val="21"/>
                <w:szCs w:val="21"/>
              </w:rPr>
            </w:pPr>
            <w:r w:rsidRPr="00890C68">
              <w:rPr>
                <w:rFonts w:ascii="Times New Roman" w:hAnsi="Times New Roman"/>
                <w:color w:val="000000"/>
                <w:sz w:val="21"/>
                <w:szCs w:val="21"/>
              </w:rPr>
              <w:t>0</w:t>
            </w:r>
          </w:p>
        </w:tc>
        <w:tc>
          <w:tcPr>
            <w:tcW w:w="683" w:type="dxa"/>
            <w:shd w:val="clear" w:color="auto" w:fill="FFFFFF"/>
            <w:vAlign w:val="center"/>
          </w:tcPr>
          <w:p w:rsidR="00A37257" w:rsidRPr="00890C68" w:rsidRDefault="00206AF8" w:rsidP="006704B3">
            <w:pPr>
              <w:spacing w:line="240" w:lineRule="auto"/>
              <w:jc w:val="center"/>
              <w:rPr>
                <w:rFonts w:ascii="Times New Roman" w:hAnsi="Times New Roman"/>
                <w:color w:val="000000"/>
                <w:sz w:val="21"/>
                <w:szCs w:val="21"/>
              </w:rPr>
            </w:pPr>
            <w:r>
              <w:rPr>
                <w:rFonts w:ascii="Times New Roman" w:hAnsi="Times New Roman"/>
                <w:color w:val="000000"/>
                <w:sz w:val="21"/>
                <w:szCs w:val="21"/>
              </w:rPr>
              <w:t>-43</w:t>
            </w:r>
            <w:r w:rsidR="003519B1" w:rsidRPr="00890C68">
              <w:rPr>
                <w:rFonts w:ascii="Times New Roman" w:hAnsi="Times New Roman"/>
                <w:color w:val="000000"/>
                <w:sz w:val="21"/>
                <w:szCs w:val="21"/>
              </w:rPr>
              <w:t>3 399</w:t>
            </w:r>
          </w:p>
        </w:tc>
        <w:tc>
          <w:tcPr>
            <w:tcW w:w="683" w:type="dxa"/>
            <w:shd w:val="clear" w:color="auto" w:fill="FFFFFF"/>
            <w:vAlign w:val="center"/>
          </w:tcPr>
          <w:p w:rsidR="00A37257" w:rsidRPr="00890C68" w:rsidRDefault="00206AF8" w:rsidP="006704B3">
            <w:pPr>
              <w:spacing w:line="240" w:lineRule="auto"/>
              <w:jc w:val="center"/>
              <w:rPr>
                <w:rFonts w:ascii="Times New Roman" w:hAnsi="Times New Roman"/>
                <w:color w:val="000000"/>
                <w:sz w:val="21"/>
                <w:szCs w:val="21"/>
              </w:rPr>
            </w:pPr>
            <w:r>
              <w:rPr>
                <w:rFonts w:ascii="Times New Roman" w:hAnsi="Times New Roman"/>
                <w:color w:val="000000"/>
                <w:sz w:val="21"/>
                <w:szCs w:val="21"/>
              </w:rPr>
              <w:t>-41</w:t>
            </w:r>
            <w:r w:rsidR="003519B1" w:rsidRPr="00890C68">
              <w:rPr>
                <w:rFonts w:ascii="Times New Roman" w:hAnsi="Times New Roman"/>
                <w:color w:val="000000"/>
                <w:sz w:val="21"/>
                <w:szCs w:val="21"/>
              </w:rPr>
              <w:t>3 139</w:t>
            </w:r>
          </w:p>
        </w:tc>
        <w:tc>
          <w:tcPr>
            <w:tcW w:w="683" w:type="dxa"/>
            <w:shd w:val="clear" w:color="auto" w:fill="FFFFFF"/>
            <w:vAlign w:val="center"/>
          </w:tcPr>
          <w:p w:rsidR="00A37257" w:rsidRPr="00890C68" w:rsidRDefault="00206AF8" w:rsidP="006704B3">
            <w:pPr>
              <w:spacing w:line="240" w:lineRule="auto"/>
              <w:jc w:val="center"/>
              <w:rPr>
                <w:rFonts w:ascii="Times New Roman" w:hAnsi="Times New Roman"/>
                <w:color w:val="000000"/>
                <w:sz w:val="21"/>
                <w:szCs w:val="21"/>
              </w:rPr>
            </w:pPr>
            <w:r>
              <w:rPr>
                <w:rFonts w:ascii="Times New Roman" w:hAnsi="Times New Roman"/>
                <w:color w:val="000000"/>
                <w:sz w:val="21"/>
                <w:szCs w:val="21"/>
              </w:rPr>
              <w:t>-42</w:t>
            </w:r>
            <w:r w:rsidR="003519B1" w:rsidRPr="00890C68">
              <w:rPr>
                <w:rFonts w:ascii="Times New Roman" w:hAnsi="Times New Roman"/>
                <w:color w:val="000000"/>
                <w:sz w:val="21"/>
                <w:szCs w:val="21"/>
              </w:rPr>
              <w:t>3 260</w:t>
            </w:r>
          </w:p>
        </w:tc>
        <w:tc>
          <w:tcPr>
            <w:tcW w:w="683" w:type="dxa"/>
            <w:shd w:val="clear" w:color="auto" w:fill="FFFFFF"/>
            <w:vAlign w:val="center"/>
          </w:tcPr>
          <w:p w:rsidR="00A37257" w:rsidRPr="00890C68" w:rsidRDefault="00206AF8" w:rsidP="006704B3">
            <w:pPr>
              <w:spacing w:line="240" w:lineRule="auto"/>
              <w:jc w:val="center"/>
              <w:rPr>
                <w:rFonts w:ascii="Times New Roman" w:hAnsi="Times New Roman"/>
                <w:color w:val="000000"/>
                <w:sz w:val="21"/>
                <w:szCs w:val="21"/>
              </w:rPr>
            </w:pPr>
            <w:r>
              <w:rPr>
                <w:rFonts w:ascii="Times New Roman" w:hAnsi="Times New Roman"/>
                <w:color w:val="000000"/>
                <w:sz w:val="21"/>
                <w:szCs w:val="21"/>
              </w:rPr>
              <w:t>-43</w:t>
            </w:r>
            <w:r w:rsidR="003519B1" w:rsidRPr="00890C68">
              <w:rPr>
                <w:rFonts w:ascii="Times New Roman" w:hAnsi="Times New Roman"/>
                <w:color w:val="000000"/>
                <w:sz w:val="21"/>
                <w:szCs w:val="21"/>
              </w:rPr>
              <w:t>3 679</w:t>
            </w:r>
          </w:p>
        </w:tc>
        <w:tc>
          <w:tcPr>
            <w:tcW w:w="683" w:type="dxa"/>
            <w:shd w:val="clear" w:color="auto" w:fill="FFFFFF"/>
            <w:vAlign w:val="center"/>
          </w:tcPr>
          <w:p w:rsidR="00A37257" w:rsidRPr="00890C68" w:rsidRDefault="00206AF8" w:rsidP="006704B3">
            <w:pPr>
              <w:spacing w:line="240" w:lineRule="auto"/>
              <w:jc w:val="center"/>
              <w:rPr>
                <w:rFonts w:ascii="Times New Roman" w:hAnsi="Times New Roman"/>
                <w:color w:val="000000"/>
                <w:sz w:val="21"/>
                <w:szCs w:val="21"/>
              </w:rPr>
            </w:pPr>
            <w:r>
              <w:rPr>
                <w:rFonts w:ascii="Times New Roman" w:hAnsi="Times New Roman"/>
                <w:color w:val="000000"/>
                <w:sz w:val="21"/>
                <w:szCs w:val="21"/>
              </w:rPr>
              <w:t>-45</w:t>
            </w:r>
            <w:r w:rsidR="003519B1" w:rsidRPr="00890C68">
              <w:rPr>
                <w:rFonts w:ascii="Times New Roman" w:hAnsi="Times New Roman"/>
                <w:color w:val="000000"/>
                <w:sz w:val="21"/>
                <w:szCs w:val="21"/>
              </w:rPr>
              <w:t>3 627</w:t>
            </w:r>
          </w:p>
        </w:tc>
        <w:tc>
          <w:tcPr>
            <w:tcW w:w="683" w:type="dxa"/>
            <w:shd w:val="clear" w:color="auto" w:fill="FFFFFF"/>
            <w:vAlign w:val="center"/>
          </w:tcPr>
          <w:p w:rsidR="00A37257" w:rsidRPr="00890C68" w:rsidRDefault="00206AF8" w:rsidP="006704B3">
            <w:pPr>
              <w:spacing w:line="240" w:lineRule="auto"/>
              <w:jc w:val="center"/>
              <w:rPr>
                <w:rFonts w:ascii="Times New Roman" w:hAnsi="Times New Roman"/>
                <w:color w:val="000000"/>
                <w:sz w:val="21"/>
                <w:szCs w:val="21"/>
              </w:rPr>
            </w:pPr>
            <w:r>
              <w:rPr>
                <w:rFonts w:ascii="Times New Roman" w:hAnsi="Times New Roman"/>
                <w:color w:val="000000"/>
                <w:sz w:val="21"/>
                <w:szCs w:val="21"/>
              </w:rPr>
              <w:t>-46</w:t>
            </w:r>
            <w:r w:rsidR="003519B1" w:rsidRPr="00890C68">
              <w:rPr>
                <w:rFonts w:ascii="Times New Roman" w:hAnsi="Times New Roman"/>
                <w:color w:val="000000"/>
                <w:sz w:val="21"/>
                <w:szCs w:val="21"/>
              </w:rPr>
              <w:t>0 091</w:t>
            </w:r>
          </w:p>
        </w:tc>
        <w:tc>
          <w:tcPr>
            <w:tcW w:w="683" w:type="dxa"/>
            <w:shd w:val="clear" w:color="auto" w:fill="FFFFFF"/>
            <w:vAlign w:val="center"/>
          </w:tcPr>
          <w:p w:rsidR="00A37257" w:rsidRPr="00890C68" w:rsidRDefault="003519B1" w:rsidP="006704B3">
            <w:pPr>
              <w:spacing w:line="240" w:lineRule="auto"/>
              <w:jc w:val="center"/>
              <w:rPr>
                <w:rFonts w:ascii="Times New Roman" w:hAnsi="Times New Roman"/>
                <w:color w:val="000000"/>
                <w:sz w:val="21"/>
                <w:szCs w:val="21"/>
              </w:rPr>
            </w:pPr>
            <w:r w:rsidRPr="00890C68">
              <w:rPr>
                <w:rFonts w:ascii="Times New Roman" w:hAnsi="Times New Roman"/>
                <w:color w:val="000000"/>
                <w:sz w:val="21"/>
                <w:szCs w:val="21"/>
              </w:rPr>
              <w:t>-620 627</w:t>
            </w:r>
          </w:p>
        </w:tc>
        <w:tc>
          <w:tcPr>
            <w:tcW w:w="683" w:type="dxa"/>
            <w:shd w:val="clear" w:color="auto" w:fill="FFFFFF"/>
            <w:vAlign w:val="center"/>
          </w:tcPr>
          <w:p w:rsidR="00A37257" w:rsidRPr="00890C68" w:rsidRDefault="00206AF8" w:rsidP="006704B3">
            <w:pPr>
              <w:spacing w:line="240" w:lineRule="auto"/>
              <w:jc w:val="center"/>
              <w:rPr>
                <w:rFonts w:ascii="Times New Roman" w:hAnsi="Times New Roman"/>
                <w:color w:val="000000"/>
                <w:sz w:val="21"/>
                <w:szCs w:val="21"/>
              </w:rPr>
            </w:pPr>
            <w:r>
              <w:rPr>
                <w:rFonts w:ascii="Times New Roman" w:hAnsi="Times New Roman"/>
                <w:color w:val="000000"/>
                <w:sz w:val="21"/>
                <w:szCs w:val="21"/>
              </w:rPr>
              <w:t>-48</w:t>
            </w:r>
            <w:r w:rsidR="003519B1" w:rsidRPr="00890C68">
              <w:rPr>
                <w:rFonts w:ascii="Times New Roman" w:hAnsi="Times New Roman"/>
                <w:color w:val="000000"/>
                <w:sz w:val="21"/>
                <w:szCs w:val="21"/>
              </w:rPr>
              <w:t>1 406</w:t>
            </w:r>
          </w:p>
        </w:tc>
        <w:tc>
          <w:tcPr>
            <w:tcW w:w="683" w:type="dxa"/>
            <w:shd w:val="clear" w:color="auto" w:fill="FFFFFF"/>
            <w:vAlign w:val="center"/>
          </w:tcPr>
          <w:p w:rsidR="00A37257" w:rsidRPr="00890C68" w:rsidRDefault="00206AF8" w:rsidP="006704B3">
            <w:pPr>
              <w:spacing w:line="240" w:lineRule="auto"/>
              <w:jc w:val="center"/>
              <w:rPr>
                <w:rFonts w:ascii="Times New Roman" w:hAnsi="Times New Roman"/>
                <w:color w:val="000000"/>
                <w:sz w:val="21"/>
                <w:szCs w:val="21"/>
              </w:rPr>
            </w:pPr>
            <w:r>
              <w:rPr>
                <w:rFonts w:ascii="Times New Roman" w:hAnsi="Times New Roman"/>
                <w:color w:val="000000"/>
                <w:sz w:val="21"/>
                <w:szCs w:val="21"/>
              </w:rPr>
              <w:t>-49</w:t>
            </w:r>
            <w:r w:rsidR="003519B1" w:rsidRPr="00890C68">
              <w:rPr>
                <w:rFonts w:ascii="Times New Roman" w:hAnsi="Times New Roman"/>
                <w:color w:val="000000"/>
                <w:sz w:val="21"/>
                <w:szCs w:val="21"/>
              </w:rPr>
              <w:t>2 433</w:t>
            </w:r>
          </w:p>
        </w:tc>
        <w:tc>
          <w:tcPr>
            <w:tcW w:w="683" w:type="dxa"/>
            <w:shd w:val="clear" w:color="auto" w:fill="FFFFFF"/>
            <w:vAlign w:val="center"/>
          </w:tcPr>
          <w:p w:rsidR="00A37257" w:rsidRPr="00890C68" w:rsidRDefault="00206AF8" w:rsidP="006704B3">
            <w:pPr>
              <w:spacing w:line="240" w:lineRule="auto"/>
              <w:jc w:val="center"/>
              <w:rPr>
                <w:rFonts w:ascii="Times New Roman" w:hAnsi="Times New Roman"/>
                <w:color w:val="000000"/>
                <w:sz w:val="21"/>
                <w:szCs w:val="21"/>
              </w:rPr>
            </w:pPr>
            <w:r>
              <w:rPr>
                <w:rFonts w:ascii="Times New Roman" w:hAnsi="Times New Roman"/>
                <w:color w:val="000000"/>
                <w:sz w:val="21"/>
                <w:szCs w:val="21"/>
              </w:rPr>
              <w:t>-50</w:t>
            </w:r>
            <w:r w:rsidR="003519B1" w:rsidRPr="00890C68">
              <w:rPr>
                <w:rFonts w:ascii="Times New Roman" w:hAnsi="Times New Roman"/>
                <w:color w:val="000000"/>
                <w:sz w:val="21"/>
                <w:szCs w:val="21"/>
              </w:rPr>
              <w:t>3 712</w:t>
            </w:r>
          </w:p>
        </w:tc>
        <w:tc>
          <w:tcPr>
            <w:tcW w:w="1133" w:type="dxa"/>
            <w:shd w:val="clear" w:color="auto" w:fill="FFFFFF"/>
            <w:vAlign w:val="center"/>
          </w:tcPr>
          <w:p w:rsidR="00A37257" w:rsidRPr="00890C68" w:rsidRDefault="00641996" w:rsidP="006704B3">
            <w:pPr>
              <w:spacing w:line="240" w:lineRule="auto"/>
              <w:jc w:val="center"/>
              <w:rPr>
                <w:rFonts w:ascii="Times New Roman" w:hAnsi="Times New Roman"/>
                <w:b/>
                <w:color w:val="000000"/>
                <w:sz w:val="21"/>
                <w:szCs w:val="21"/>
              </w:rPr>
            </w:pPr>
            <w:r w:rsidRPr="00890C68">
              <w:rPr>
                <w:rFonts w:ascii="Times New Roman" w:hAnsi="Times New Roman"/>
                <w:b/>
                <w:color w:val="000000"/>
                <w:sz w:val="21"/>
                <w:szCs w:val="21"/>
              </w:rPr>
              <w:t>-</w:t>
            </w:r>
            <w:r w:rsidR="00206AF8">
              <w:rPr>
                <w:rFonts w:ascii="Times New Roman" w:hAnsi="Times New Roman"/>
                <w:b/>
                <w:color w:val="000000"/>
                <w:sz w:val="21"/>
                <w:szCs w:val="21"/>
              </w:rPr>
              <w:t>4 5</w:t>
            </w:r>
            <w:r w:rsidR="003519B1" w:rsidRPr="00890C68">
              <w:rPr>
                <w:rFonts w:ascii="Times New Roman" w:hAnsi="Times New Roman"/>
                <w:b/>
                <w:color w:val="000000"/>
                <w:sz w:val="21"/>
                <w:szCs w:val="21"/>
              </w:rPr>
              <w:t>65 373</w:t>
            </w:r>
          </w:p>
        </w:tc>
      </w:tr>
      <w:tr w:rsidR="00F85992" w:rsidRPr="00890C68" w:rsidTr="00997FE7">
        <w:trPr>
          <w:trHeight w:val="357"/>
        </w:trPr>
        <w:tc>
          <w:tcPr>
            <w:tcW w:w="2127" w:type="dxa"/>
            <w:gridSpan w:val="2"/>
            <w:shd w:val="clear" w:color="auto" w:fill="FFFFFF"/>
            <w:vAlign w:val="center"/>
          </w:tcPr>
          <w:p w:rsidR="00F85992" w:rsidRPr="00890C68" w:rsidRDefault="00F85992" w:rsidP="00F85992">
            <w:pPr>
              <w:spacing w:line="240" w:lineRule="auto"/>
              <w:rPr>
                <w:rFonts w:ascii="Times New Roman" w:hAnsi="Times New Roman"/>
                <w:color w:val="000000"/>
                <w:sz w:val="21"/>
                <w:szCs w:val="21"/>
              </w:rPr>
            </w:pPr>
            <w:r w:rsidRPr="00890C68">
              <w:rPr>
                <w:rFonts w:ascii="Times New Roman" w:hAnsi="Times New Roman"/>
                <w:color w:val="000000"/>
                <w:sz w:val="21"/>
                <w:szCs w:val="21"/>
              </w:rPr>
              <w:t>JST</w:t>
            </w:r>
          </w:p>
        </w:tc>
        <w:tc>
          <w:tcPr>
            <w:tcW w:w="967" w:type="dxa"/>
            <w:gridSpan w:val="2"/>
            <w:shd w:val="clear" w:color="auto" w:fill="FFFFFF"/>
          </w:tcPr>
          <w:p w:rsidR="00F85992" w:rsidRPr="00890C68" w:rsidRDefault="00F85992" w:rsidP="00F85992">
            <w:pPr>
              <w:jc w:val="center"/>
              <w:rPr>
                <w:rFonts w:ascii="Times New Roman" w:hAnsi="Times New Roman"/>
              </w:rPr>
            </w:pPr>
            <w:r w:rsidRPr="00890C68">
              <w:rPr>
                <w:rFonts w:ascii="Times New Roman" w:hAnsi="Times New Roman"/>
              </w:rPr>
              <w:t>0</w:t>
            </w:r>
          </w:p>
        </w:tc>
        <w:tc>
          <w:tcPr>
            <w:tcW w:w="683" w:type="dxa"/>
            <w:shd w:val="clear" w:color="auto" w:fill="FFFFFF"/>
          </w:tcPr>
          <w:p w:rsidR="00F85992" w:rsidRPr="00890C68" w:rsidRDefault="00F85992" w:rsidP="00F85992">
            <w:pPr>
              <w:jc w:val="center"/>
              <w:rPr>
                <w:rFonts w:ascii="Times New Roman" w:hAnsi="Times New Roman"/>
              </w:rPr>
            </w:pPr>
            <w:r w:rsidRPr="00890C68">
              <w:rPr>
                <w:rFonts w:ascii="Times New Roman" w:hAnsi="Times New Roman"/>
              </w:rPr>
              <w:t>0</w:t>
            </w:r>
          </w:p>
        </w:tc>
        <w:tc>
          <w:tcPr>
            <w:tcW w:w="683" w:type="dxa"/>
            <w:shd w:val="clear" w:color="auto" w:fill="FFFFFF"/>
          </w:tcPr>
          <w:p w:rsidR="00F85992" w:rsidRPr="00890C68" w:rsidRDefault="00F85992" w:rsidP="00F85992">
            <w:pPr>
              <w:jc w:val="center"/>
              <w:rPr>
                <w:rFonts w:ascii="Times New Roman" w:hAnsi="Times New Roman"/>
              </w:rPr>
            </w:pPr>
            <w:r w:rsidRPr="00890C68">
              <w:rPr>
                <w:rFonts w:ascii="Times New Roman" w:hAnsi="Times New Roman"/>
              </w:rPr>
              <w:t>0</w:t>
            </w:r>
          </w:p>
        </w:tc>
        <w:tc>
          <w:tcPr>
            <w:tcW w:w="683" w:type="dxa"/>
            <w:shd w:val="clear" w:color="auto" w:fill="FFFFFF"/>
          </w:tcPr>
          <w:p w:rsidR="00F85992" w:rsidRPr="00890C68" w:rsidRDefault="00F85992" w:rsidP="00F85992">
            <w:pPr>
              <w:jc w:val="center"/>
              <w:rPr>
                <w:rFonts w:ascii="Times New Roman" w:hAnsi="Times New Roman"/>
              </w:rPr>
            </w:pPr>
            <w:r w:rsidRPr="00890C68">
              <w:rPr>
                <w:rFonts w:ascii="Times New Roman" w:hAnsi="Times New Roman"/>
              </w:rPr>
              <w:t>0</w:t>
            </w:r>
          </w:p>
        </w:tc>
        <w:tc>
          <w:tcPr>
            <w:tcW w:w="683" w:type="dxa"/>
            <w:shd w:val="clear" w:color="auto" w:fill="FFFFFF"/>
          </w:tcPr>
          <w:p w:rsidR="00F85992" w:rsidRPr="00890C68" w:rsidRDefault="00F85992" w:rsidP="00F85992">
            <w:pPr>
              <w:jc w:val="center"/>
              <w:rPr>
                <w:rFonts w:ascii="Times New Roman" w:hAnsi="Times New Roman"/>
              </w:rPr>
            </w:pPr>
            <w:r w:rsidRPr="00890C68">
              <w:rPr>
                <w:rFonts w:ascii="Times New Roman" w:hAnsi="Times New Roman"/>
              </w:rPr>
              <w:t>0</w:t>
            </w:r>
          </w:p>
        </w:tc>
        <w:tc>
          <w:tcPr>
            <w:tcW w:w="683" w:type="dxa"/>
            <w:shd w:val="clear" w:color="auto" w:fill="FFFFFF"/>
          </w:tcPr>
          <w:p w:rsidR="00F85992" w:rsidRPr="00890C68" w:rsidRDefault="00F85992" w:rsidP="00F85992">
            <w:pPr>
              <w:jc w:val="center"/>
              <w:rPr>
                <w:rFonts w:ascii="Times New Roman" w:hAnsi="Times New Roman"/>
              </w:rPr>
            </w:pPr>
            <w:r w:rsidRPr="00890C68">
              <w:rPr>
                <w:rFonts w:ascii="Times New Roman" w:hAnsi="Times New Roman"/>
              </w:rPr>
              <w:t>0</w:t>
            </w:r>
          </w:p>
        </w:tc>
        <w:tc>
          <w:tcPr>
            <w:tcW w:w="683" w:type="dxa"/>
            <w:shd w:val="clear" w:color="auto" w:fill="FFFFFF"/>
          </w:tcPr>
          <w:p w:rsidR="00F85992" w:rsidRPr="00890C68" w:rsidRDefault="00F85992" w:rsidP="00F85992">
            <w:pPr>
              <w:jc w:val="center"/>
              <w:rPr>
                <w:rFonts w:ascii="Times New Roman" w:hAnsi="Times New Roman"/>
              </w:rPr>
            </w:pPr>
            <w:r w:rsidRPr="00890C68">
              <w:rPr>
                <w:rFonts w:ascii="Times New Roman" w:hAnsi="Times New Roman"/>
              </w:rPr>
              <w:t>0</w:t>
            </w:r>
          </w:p>
        </w:tc>
        <w:tc>
          <w:tcPr>
            <w:tcW w:w="683" w:type="dxa"/>
            <w:shd w:val="clear" w:color="auto" w:fill="FFFFFF"/>
          </w:tcPr>
          <w:p w:rsidR="00F85992" w:rsidRPr="00890C68" w:rsidRDefault="00F85992" w:rsidP="00F85992">
            <w:pPr>
              <w:jc w:val="center"/>
              <w:rPr>
                <w:rFonts w:ascii="Times New Roman" w:hAnsi="Times New Roman"/>
              </w:rPr>
            </w:pPr>
            <w:r w:rsidRPr="00890C68">
              <w:rPr>
                <w:rFonts w:ascii="Times New Roman" w:hAnsi="Times New Roman"/>
              </w:rPr>
              <w:t>0</w:t>
            </w:r>
          </w:p>
        </w:tc>
        <w:tc>
          <w:tcPr>
            <w:tcW w:w="683" w:type="dxa"/>
            <w:shd w:val="clear" w:color="auto" w:fill="FFFFFF"/>
          </w:tcPr>
          <w:p w:rsidR="00F85992" w:rsidRPr="00890C68" w:rsidRDefault="00F85992" w:rsidP="00F85992">
            <w:pPr>
              <w:jc w:val="center"/>
              <w:rPr>
                <w:rFonts w:ascii="Times New Roman" w:hAnsi="Times New Roman"/>
              </w:rPr>
            </w:pPr>
            <w:r w:rsidRPr="00890C68">
              <w:rPr>
                <w:rFonts w:ascii="Times New Roman" w:hAnsi="Times New Roman"/>
              </w:rPr>
              <w:t>0</w:t>
            </w:r>
          </w:p>
        </w:tc>
        <w:tc>
          <w:tcPr>
            <w:tcW w:w="683" w:type="dxa"/>
            <w:shd w:val="clear" w:color="auto" w:fill="FFFFFF"/>
          </w:tcPr>
          <w:p w:rsidR="00F85992" w:rsidRPr="00890C68" w:rsidRDefault="00F85992" w:rsidP="00F85992">
            <w:pPr>
              <w:jc w:val="center"/>
              <w:rPr>
                <w:rFonts w:ascii="Times New Roman" w:hAnsi="Times New Roman"/>
              </w:rPr>
            </w:pPr>
            <w:r w:rsidRPr="00890C68">
              <w:rPr>
                <w:rFonts w:ascii="Times New Roman" w:hAnsi="Times New Roman"/>
              </w:rPr>
              <w:t>0</w:t>
            </w:r>
          </w:p>
        </w:tc>
        <w:tc>
          <w:tcPr>
            <w:tcW w:w="683" w:type="dxa"/>
            <w:shd w:val="clear" w:color="auto" w:fill="FFFFFF"/>
          </w:tcPr>
          <w:p w:rsidR="00F85992" w:rsidRPr="00890C68" w:rsidRDefault="00F85992" w:rsidP="00F85992">
            <w:pPr>
              <w:jc w:val="center"/>
              <w:rPr>
                <w:rFonts w:ascii="Times New Roman" w:hAnsi="Times New Roman"/>
              </w:rPr>
            </w:pPr>
            <w:r w:rsidRPr="00890C68">
              <w:rPr>
                <w:rFonts w:ascii="Times New Roman" w:hAnsi="Times New Roman"/>
              </w:rPr>
              <w:t>0</w:t>
            </w:r>
          </w:p>
        </w:tc>
        <w:tc>
          <w:tcPr>
            <w:tcW w:w="1133" w:type="dxa"/>
            <w:shd w:val="clear" w:color="auto" w:fill="FFFFFF"/>
          </w:tcPr>
          <w:p w:rsidR="00F85992" w:rsidRPr="00890C68" w:rsidRDefault="00F85992" w:rsidP="00F85992">
            <w:pPr>
              <w:jc w:val="center"/>
              <w:rPr>
                <w:rFonts w:ascii="Times New Roman" w:hAnsi="Times New Roman"/>
              </w:rPr>
            </w:pPr>
            <w:r w:rsidRPr="00890C68">
              <w:rPr>
                <w:rFonts w:ascii="Times New Roman" w:hAnsi="Times New Roman"/>
              </w:rPr>
              <w:t>0</w:t>
            </w:r>
          </w:p>
        </w:tc>
      </w:tr>
      <w:tr w:rsidR="00F85992" w:rsidRPr="00890C68" w:rsidTr="00997FE7">
        <w:trPr>
          <w:trHeight w:val="357"/>
        </w:trPr>
        <w:tc>
          <w:tcPr>
            <w:tcW w:w="2127" w:type="dxa"/>
            <w:gridSpan w:val="2"/>
            <w:shd w:val="clear" w:color="auto" w:fill="FFFFFF"/>
            <w:vAlign w:val="center"/>
          </w:tcPr>
          <w:p w:rsidR="00F85992" w:rsidRPr="00890C68" w:rsidRDefault="00F85992" w:rsidP="00F85992">
            <w:pPr>
              <w:spacing w:line="240" w:lineRule="auto"/>
              <w:rPr>
                <w:rFonts w:ascii="Times New Roman" w:hAnsi="Times New Roman"/>
                <w:color w:val="000000"/>
                <w:sz w:val="21"/>
                <w:szCs w:val="21"/>
              </w:rPr>
            </w:pPr>
            <w:r w:rsidRPr="00890C68">
              <w:rPr>
                <w:rFonts w:ascii="Times New Roman" w:hAnsi="Times New Roman"/>
                <w:color w:val="000000"/>
                <w:sz w:val="21"/>
                <w:szCs w:val="21"/>
              </w:rPr>
              <w:t>pozostałe jednostki (oddzielnie)</w:t>
            </w:r>
          </w:p>
        </w:tc>
        <w:tc>
          <w:tcPr>
            <w:tcW w:w="967" w:type="dxa"/>
            <w:gridSpan w:val="2"/>
            <w:shd w:val="clear" w:color="auto" w:fill="FFFFFF"/>
          </w:tcPr>
          <w:p w:rsidR="00F85992" w:rsidRPr="00890C68" w:rsidRDefault="00F85992" w:rsidP="00F85992">
            <w:pPr>
              <w:jc w:val="center"/>
              <w:rPr>
                <w:rFonts w:ascii="Times New Roman" w:hAnsi="Times New Roman"/>
              </w:rPr>
            </w:pPr>
            <w:r w:rsidRPr="00890C68">
              <w:rPr>
                <w:rFonts w:ascii="Times New Roman" w:hAnsi="Times New Roman"/>
              </w:rPr>
              <w:t>0</w:t>
            </w:r>
          </w:p>
        </w:tc>
        <w:tc>
          <w:tcPr>
            <w:tcW w:w="683" w:type="dxa"/>
            <w:shd w:val="clear" w:color="auto" w:fill="FFFFFF"/>
          </w:tcPr>
          <w:p w:rsidR="00F85992" w:rsidRPr="00890C68" w:rsidRDefault="00F85992" w:rsidP="00F85992">
            <w:pPr>
              <w:jc w:val="center"/>
              <w:rPr>
                <w:rFonts w:ascii="Times New Roman" w:hAnsi="Times New Roman"/>
              </w:rPr>
            </w:pPr>
            <w:r w:rsidRPr="00890C68">
              <w:rPr>
                <w:rFonts w:ascii="Times New Roman" w:hAnsi="Times New Roman"/>
              </w:rPr>
              <w:t>0</w:t>
            </w:r>
          </w:p>
        </w:tc>
        <w:tc>
          <w:tcPr>
            <w:tcW w:w="683" w:type="dxa"/>
            <w:shd w:val="clear" w:color="auto" w:fill="FFFFFF"/>
          </w:tcPr>
          <w:p w:rsidR="00F85992" w:rsidRPr="00890C68" w:rsidRDefault="00F85992" w:rsidP="00F85992">
            <w:pPr>
              <w:jc w:val="center"/>
              <w:rPr>
                <w:rFonts w:ascii="Times New Roman" w:hAnsi="Times New Roman"/>
              </w:rPr>
            </w:pPr>
            <w:r w:rsidRPr="00890C68">
              <w:rPr>
                <w:rFonts w:ascii="Times New Roman" w:hAnsi="Times New Roman"/>
              </w:rPr>
              <w:t>0</w:t>
            </w:r>
          </w:p>
        </w:tc>
        <w:tc>
          <w:tcPr>
            <w:tcW w:w="683" w:type="dxa"/>
            <w:shd w:val="clear" w:color="auto" w:fill="FFFFFF"/>
          </w:tcPr>
          <w:p w:rsidR="00F85992" w:rsidRPr="00890C68" w:rsidRDefault="00F85992" w:rsidP="00F85992">
            <w:pPr>
              <w:jc w:val="center"/>
              <w:rPr>
                <w:rFonts w:ascii="Times New Roman" w:hAnsi="Times New Roman"/>
              </w:rPr>
            </w:pPr>
            <w:r w:rsidRPr="00890C68">
              <w:rPr>
                <w:rFonts w:ascii="Times New Roman" w:hAnsi="Times New Roman"/>
              </w:rPr>
              <w:t>0</w:t>
            </w:r>
          </w:p>
        </w:tc>
        <w:tc>
          <w:tcPr>
            <w:tcW w:w="683" w:type="dxa"/>
            <w:shd w:val="clear" w:color="auto" w:fill="FFFFFF"/>
          </w:tcPr>
          <w:p w:rsidR="00F85992" w:rsidRPr="00890C68" w:rsidRDefault="00F85992" w:rsidP="00F85992">
            <w:pPr>
              <w:jc w:val="center"/>
              <w:rPr>
                <w:rFonts w:ascii="Times New Roman" w:hAnsi="Times New Roman"/>
              </w:rPr>
            </w:pPr>
            <w:r w:rsidRPr="00890C68">
              <w:rPr>
                <w:rFonts w:ascii="Times New Roman" w:hAnsi="Times New Roman"/>
              </w:rPr>
              <w:t>0</w:t>
            </w:r>
          </w:p>
        </w:tc>
        <w:tc>
          <w:tcPr>
            <w:tcW w:w="683" w:type="dxa"/>
            <w:shd w:val="clear" w:color="auto" w:fill="FFFFFF"/>
          </w:tcPr>
          <w:p w:rsidR="00F85992" w:rsidRPr="00890C68" w:rsidRDefault="00F85992" w:rsidP="00F85992">
            <w:pPr>
              <w:jc w:val="center"/>
              <w:rPr>
                <w:rFonts w:ascii="Times New Roman" w:hAnsi="Times New Roman"/>
              </w:rPr>
            </w:pPr>
            <w:r w:rsidRPr="00890C68">
              <w:rPr>
                <w:rFonts w:ascii="Times New Roman" w:hAnsi="Times New Roman"/>
              </w:rPr>
              <w:t>0</w:t>
            </w:r>
          </w:p>
        </w:tc>
        <w:tc>
          <w:tcPr>
            <w:tcW w:w="683" w:type="dxa"/>
            <w:shd w:val="clear" w:color="auto" w:fill="FFFFFF"/>
          </w:tcPr>
          <w:p w:rsidR="00F85992" w:rsidRPr="00890C68" w:rsidRDefault="00F85992" w:rsidP="00F85992">
            <w:pPr>
              <w:jc w:val="center"/>
              <w:rPr>
                <w:rFonts w:ascii="Times New Roman" w:hAnsi="Times New Roman"/>
              </w:rPr>
            </w:pPr>
            <w:r w:rsidRPr="00890C68">
              <w:rPr>
                <w:rFonts w:ascii="Times New Roman" w:hAnsi="Times New Roman"/>
              </w:rPr>
              <w:t>0</w:t>
            </w:r>
          </w:p>
        </w:tc>
        <w:tc>
          <w:tcPr>
            <w:tcW w:w="683" w:type="dxa"/>
            <w:shd w:val="clear" w:color="auto" w:fill="FFFFFF"/>
          </w:tcPr>
          <w:p w:rsidR="00F85992" w:rsidRPr="00890C68" w:rsidRDefault="00F85992" w:rsidP="00F85992">
            <w:pPr>
              <w:jc w:val="center"/>
              <w:rPr>
                <w:rFonts w:ascii="Times New Roman" w:hAnsi="Times New Roman"/>
              </w:rPr>
            </w:pPr>
            <w:r w:rsidRPr="00890C68">
              <w:rPr>
                <w:rFonts w:ascii="Times New Roman" w:hAnsi="Times New Roman"/>
              </w:rPr>
              <w:t>0</w:t>
            </w:r>
          </w:p>
        </w:tc>
        <w:tc>
          <w:tcPr>
            <w:tcW w:w="683" w:type="dxa"/>
            <w:shd w:val="clear" w:color="auto" w:fill="FFFFFF"/>
          </w:tcPr>
          <w:p w:rsidR="00F85992" w:rsidRPr="00890C68" w:rsidRDefault="00F85992" w:rsidP="00F85992">
            <w:pPr>
              <w:jc w:val="center"/>
              <w:rPr>
                <w:rFonts w:ascii="Times New Roman" w:hAnsi="Times New Roman"/>
              </w:rPr>
            </w:pPr>
            <w:r w:rsidRPr="00890C68">
              <w:rPr>
                <w:rFonts w:ascii="Times New Roman" w:hAnsi="Times New Roman"/>
              </w:rPr>
              <w:t>0</w:t>
            </w:r>
          </w:p>
        </w:tc>
        <w:tc>
          <w:tcPr>
            <w:tcW w:w="683" w:type="dxa"/>
            <w:shd w:val="clear" w:color="auto" w:fill="FFFFFF"/>
          </w:tcPr>
          <w:p w:rsidR="00F85992" w:rsidRPr="00890C68" w:rsidRDefault="00F85992" w:rsidP="00F85992">
            <w:pPr>
              <w:jc w:val="center"/>
              <w:rPr>
                <w:rFonts w:ascii="Times New Roman" w:hAnsi="Times New Roman"/>
              </w:rPr>
            </w:pPr>
            <w:r w:rsidRPr="00890C68">
              <w:rPr>
                <w:rFonts w:ascii="Times New Roman" w:hAnsi="Times New Roman"/>
              </w:rPr>
              <w:t>0</w:t>
            </w:r>
          </w:p>
        </w:tc>
        <w:tc>
          <w:tcPr>
            <w:tcW w:w="683" w:type="dxa"/>
            <w:shd w:val="clear" w:color="auto" w:fill="FFFFFF"/>
          </w:tcPr>
          <w:p w:rsidR="00F85992" w:rsidRPr="00890C68" w:rsidRDefault="00F85992" w:rsidP="00F85992">
            <w:pPr>
              <w:jc w:val="center"/>
              <w:rPr>
                <w:rFonts w:ascii="Times New Roman" w:hAnsi="Times New Roman"/>
              </w:rPr>
            </w:pPr>
            <w:r w:rsidRPr="00890C68">
              <w:rPr>
                <w:rFonts w:ascii="Times New Roman" w:hAnsi="Times New Roman"/>
              </w:rPr>
              <w:t>0</w:t>
            </w:r>
          </w:p>
        </w:tc>
        <w:tc>
          <w:tcPr>
            <w:tcW w:w="1133" w:type="dxa"/>
            <w:shd w:val="clear" w:color="auto" w:fill="FFFFFF"/>
          </w:tcPr>
          <w:p w:rsidR="00F85992" w:rsidRPr="00890C68" w:rsidRDefault="00F85992" w:rsidP="00F85992">
            <w:pPr>
              <w:jc w:val="center"/>
              <w:rPr>
                <w:rFonts w:ascii="Times New Roman" w:hAnsi="Times New Roman"/>
              </w:rPr>
            </w:pPr>
            <w:r w:rsidRPr="00890C68">
              <w:rPr>
                <w:rFonts w:ascii="Times New Roman" w:hAnsi="Times New Roman"/>
              </w:rPr>
              <w:t>0</w:t>
            </w:r>
          </w:p>
        </w:tc>
      </w:tr>
      <w:tr w:rsidR="006A701A" w:rsidRPr="00890C68" w:rsidTr="00EB6523">
        <w:trPr>
          <w:trHeight w:val="348"/>
        </w:trPr>
        <w:tc>
          <w:tcPr>
            <w:tcW w:w="2127" w:type="dxa"/>
            <w:gridSpan w:val="2"/>
            <w:shd w:val="clear" w:color="auto" w:fill="FFFFFF"/>
            <w:vAlign w:val="center"/>
          </w:tcPr>
          <w:p w:rsidR="006A701A" w:rsidRPr="00890C68" w:rsidRDefault="006A701A" w:rsidP="005741EE">
            <w:pPr>
              <w:spacing w:line="240" w:lineRule="auto"/>
              <w:rPr>
                <w:rFonts w:ascii="Times New Roman" w:hAnsi="Times New Roman"/>
                <w:color w:val="000000"/>
                <w:sz w:val="21"/>
                <w:szCs w:val="21"/>
              </w:rPr>
            </w:pPr>
            <w:r w:rsidRPr="00890C68">
              <w:rPr>
                <w:rFonts w:ascii="Times New Roman" w:hAnsi="Times New Roman"/>
                <w:color w:val="000000"/>
                <w:sz w:val="21"/>
                <w:szCs w:val="21"/>
              </w:rPr>
              <w:t xml:space="preserve">Źródła finansowania </w:t>
            </w:r>
          </w:p>
        </w:tc>
        <w:tc>
          <w:tcPr>
            <w:tcW w:w="8930" w:type="dxa"/>
            <w:gridSpan w:val="13"/>
            <w:shd w:val="clear" w:color="auto" w:fill="FFFFFF"/>
            <w:vAlign w:val="center"/>
          </w:tcPr>
          <w:p w:rsidR="006A701A" w:rsidRPr="00890C68" w:rsidRDefault="00AB20A0" w:rsidP="00B37C80">
            <w:pPr>
              <w:spacing w:line="240" w:lineRule="auto"/>
              <w:jc w:val="both"/>
              <w:rPr>
                <w:rFonts w:ascii="Times New Roman" w:hAnsi="Times New Roman"/>
                <w:color w:val="000000"/>
                <w:sz w:val="21"/>
                <w:szCs w:val="21"/>
              </w:rPr>
            </w:pPr>
            <w:r w:rsidRPr="00890C68">
              <w:rPr>
                <w:rFonts w:ascii="Times New Roman" w:hAnsi="Times New Roman"/>
                <w:color w:val="000000"/>
                <w:sz w:val="21"/>
                <w:szCs w:val="21"/>
              </w:rPr>
              <w:t>Wydatki związane z zatrudnieniem będą finansowane bezpośrednio z budżetu państwa (część 50 –URE)</w:t>
            </w:r>
          </w:p>
          <w:p w:rsidR="006A701A" w:rsidRPr="00890C68" w:rsidRDefault="006A701A" w:rsidP="00B37C80">
            <w:pPr>
              <w:spacing w:line="240" w:lineRule="auto"/>
              <w:jc w:val="both"/>
              <w:rPr>
                <w:rFonts w:ascii="Times New Roman" w:hAnsi="Times New Roman"/>
                <w:color w:val="000000"/>
                <w:sz w:val="21"/>
                <w:szCs w:val="21"/>
              </w:rPr>
            </w:pPr>
          </w:p>
          <w:p w:rsidR="006A701A" w:rsidRPr="00890C68" w:rsidRDefault="006A701A" w:rsidP="00B37C80">
            <w:pPr>
              <w:spacing w:line="240" w:lineRule="auto"/>
              <w:jc w:val="both"/>
              <w:rPr>
                <w:rFonts w:ascii="Times New Roman" w:hAnsi="Times New Roman"/>
                <w:color w:val="000000"/>
                <w:sz w:val="21"/>
                <w:szCs w:val="21"/>
              </w:rPr>
            </w:pPr>
          </w:p>
        </w:tc>
      </w:tr>
      <w:tr w:rsidR="00E24BD7" w:rsidRPr="00890C68" w:rsidTr="00EB6523">
        <w:trPr>
          <w:trHeight w:val="3252"/>
        </w:trPr>
        <w:tc>
          <w:tcPr>
            <w:tcW w:w="2127" w:type="dxa"/>
            <w:gridSpan w:val="2"/>
            <w:shd w:val="clear" w:color="auto" w:fill="FFFFFF"/>
          </w:tcPr>
          <w:p w:rsidR="00E24BD7" w:rsidRPr="00890C68" w:rsidRDefault="001B3460" w:rsidP="00821717">
            <w:pPr>
              <w:spacing w:line="240" w:lineRule="auto"/>
              <w:rPr>
                <w:rFonts w:ascii="Times New Roman" w:hAnsi="Times New Roman"/>
                <w:color w:val="000000"/>
                <w:sz w:val="21"/>
                <w:szCs w:val="21"/>
              </w:rPr>
            </w:pPr>
            <w:r w:rsidRPr="00890C68">
              <w:rPr>
                <w:rFonts w:ascii="Times New Roman" w:hAnsi="Times New Roman"/>
                <w:color w:val="000000"/>
                <w:sz w:val="21"/>
                <w:szCs w:val="21"/>
              </w:rPr>
              <w:t>Dodatkowe informacje, w tym wskazanie źródeł danych i przyjętych do obliczeń założeń</w:t>
            </w:r>
          </w:p>
        </w:tc>
        <w:tc>
          <w:tcPr>
            <w:tcW w:w="8930" w:type="dxa"/>
            <w:gridSpan w:val="13"/>
            <w:shd w:val="clear" w:color="auto" w:fill="FFFFFF"/>
          </w:tcPr>
          <w:p w:rsidR="00547D92" w:rsidRPr="00890C68" w:rsidRDefault="00547D92" w:rsidP="00547D92">
            <w:pPr>
              <w:spacing w:line="240" w:lineRule="auto"/>
              <w:jc w:val="both"/>
              <w:rPr>
                <w:rFonts w:ascii="Times New Roman" w:hAnsi="Times New Roman"/>
                <w:color w:val="000000"/>
                <w:sz w:val="21"/>
                <w:szCs w:val="21"/>
              </w:rPr>
            </w:pPr>
            <w:r w:rsidRPr="00890C68">
              <w:rPr>
                <w:rFonts w:ascii="Times New Roman" w:hAnsi="Times New Roman"/>
                <w:color w:val="000000"/>
                <w:sz w:val="21"/>
                <w:szCs w:val="21"/>
              </w:rPr>
              <w:t>Oszacowanie kosztów [zł] jakie należy zagwarantować regulatorowi w celu wykonywania dot. obowiązków dot. uznawania kwalifikacji.</w:t>
            </w:r>
          </w:p>
          <w:tbl>
            <w:tblPr>
              <w:tblW w:w="14129" w:type="dxa"/>
              <w:tblLayout w:type="fixed"/>
              <w:tblCellMar>
                <w:left w:w="70" w:type="dxa"/>
                <w:right w:w="70" w:type="dxa"/>
              </w:tblCellMar>
              <w:tblLook w:val="04A0" w:firstRow="1" w:lastRow="0" w:firstColumn="1" w:lastColumn="0" w:noHBand="0" w:noVBand="1"/>
            </w:tblPr>
            <w:tblGrid>
              <w:gridCol w:w="1163"/>
              <w:gridCol w:w="850"/>
              <w:gridCol w:w="851"/>
              <w:gridCol w:w="850"/>
              <w:gridCol w:w="851"/>
              <w:gridCol w:w="850"/>
              <w:gridCol w:w="851"/>
              <w:gridCol w:w="850"/>
              <w:gridCol w:w="851"/>
              <w:gridCol w:w="850"/>
              <w:gridCol w:w="1798"/>
              <w:gridCol w:w="3194"/>
              <w:gridCol w:w="160"/>
              <w:gridCol w:w="160"/>
            </w:tblGrid>
            <w:tr w:rsidR="00547D92" w:rsidRPr="00890C68" w:rsidTr="00547D92">
              <w:trPr>
                <w:trHeight w:val="300"/>
              </w:trPr>
              <w:tc>
                <w:tcPr>
                  <w:tcW w:w="1163"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547D92" w:rsidRPr="00890C68" w:rsidRDefault="00547D92" w:rsidP="00547D92">
                  <w:pPr>
                    <w:spacing w:line="240" w:lineRule="auto"/>
                    <w:jc w:val="both"/>
                    <w:rPr>
                      <w:rFonts w:ascii="Times New Roman" w:hAnsi="Times New Roman"/>
                      <w:b/>
                      <w:bCs/>
                      <w:color w:val="000000"/>
                      <w:sz w:val="21"/>
                      <w:szCs w:val="21"/>
                    </w:rPr>
                  </w:pPr>
                  <w:r w:rsidRPr="00890C68">
                    <w:rPr>
                      <w:rFonts w:ascii="Times New Roman" w:hAnsi="Times New Roman"/>
                      <w:b/>
                      <w:bCs/>
                      <w:color w:val="000000"/>
                      <w:sz w:val="21"/>
                      <w:szCs w:val="21"/>
                    </w:rPr>
                    <w:t>Pozycja</w:t>
                  </w:r>
                </w:p>
              </w:tc>
              <w:tc>
                <w:tcPr>
                  <w:tcW w:w="850" w:type="dxa"/>
                  <w:tcBorders>
                    <w:top w:val="single" w:sz="4" w:space="0" w:color="auto"/>
                    <w:left w:val="nil"/>
                    <w:bottom w:val="single" w:sz="4" w:space="0" w:color="auto"/>
                    <w:right w:val="single" w:sz="4" w:space="0" w:color="auto"/>
                  </w:tcBorders>
                  <w:shd w:val="clear" w:color="000000" w:fill="A6A6A6"/>
                  <w:noWrap/>
                  <w:vAlign w:val="bottom"/>
                  <w:hideMark/>
                </w:tcPr>
                <w:p w:rsidR="00547D92" w:rsidRPr="00890C68" w:rsidRDefault="00547D92" w:rsidP="00547D92">
                  <w:pPr>
                    <w:spacing w:line="240" w:lineRule="auto"/>
                    <w:jc w:val="both"/>
                    <w:rPr>
                      <w:rFonts w:ascii="Times New Roman" w:hAnsi="Times New Roman"/>
                      <w:b/>
                      <w:bCs/>
                      <w:color w:val="000000"/>
                      <w:sz w:val="21"/>
                      <w:szCs w:val="21"/>
                    </w:rPr>
                  </w:pPr>
                  <w:r w:rsidRPr="00890C68">
                    <w:rPr>
                      <w:rFonts w:ascii="Times New Roman" w:hAnsi="Times New Roman"/>
                      <w:b/>
                      <w:bCs/>
                      <w:color w:val="000000"/>
                      <w:sz w:val="21"/>
                      <w:szCs w:val="21"/>
                    </w:rPr>
                    <w:t>2020</w:t>
                  </w:r>
                </w:p>
              </w:tc>
              <w:tc>
                <w:tcPr>
                  <w:tcW w:w="851" w:type="dxa"/>
                  <w:tcBorders>
                    <w:top w:val="single" w:sz="4" w:space="0" w:color="auto"/>
                    <w:left w:val="nil"/>
                    <w:bottom w:val="single" w:sz="4" w:space="0" w:color="auto"/>
                    <w:right w:val="single" w:sz="4" w:space="0" w:color="auto"/>
                  </w:tcBorders>
                  <w:shd w:val="clear" w:color="000000" w:fill="A6A6A6"/>
                  <w:noWrap/>
                  <w:vAlign w:val="bottom"/>
                  <w:hideMark/>
                </w:tcPr>
                <w:p w:rsidR="00547D92" w:rsidRPr="00890C68" w:rsidRDefault="00547D92" w:rsidP="00547D92">
                  <w:pPr>
                    <w:spacing w:line="240" w:lineRule="auto"/>
                    <w:jc w:val="both"/>
                    <w:rPr>
                      <w:rFonts w:ascii="Times New Roman" w:hAnsi="Times New Roman"/>
                      <w:b/>
                      <w:bCs/>
                      <w:color w:val="000000"/>
                      <w:sz w:val="21"/>
                      <w:szCs w:val="21"/>
                    </w:rPr>
                  </w:pPr>
                  <w:r w:rsidRPr="00890C68">
                    <w:rPr>
                      <w:rFonts w:ascii="Times New Roman" w:hAnsi="Times New Roman"/>
                      <w:b/>
                      <w:bCs/>
                      <w:color w:val="000000"/>
                      <w:sz w:val="21"/>
                      <w:szCs w:val="21"/>
                    </w:rPr>
                    <w:t>2021</w:t>
                  </w:r>
                </w:p>
              </w:tc>
              <w:tc>
                <w:tcPr>
                  <w:tcW w:w="850" w:type="dxa"/>
                  <w:tcBorders>
                    <w:top w:val="single" w:sz="4" w:space="0" w:color="auto"/>
                    <w:left w:val="nil"/>
                    <w:bottom w:val="single" w:sz="4" w:space="0" w:color="auto"/>
                    <w:right w:val="single" w:sz="4" w:space="0" w:color="auto"/>
                  </w:tcBorders>
                  <w:shd w:val="clear" w:color="000000" w:fill="A6A6A6"/>
                  <w:noWrap/>
                  <w:vAlign w:val="bottom"/>
                  <w:hideMark/>
                </w:tcPr>
                <w:p w:rsidR="00547D92" w:rsidRPr="00890C68" w:rsidRDefault="00547D92" w:rsidP="00547D92">
                  <w:pPr>
                    <w:spacing w:line="240" w:lineRule="auto"/>
                    <w:jc w:val="both"/>
                    <w:rPr>
                      <w:rFonts w:ascii="Times New Roman" w:hAnsi="Times New Roman"/>
                      <w:b/>
                      <w:bCs/>
                      <w:color w:val="000000"/>
                      <w:sz w:val="21"/>
                      <w:szCs w:val="21"/>
                    </w:rPr>
                  </w:pPr>
                  <w:r w:rsidRPr="00890C68">
                    <w:rPr>
                      <w:rFonts w:ascii="Times New Roman" w:hAnsi="Times New Roman"/>
                      <w:b/>
                      <w:bCs/>
                      <w:color w:val="000000"/>
                      <w:sz w:val="21"/>
                      <w:szCs w:val="21"/>
                    </w:rPr>
                    <w:t>2022</w:t>
                  </w:r>
                </w:p>
              </w:tc>
              <w:tc>
                <w:tcPr>
                  <w:tcW w:w="851" w:type="dxa"/>
                  <w:tcBorders>
                    <w:top w:val="single" w:sz="4" w:space="0" w:color="auto"/>
                    <w:left w:val="nil"/>
                    <w:bottom w:val="single" w:sz="4" w:space="0" w:color="auto"/>
                    <w:right w:val="single" w:sz="4" w:space="0" w:color="auto"/>
                  </w:tcBorders>
                  <w:shd w:val="clear" w:color="000000" w:fill="A6A6A6"/>
                  <w:noWrap/>
                  <w:vAlign w:val="bottom"/>
                  <w:hideMark/>
                </w:tcPr>
                <w:p w:rsidR="00547D92" w:rsidRPr="00890C68" w:rsidRDefault="00547D92" w:rsidP="00547D92">
                  <w:pPr>
                    <w:spacing w:line="240" w:lineRule="auto"/>
                    <w:jc w:val="both"/>
                    <w:rPr>
                      <w:rFonts w:ascii="Times New Roman" w:hAnsi="Times New Roman"/>
                      <w:b/>
                      <w:bCs/>
                      <w:color w:val="000000"/>
                      <w:sz w:val="21"/>
                      <w:szCs w:val="21"/>
                    </w:rPr>
                  </w:pPr>
                  <w:r w:rsidRPr="00890C68">
                    <w:rPr>
                      <w:rFonts w:ascii="Times New Roman" w:hAnsi="Times New Roman"/>
                      <w:b/>
                      <w:bCs/>
                      <w:color w:val="000000"/>
                      <w:sz w:val="21"/>
                      <w:szCs w:val="21"/>
                    </w:rPr>
                    <w:t>2023</w:t>
                  </w:r>
                </w:p>
              </w:tc>
              <w:tc>
                <w:tcPr>
                  <w:tcW w:w="850" w:type="dxa"/>
                  <w:tcBorders>
                    <w:top w:val="single" w:sz="4" w:space="0" w:color="auto"/>
                    <w:left w:val="nil"/>
                    <w:bottom w:val="single" w:sz="4" w:space="0" w:color="auto"/>
                    <w:right w:val="single" w:sz="4" w:space="0" w:color="auto"/>
                  </w:tcBorders>
                  <w:shd w:val="clear" w:color="000000" w:fill="A6A6A6"/>
                  <w:noWrap/>
                  <w:vAlign w:val="bottom"/>
                  <w:hideMark/>
                </w:tcPr>
                <w:p w:rsidR="00547D92" w:rsidRPr="00890C68" w:rsidRDefault="00547D92" w:rsidP="00547D92">
                  <w:pPr>
                    <w:spacing w:line="240" w:lineRule="auto"/>
                    <w:jc w:val="both"/>
                    <w:rPr>
                      <w:rFonts w:ascii="Times New Roman" w:hAnsi="Times New Roman"/>
                      <w:b/>
                      <w:bCs/>
                      <w:color w:val="000000"/>
                      <w:sz w:val="21"/>
                      <w:szCs w:val="21"/>
                    </w:rPr>
                  </w:pPr>
                  <w:r w:rsidRPr="00890C68">
                    <w:rPr>
                      <w:rFonts w:ascii="Times New Roman" w:hAnsi="Times New Roman"/>
                      <w:b/>
                      <w:bCs/>
                      <w:color w:val="000000"/>
                      <w:sz w:val="21"/>
                      <w:szCs w:val="21"/>
                    </w:rPr>
                    <w:t>2024</w:t>
                  </w:r>
                </w:p>
              </w:tc>
              <w:tc>
                <w:tcPr>
                  <w:tcW w:w="851" w:type="dxa"/>
                  <w:tcBorders>
                    <w:top w:val="single" w:sz="4" w:space="0" w:color="auto"/>
                    <w:left w:val="nil"/>
                    <w:bottom w:val="single" w:sz="4" w:space="0" w:color="auto"/>
                    <w:right w:val="single" w:sz="4" w:space="0" w:color="auto"/>
                  </w:tcBorders>
                  <w:shd w:val="clear" w:color="000000" w:fill="A6A6A6"/>
                  <w:noWrap/>
                  <w:vAlign w:val="bottom"/>
                  <w:hideMark/>
                </w:tcPr>
                <w:p w:rsidR="00547D92" w:rsidRPr="00890C68" w:rsidRDefault="00547D92" w:rsidP="00547D92">
                  <w:pPr>
                    <w:spacing w:line="240" w:lineRule="auto"/>
                    <w:jc w:val="both"/>
                    <w:rPr>
                      <w:rFonts w:ascii="Times New Roman" w:hAnsi="Times New Roman"/>
                      <w:b/>
                      <w:bCs/>
                      <w:color w:val="000000"/>
                      <w:sz w:val="21"/>
                      <w:szCs w:val="21"/>
                    </w:rPr>
                  </w:pPr>
                  <w:r w:rsidRPr="00890C68">
                    <w:rPr>
                      <w:rFonts w:ascii="Times New Roman" w:hAnsi="Times New Roman"/>
                      <w:b/>
                      <w:bCs/>
                      <w:color w:val="000000"/>
                      <w:sz w:val="21"/>
                      <w:szCs w:val="21"/>
                    </w:rPr>
                    <w:t>2025</w:t>
                  </w:r>
                </w:p>
              </w:tc>
              <w:tc>
                <w:tcPr>
                  <w:tcW w:w="850" w:type="dxa"/>
                  <w:tcBorders>
                    <w:top w:val="single" w:sz="4" w:space="0" w:color="auto"/>
                    <w:left w:val="nil"/>
                    <w:bottom w:val="single" w:sz="4" w:space="0" w:color="auto"/>
                    <w:right w:val="single" w:sz="4" w:space="0" w:color="auto"/>
                  </w:tcBorders>
                  <w:shd w:val="clear" w:color="000000" w:fill="A6A6A6"/>
                  <w:noWrap/>
                  <w:vAlign w:val="bottom"/>
                  <w:hideMark/>
                </w:tcPr>
                <w:p w:rsidR="00547D92" w:rsidRPr="00890C68" w:rsidRDefault="00547D92" w:rsidP="00547D92">
                  <w:pPr>
                    <w:spacing w:line="240" w:lineRule="auto"/>
                    <w:jc w:val="both"/>
                    <w:rPr>
                      <w:rFonts w:ascii="Times New Roman" w:hAnsi="Times New Roman"/>
                      <w:b/>
                      <w:bCs/>
                      <w:color w:val="000000"/>
                      <w:sz w:val="21"/>
                      <w:szCs w:val="21"/>
                    </w:rPr>
                  </w:pPr>
                  <w:r w:rsidRPr="00890C68">
                    <w:rPr>
                      <w:rFonts w:ascii="Times New Roman" w:hAnsi="Times New Roman"/>
                      <w:b/>
                      <w:bCs/>
                      <w:color w:val="000000"/>
                      <w:sz w:val="21"/>
                      <w:szCs w:val="21"/>
                    </w:rPr>
                    <w:t>2026</w:t>
                  </w:r>
                </w:p>
              </w:tc>
              <w:tc>
                <w:tcPr>
                  <w:tcW w:w="851" w:type="dxa"/>
                  <w:tcBorders>
                    <w:top w:val="single" w:sz="4" w:space="0" w:color="auto"/>
                    <w:left w:val="nil"/>
                    <w:bottom w:val="single" w:sz="4" w:space="0" w:color="auto"/>
                    <w:right w:val="single" w:sz="4" w:space="0" w:color="auto"/>
                  </w:tcBorders>
                  <w:shd w:val="clear" w:color="000000" w:fill="A6A6A6"/>
                  <w:noWrap/>
                  <w:vAlign w:val="bottom"/>
                  <w:hideMark/>
                </w:tcPr>
                <w:p w:rsidR="00547D92" w:rsidRPr="00890C68" w:rsidRDefault="00547D92" w:rsidP="00547D92">
                  <w:pPr>
                    <w:spacing w:line="240" w:lineRule="auto"/>
                    <w:jc w:val="both"/>
                    <w:rPr>
                      <w:rFonts w:ascii="Times New Roman" w:hAnsi="Times New Roman"/>
                      <w:b/>
                      <w:bCs/>
                      <w:color w:val="000000"/>
                      <w:sz w:val="21"/>
                      <w:szCs w:val="21"/>
                    </w:rPr>
                  </w:pPr>
                  <w:r w:rsidRPr="00890C68">
                    <w:rPr>
                      <w:rFonts w:ascii="Times New Roman" w:hAnsi="Times New Roman"/>
                      <w:b/>
                      <w:bCs/>
                      <w:color w:val="000000"/>
                      <w:sz w:val="21"/>
                      <w:szCs w:val="21"/>
                    </w:rPr>
                    <w:t>2027</w:t>
                  </w:r>
                </w:p>
              </w:tc>
              <w:tc>
                <w:tcPr>
                  <w:tcW w:w="850" w:type="dxa"/>
                  <w:tcBorders>
                    <w:top w:val="single" w:sz="4" w:space="0" w:color="auto"/>
                    <w:left w:val="nil"/>
                    <w:bottom w:val="single" w:sz="4" w:space="0" w:color="auto"/>
                    <w:right w:val="single" w:sz="4" w:space="0" w:color="auto"/>
                  </w:tcBorders>
                  <w:shd w:val="clear" w:color="000000" w:fill="A6A6A6"/>
                  <w:noWrap/>
                  <w:vAlign w:val="bottom"/>
                  <w:hideMark/>
                </w:tcPr>
                <w:p w:rsidR="00547D92" w:rsidRPr="00890C68" w:rsidRDefault="00547D92" w:rsidP="00547D92">
                  <w:pPr>
                    <w:spacing w:line="240" w:lineRule="auto"/>
                    <w:jc w:val="both"/>
                    <w:rPr>
                      <w:rFonts w:ascii="Times New Roman" w:hAnsi="Times New Roman"/>
                      <w:b/>
                      <w:bCs/>
                      <w:color w:val="000000"/>
                      <w:sz w:val="21"/>
                      <w:szCs w:val="21"/>
                    </w:rPr>
                  </w:pPr>
                  <w:r w:rsidRPr="00890C68">
                    <w:rPr>
                      <w:rFonts w:ascii="Times New Roman" w:hAnsi="Times New Roman"/>
                      <w:b/>
                      <w:bCs/>
                      <w:color w:val="000000"/>
                      <w:sz w:val="21"/>
                      <w:szCs w:val="21"/>
                    </w:rPr>
                    <w:t>2028</w:t>
                  </w:r>
                </w:p>
              </w:tc>
              <w:tc>
                <w:tcPr>
                  <w:tcW w:w="1798" w:type="dxa"/>
                  <w:tcBorders>
                    <w:top w:val="single" w:sz="4" w:space="0" w:color="auto"/>
                    <w:left w:val="nil"/>
                    <w:bottom w:val="single" w:sz="4" w:space="0" w:color="auto"/>
                    <w:right w:val="single" w:sz="4" w:space="0" w:color="auto"/>
                  </w:tcBorders>
                  <w:shd w:val="clear" w:color="000000" w:fill="A6A6A6"/>
                  <w:noWrap/>
                  <w:vAlign w:val="bottom"/>
                  <w:hideMark/>
                </w:tcPr>
                <w:p w:rsidR="00547D92" w:rsidRPr="00890C68" w:rsidRDefault="00547D92" w:rsidP="00547D92">
                  <w:pPr>
                    <w:spacing w:line="240" w:lineRule="auto"/>
                    <w:jc w:val="both"/>
                    <w:rPr>
                      <w:rFonts w:ascii="Times New Roman" w:hAnsi="Times New Roman"/>
                      <w:b/>
                      <w:bCs/>
                      <w:color w:val="000000"/>
                      <w:sz w:val="21"/>
                      <w:szCs w:val="21"/>
                    </w:rPr>
                  </w:pPr>
                  <w:r w:rsidRPr="00890C68">
                    <w:rPr>
                      <w:rFonts w:ascii="Times New Roman" w:hAnsi="Times New Roman"/>
                      <w:b/>
                      <w:bCs/>
                      <w:color w:val="000000"/>
                      <w:sz w:val="21"/>
                      <w:szCs w:val="21"/>
                    </w:rPr>
                    <w:t>2029</w:t>
                  </w:r>
                </w:p>
              </w:tc>
              <w:tc>
                <w:tcPr>
                  <w:tcW w:w="3194" w:type="dxa"/>
                  <w:tcBorders>
                    <w:top w:val="nil"/>
                    <w:left w:val="nil"/>
                    <w:bottom w:val="nil"/>
                    <w:right w:val="nil"/>
                  </w:tcBorders>
                  <w:shd w:val="clear" w:color="auto" w:fill="auto"/>
                  <w:noWrap/>
                  <w:vAlign w:val="bottom"/>
                  <w:hideMark/>
                </w:tcPr>
                <w:p w:rsidR="00547D92" w:rsidRPr="00890C68" w:rsidRDefault="00547D92" w:rsidP="00547D92">
                  <w:pPr>
                    <w:spacing w:line="240" w:lineRule="auto"/>
                    <w:jc w:val="both"/>
                    <w:rPr>
                      <w:rFonts w:ascii="Times New Roman" w:hAnsi="Times New Roman"/>
                      <w:color w:val="000000"/>
                      <w:sz w:val="21"/>
                      <w:szCs w:val="21"/>
                    </w:rPr>
                  </w:pPr>
                </w:p>
              </w:tc>
              <w:tc>
                <w:tcPr>
                  <w:tcW w:w="160" w:type="dxa"/>
                  <w:tcBorders>
                    <w:top w:val="nil"/>
                    <w:left w:val="nil"/>
                    <w:bottom w:val="nil"/>
                    <w:right w:val="nil"/>
                  </w:tcBorders>
                  <w:shd w:val="clear" w:color="auto" w:fill="auto"/>
                  <w:noWrap/>
                  <w:vAlign w:val="bottom"/>
                  <w:hideMark/>
                </w:tcPr>
                <w:p w:rsidR="00547D92" w:rsidRPr="00890C68" w:rsidRDefault="00547D92" w:rsidP="00547D92">
                  <w:pPr>
                    <w:spacing w:line="240" w:lineRule="auto"/>
                    <w:jc w:val="both"/>
                    <w:rPr>
                      <w:rFonts w:ascii="Times New Roman" w:hAnsi="Times New Roman"/>
                      <w:color w:val="000000"/>
                      <w:sz w:val="21"/>
                      <w:szCs w:val="21"/>
                    </w:rPr>
                  </w:pPr>
                </w:p>
              </w:tc>
              <w:tc>
                <w:tcPr>
                  <w:tcW w:w="160" w:type="dxa"/>
                  <w:tcBorders>
                    <w:top w:val="nil"/>
                    <w:left w:val="nil"/>
                    <w:bottom w:val="nil"/>
                    <w:right w:val="nil"/>
                  </w:tcBorders>
                  <w:shd w:val="clear" w:color="auto" w:fill="auto"/>
                  <w:noWrap/>
                  <w:vAlign w:val="bottom"/>
                  <w:hideMark/>
                </w:tcPr>
                <w:p w:rsidR="00547D92" w:rsidRPr="00890C68" w:rsidRDefault="00547D92" w:rsidP="00547D92">
                  <w:pPr>
                    <w:spacing w:line="240" w:lineRule="auto"/>
                    <w:jc w:val="both"/>
                    <w:rPr>
                      <w:rFonts w:ascii="Times New Roman" w:hAnsi="Times New Roman"/>
                      <w:color w:val="000000"/>
                      <w:sz w:val="21"/>
                      <w:szCs w:val="21"/>
                    </w:rPr>
                  </w:pPr>
                </w:p>
              </w:tc>
            </w:tr>
            <w:tr w:rsidR="00547D92" w:rsidRPr="00890C68" w:rsidTr="00547D92">
              <w:trPr>
                <w:trHeight w:val="600"/>
              </w:trPr>
              <w:tc>
                <w:tcPr>
                  <w:tcW w:w="1163" w:type="dxa"/>
                  <w:tcBorders>
                    <w:top w:val="nil"/>
                    <w:left w:val="single" w:sz="4" w:space="0" w:color="auto"/>
                    <w:bottom w:val="single" w:sz="4" w:space="0" w:color="auto"/>
                    <w:right w:val="single" w:sz="4" w:space="0" w:color="auto"/>
                  </w:tcBorders>
                  <w:shd w:val="clear" w:color="000000" w:fill="D9D9D9"/>
                  <w:vAlign w:val="bottom"/>
                  <w:hideMark/>
                </w:tcPr>
                <w:p w:rsidR="00547D92" w:rsidRPr="00890C68" w:rsidRDefault="00547D92" w:rsidP="00547D92">
                  <w:pPr>
                    <w:spacing w:line="240" w:lineRule="auto"/>
                    <w:jc w:val="both"/>
                    <w:rPr>
                      <w:rFonts w:ascii="Times New Roman" w:hAnsi="Times New Roman"/>
                      <w:color w:val="000000"/>
                      <w:sz w:val="21"/>
                      <w:szCs w:val="21"/>
                    </w:rPr>
                  </w:pPr>
                  <w:r w:rsidRPr="00890C68">
                    <w:rPr>
                      <w:rFonts w:ascii="Times New Roman" w:hAnsi="Times New Roman"/>
                      <w:color w:val="000000"/>
                      <w:sz w:val="21"/>
                      <w:szCs w:val="21"/>
                    </w:rPr>
                    <w:t xml:space="preserve">Wynajem powierzchni biurowej i koszty energii </w:t>
                  </w:r>
                </w:p>
              </w:tc>
              <w:tc>
                <w:tcPr>
                  <w:tcW w:w="850" w:type="dxa"/>
                  <w:tcBorders>
                    <w:top w:val="nil"/>
                    <w:left w:val="nil"/>
                    <w:bottom w:val="single" w:sz="4" w:space="0" w:color="auto"/>
                    <w:right w:val="single" w:sz="4" w:space="0" w:color="auto"/>
                  </w:tcBorders>
                  <w:shd w:val="clear" w:color="auto" w:fill="auto"/>
                  <w:noWrap/>
                  <w:vAlign w:val="bottom"/>
                  <w:hideMark/>
                </w:tcPr>
                <w:p w:rsidR="00547D92" w:rsidRPr="00890C68" w:rsidRDefault="00547D92" w:rsidP="00547D92">
                  <w:pPr>
                    <w:spacing w:line="240" w:lineRule="auto"/>
                    <w:jc w:val="both"/>
                    <w:rPr>
                      <w:rFonts w:ascii="Times New Roman" w:hAnsi="Times New Roman"/>
                      <w:color w:val="000000"/>
                      <w:sz w:val="21"/>
                      <w:szCs w:val="21"/>
                    </w:rPr>
                  </w:pPr>
                  <w:r w:rsidRPr="00890C68">
                    <w:rPr>
                      <w:rFonts w:ascii="Times New Roman" w:hAnsi="Times New Roman"/>
                      <w:color w:val="000000"/>
                      <w:sz w:val="21"/>
                      <w:szCs w:val="21"/>
                    </w:rPr>
                    <w:t>63 448</w:t>
                  </w:r>
                </w:p>
              </w:tc>
              <w:tc>
                <w:tcPr>
                  <w:tcW w:w="851" w:type="dxa"/>
                  <w:tcBorders>
                    <w:top w:val="nil"/>
                    <w:left w:val="nil"/>
                    <w:bottom w:val="single" w:sz="4" w:space="0" w:color="auto"/>
                    <w:right w:val="single" w:sz="4" w:space="0" w:color="auto"/>
                  </w:tcBorders>
                  <w:shd w:val="clear" w:color="auto" w:fill="auto"/>
                  <w:noWrap/>
                  <w:vAlign w:val="bottom"/>
                  <w:hideMark/>
                </w:tcPr>
                <w:p w:rsidR="00547D92" w:rsidRPr="00890C68" w:rsidRDefault="00547D92" w:rsidP="00547D92">
                  <w:pPr>
                    <w:spacing w:line="240" w:lineRule="auto"/>
                    <w:jc w:val="both"/>
                    <w:rPr>
                      <w:rFonts w:ascii="Times New Roman" w:hAnsi="Times New Roman"/>
                      <w:color w:val="000000"/>
                      <w:sz w:val="21"/>
                      <w:szCs w:val="21"/>
                    </w:rPr>
                  </w:pPr>
                  <w:r w:rsidRPr="00890C68">
                    <w:rPr>
                      <w:rFonts w:ascii="Times New Roman" w:hAnsi="Times New Roman"/>
                      <w:color w:val="000000"/>
                      <w:sz w:val="21"/>
                      <w:szCs w:val="21"/>
                    </w:rPr>
                    <w:t>64 908</w:t>
                  </w:r>
                </w:p>
              </w:tc>
              <w:tc>
                <w:tcPr>
                  <w:tcW w:w="850" w:type="dxa"/>
                  <w:tcBorders>
                    <w:top w:val="nil"/>
                    <w:left w:val="nil"/>
                    <w:bottom w:val="single" w:sz="4" w:space="0" w:color="auto"/>
                    <w:right w:val="single" w:sz="4" w:space="0" w:color="auto"/>
                  </w:tcBorders>
                  <w:shd w:val="clear" w:color="auto" w:fill="auto"/>
                  <w:noWrap/>
                  <w:vAlign w:val="bottom"/>
                  <w:hideMark/>
                </w:tcPr>
                <w:p w:rsidR="00547D92" w:rsidRPr="00890C68" w:rsidRDefault="00547D92" w:rsidP="00547D92">
                  <w:pPr>
                    <w:spacing w:line="240" w:lineRule="auto"/>
                    <w:jc w:val="both"/>
                    <w:rPr>
                      <w:rFonts w:ascii="Times New Roman" w:hAnsi="Times New Roman"/>
                      <w:color w:val="000000"/>
                      <w:sz w:val="21"/>
                      <w:szCs w:val="21"/>
                    </w:rPr>
                  </w:pPr>
                  <w:r w:rsidRPr="00890C68">
                    <w:rPr>
                      <w:rFonts w:ascii="Times New Roman" w:hAnsi="Times New Roman"/>
                      <w:color w:val="000000"/>
                      <w:sz w:val="21"/>
                      <w:szCs w:val="21"/>
                    </w:rPr>
                    <w:t>66 400</w:t>
                  </w:r>
                </w:p>
              </w:tc>
              <w:tc>
                <w:tcPr>
                  <w:tcW w:w="851" w:type="dxa"/>
                  <w:tcBorders>
                    <w:top w:val="nil"/>
                    <w:left w:val="nil"/>
                    <w:bottom w:val="single" w:sz="4" w:space="0" w:color="auto"/>
                    <w:right w:val="single" w:sz="4" w:space="0" w:color="auto"/>
                  </w:tcBorders>
                  <w:shd w:val="clear" w:color="auto" w:fill="auto"/>
                  <w:noWrap/>
                  <w:vAlign w:val="bottom"/>
                  <w:hideMark/>
                </w:tcPr>
                <w:p w:rsidR="00547D92" w:rsidRPr="00890C68" w:rsidRDefault="00547D92" w:rsidP="00547D92">
                  <w:pPr>
                    <w:spacing w:line="240" w:lineRule="auto"/>
                    <w:jc w:val="both"/>
                    <w:rPr>
                      <w:rFonts w:ascii="Times New Roman" w:hAnsi="Times New Roman"/>
                      <w:color w:val="000000"/>
                      <w:sz w:val="21"/>
                      <w:szCs w:val="21"/>
                    </w:rPr>
                  </w:pPr>
                  <w:r w:rsidRPr="00890C68">
                    <w:rPr>
                      <w:rFonts w:ascii="Times New Roman" w:hAnsi="Times New Roman"/>
                      <w:color w:val="000000"/>
                      <w:sz w:val="21"/>
                      <w:szCs w:val="21"/>
                    </w:rPr>
                    <w:t>67 928</w:t>
                  </w:r>
                </w:p>
              </w:tc>
              <w:tc>
                <w:tcPr>
                  <w:tcW w:w="850" w:type="dxa"/>
                  <w:tcBorders>
                    <w:top w:val="nil"/>
                    <w:left w:val="nil"/>
                    <w:bottom w:val="single" w:sz="4" w:space="0" w:color="auto"/>
                    <w:right w:val="single" w:sz="4" w:space="0" w:color="auto"/>
                  </w:tcBorders>
                  <w:shd w:val="clear" w:color="auto" w:fill="auto"/>
                  <w:noWrap/>
                  <w:vAlign w:val="bottom"/>
                  <w:hideMark/>
                </w:tcPr>
                <w:p w:rsidR="00547D92" w:rsidRPr="00890C68" w:rsidRDefault="00547D92" w:rsidP="00547D92">
                  <w:pPr>
                    <w:spacing w:line="240" w:lineRule="auto"/>
                    <w:jc w:val="both"/>
                    <w:rPr>
                      <w:rFonts w:ascii="Times New Roman" w:hAnsi="Times New Roman"/>
                      <w:color w:val="000000"/>
                      <w:sz w:val="21"/>
                      <w:szCs w:val="21"/>
                    </w:rPr>
                  </w:pPr>
                  <w:r w:rsidRPr="00890C68">
                    <w:rPr>
                      <w:rFonts w:ascii="Times New Roman" w:hAnsi="Times New Roman"/>
                      <w:color w:val="000000"/>
                      <w:sz w:val="21"/>
                      <w:szCs w:val="21"/>
                    </w:rPr>
                    <w:t>69 490</w:t>
                  </w:r>
                </w:p>
              </w:tc>
              <w:tc>
                <w:tcPr>
                  <w:tcW w:w="851" w:type="dxa"/>
                  <w:tcBorders>
                    <w:top w:val="nil"/>
                    <w:left w:val="nil"/>
                    <w:bottom w:val="single" w:sz="4" w:space="0" w:color="auto"/>
                    <w:right w:val="single" w:sz="4" w:space="0" w:color="auto"/>
                  </w:tcBorders>
                  <w:shd w:val="clear" w:color="auto" w:fill="auto"/>
                  <w:noWrap/>
                  <w:vAlign w:val="bottom"/>
                  <w:hideMark/>
                </w:tcPr>
                <w:p w:rsidR="00547D92" w:rsidRPr="00890C68" w:rsidRDefault="00547D92" w:rsidP="00547D92">
                  <w:pPr>
                    <w:spacing w:line="240" w:lineRule="auto"/>
                    <w:jc w:val="both"/>
                    <w:rPr>
                      <w:rFonts w:ascii="Times New Roman" w:hAnsi="Times New Roman"/>
                      <w:color w:val="000000"/>
                      <w:sz w:val="21"/>
                      <w:szCs w:val="21"/>
                    </w:rPr>
                  </w:pPr>
                  <w:r w:rsidRPr="00890C68">
                    <w:rPr>
                      <w:rFonts w:ascii="Times New Roman" w:hAnsi="Times New Roman"/>
                      <w:color w:val="000000"/>
                      <w:sz w:val="21"/>
                      <w:szCs w:val="21"/>
                    </w:rPr>
                    <w:t>71 088</w:t>
                  </w:r>
                </w:p>
              </w:tc>
              <w:tc>
                <w:tcPr>
                  <w:tcW w:w="850" w:type="dxa"/>
                  <w:tcBorders>
                    <w:top w:val="nil"/>
                    <w:left w:val="nil"/>
                    <w:bottom w:val="single" w:sz="4" w:space="0" w:color="auto"/>
                    <w:right w:val="single" w:sz="4" w:space="0" w:color="auto"/>
                  </w:tcBorders>
                  <w:shd w:val="clear" w:color="auto" w:fill="auto"/>
                  <w:noWrap/>
                  <w:vAlign w:val="bottom"/>
                  <w:hideMark/>
                </w:tcPr>
                <w:p w:rsidR="00547D92" w:rsidRPr="00890C68" w:rsidRDefault="00547D92" w:rsidP="00547D92">
                  <w:pPr>
                    <w:spacing w:line="240" w:lineRule="auto"/>
                    <w:jc w:val="both"/>
                    <w:rPr>
                      <w:rFonts w:ascii="Times New Roman" w:hAnsi="Times New Roman"/>
                      <w:color w:val="000000"/>
                      <w:sz w:val="21"/>
                      <w:szCs w:val="21"/>
                    </w:rPr>
                  </w:pPr>
                  <w:r w:rsidRPr="00890C68">
                    <w:rPr>
                      <w:rFonts w:ascii="Times New Roman" w:hAnsi="Times New Roman"/>
                      <w:color w:val="000000"/>
                      <w:sz w:val="21"/>
                      <w:szCs w:val="21"/>
                    </w:rPr>
                    <w:t>72 723</w:t>
                  </w:r>
                </w:p>
              </w:tc>
              <w:tc>
                <w:tcPr>
                  <w:tcW w:w="851" w:type="dxa"/>
                  <w:tcBorders>
                    <w:top w:val="nil"/>
                    <w:left w:val="nil"/>
                    <w:bottom w:val="single" w:sz="4" w:space="0" w:color="auto"/>
                    <w:right w:val="single" w:sz="4" w:space="0" w:color="auto"/>
                  </w:tcBorders>
                  <w:shd w:val="clear" w:color="auto" w:fill="auto"/>
                  <w:noWrap/>
                  <w:vAlign w:val="bottom"/>
                  <w:hideMark/>
                </w:tcPr>
                <w:p w:rsidR="00547D92" w:rsidRPr="00890C68" w:rsidRDefault="00547D92" w:rsidP="00547D92">
                  <w:pPr>
                    <w:spacing w:line="240" w:lineRule="auto"/>
                    <w:jc w:val="both"/>
                    <w:rPr>
                      <w:rFonts w:ascii="Times New Roman" w:hAnsi="Times New Roman"/>
                      <w:color w:val="000000"/>
                      <w:sz w:val="21"/>
                      <w:szCs w:val="21"/>
                    </w:rPr>
                  </w:pPr>
                  <w:r w:rsidRPr="00890C68">
                    <w:rPr>
                      <w:rFonts w:ascii="Times New Roman" w:hAnsi="Times New Roman"/>
                      <w:color w:val="000000"/>
                      <w:sz w:val="21"/>
                      <w:szCs w:val="21"/>
                    </w:rPr>
                    <w:t>74 396</w:t>
                  </w:r>
                </w:p>
              </w:tc>
              <w:tc>
                <w:tcPr>
                  <w:tcW w:w="850" w:type="dxa"/>
                  <w:tcBorders>
                    <w:top w:val="nil"/>
                    <w:left w:val="nil"/>
                    <w:bottom w:val="single" w:sz="4" w:space="0" w:color="auto"/>
                    <w:right w:val="single" w:sz="4" w:space="0" w:color="auto"/>
                  </w:tcBorders>
                  <w:shd w:val="clear" w:color="auto" w:fill="auto"/>
                  <w:noWrap/>
                  <w:vAlign w:val="bottom"/>
                  <w:hideMark/>
                </w:tcPr>
                <w:p w:rsidR="00547D92" w:rsidRPr="00890C68" w:rsidRDefault="00547D92" w:rsidP="00547D92">
                  <w:pPr>
                    <w:spacing w:line="240" w:lineRule="auto"/>
                    <w:jc w:val="both"/>
                    <w:rPr>
                      <w:rFonts w:ascii="Times New Roman" w:hAnsi="Times New Roman"/>
                      <w:color w:val="000000"/>
                      <w:sz w:val="21"/>
                      <w:szCs w:val="21"/>
                    </w:rPr>
                  </w:pPr>
                  <w:r w:rsidRPr="00890C68">
                    <w:rPr>
                      <w:rFonts w:ascii="Times New Roman" w:hAnsi="Times New Roman"/>
                      <w:color w:val="000000"/>
                      <w:sz w:val="21"/>
                      <w:szCs w:val="21"/>
                    </w:rPr>
                    <w:t>76 107</w:t>
                  </w:r>
                </w:p>
              </w:tc>
              <w:tc>
                <w:tcPr>
                  <w:tcW w:w="1798" w:type="dxa"/>
                  <w:tcBorders>
                    <w:top w:val="nil"/>
                    <w:left w:val="nil"/>
                    <w:bottom w:val="single" w:sz="4" w:space="0" w:color="auto"/>
                    <w:right w:val="single" w:sz="4" w:space="0" w:color="auto"/>
                  </w:tcBorders>
                  <w:shd w:val="clear" w:color="auto" w:fill="auto"/>
                  <w:noWrap/>
                  <w:vAlign w:val="bottom"/>
                  <w:hideMark/>
                </w:tcPr>
                <w:p w:rsidR="00547D92" w:rsidRPr="00890C68" w:rsidRDefault="00547D92" w:rsidP="00547D92">
                  <w:pPr>
                    <w:spacing w:line="240" w:lineRule="auto"/>
                    <w:jc w:val="both"/>
                    <w:rPr>
                      <w:rFonts w:ascii="Times New Roman" w:hAnsi="Times New Roman"/>
                      <w:color w:val="000000"/>
                      <w:sz w:val="21"/>
                      <w:szCs w:val="21"/>
                    </w:rPr>
                  </w:pPr>
                  <w:r w:rsidRPr="00890C68">
                    <w:rPr>
                      <w:rFonts w:ascii="Times New Roman" w:hAnsi="Times New Roman"/>
                      <w:color w:val="000000"/>
                      <w:sz w:val="21"/>
                      <w:szCs w:val="21"/>
                    </w:rPr>
                    <w:t>77 858</w:t>
                  </w:r>
                </w:p>
              </w:tc>
              <w:tc>
                <w:tcPr>
                  <w:tcW w:w="3194" w:type="dxa"/>
                  <w:tcBorders>
                    <w:top w:val="nil"/>
                    <w:left w:val="nil"/>
                    <w:bottom w:val="nil"/>
                    <w:right w:val="nil"/>
                  </w:tcBorders>
                  <w:shd w:val="clear" w:color="auto" w:fill="auto"/>
                  <w:noWrap/>
                  <w:vAlign w:val="bottom"/>
                  <w:hideMark/>
                </w:tcPr>
                <w:p w:rsidR="00547D92" w:rsidRPr="00890C68" w:rsidRDefault="00547D92" w:rsidP="00547D92">
                  <w:pPr>
                    <w:spacing w:line="240" w:lineRule="auto"/>
                    <w:jc w:val="both"/>
                    <w:rPr>
                      <w:rFonts w:ascii="Times New Roman" w:hAnsi="Times New Roman"/>
                      <w:color w:val="000000"/>
                      <w:sz w:val="21"/>
                      <w:szCs w:val="21"/>
                    </w:rPr>
                  </w:pPr>
                </w:p>
              </w:tc>
              <w:tc>
                <w:tcPr>
                  <w:tcW w:w="160" w:type="dxa"/>
                  <w:tcBorders>
                    <w:top w:val="nil"/>
                    <w:left w:val="nil"/>
                    <w:bottom w:val="nil"/>
                    <w:right w:val="nil"/>
                  </w:tcBorders>
                  <w:shd w:val="clear" w:color="auto" w:fill="auto"/>
                  <w:noWrap/>
                  <w:vAlign w:val="bottom"/>
                  <w:hideMark/>
                </w:tcPr>
                <w:p w:rsidR="00547D92" w:rsidRPr="00890C68" w:rsidRDefault="00547D92" w:rsidP="00547D92">
                  <w:pPr>
                    <w:spacing w:line="240" w:lineRule="auto"/>
                    <w:jc w:val="both"/>
                    <w:rPr>
                      <w:rFonts w:ascii="Times New Roman" w:hAnsi="Times New Roman"/>
                      <w:color w:val="000000"/>
                      <w:sz w:val="21"/>
                      <w:szCs w:val="21"/>
                    </w:rPr>
                  </w:pPr>
                </w:p>
              </w:tc>
              <w:tc>
                <w:tcPr>
                  <w:tcW w:w="160" w:type="dxa"/>
                  <w:tcBorders>
                    <w:top w:val="nil"/>
                    <w:left w:val="nil"/>
                    <w:bottom w:val="nil"/>
                    <w:right w:val="nil"/>
                  </w:tcBorders>
                  <w:shd w:val="clear" w:color="auto" w:fill="auto"/>
                  <w:noWrap/>
                  <w:vAlign w:val="bottom"/>
                  <w:hideMark/>
                </w:tcPr>
                <w:p w:rsidR="00547D92" w:rsidRPr="00890C68" w:rsidRDefault="00547D92" w:rsidP="00547D92">
                  <w:pPr>
                    <w:spacing w:line="240" w:lineRule="auto"/>
                    <w:jc w:val="both"/>
                    <w:rPr>
                      <w:rFonts w:ascii="Times New Roman" w:hAnsi="Times New Roman"/>
                      <w:color w:val="000000"/>
                      <w:sz w:val="21"/>
                      <w:szCs w:val="21"/>
                    </w:rPr>
                  </w:pPr>
                </w:p>
              </w:tc>
            </w:tr>
            <w:tr w:rsidR="00547D92" w:rsidRPr="00890C68" w:rsidTr="00547D92">
              <w:trPr>
                <w:trHeight w:val="600"/>
              </w:trPr>
              <w:tc>
                <w:tcPr>
                  <w:tcW w:w="1163" w:type="dxa"/>
                  <w:tcBorders>
                    <w:top w:val="nil"/>
                    <w:left w:val="single" w:sz="4" w:space="0" w:color="auto"/>
                    <w:bottom w:val="single" w:sz="4" w:space="0" w:color="auto"/>
                    <w:right w:val="single" w:sz="4" w:space="0" w:color="auto"/>
                  </w:tcBorders>
                  <w:shd w:val="clear" w:color="000000" w:fill="D9D9D9"/>
                  <w:vAlign w:val="bottom"/>
                  <w:hideMark/>
                </w:tcPr>
                <w:p w:rsidR="00547D92" w:rsidRPr="00890C68" w:rsidRDefault="00547D92" w:rsidP="00547D92">
                  <w:pPr>
                    <w:spacing w:line="240" w:lineRule="auto"/>
                    <w:jc w:val="both"/>
                    <w:rPr>
                      <w:rFonts w:ascii="Times New Roman" w:hAnsi="Times New Roman"/>
                      <w:color w:val="000000"/>
                      <w:sz w:val="21"/>
                      <w:szCs w:val="21"/>
                    </w:rPr>
                  </w:pPr>
                  <w:r w:rsidRPr="00890C68">
                    <w:rPr>
                      <w:rFonts w:ascii="Times New Roman" w:hAnsi="Times New Roman"/>
                      <w:color w:val="000000"/>
                      <w:sz w:val="21"/>
                      <w:szCs w:val="21"/>
                    </w:rPr>
                    <w:t>Koszty zatrudnienia 3 pracowników wraz z pochodnymi</w:t>
                  </w:r>
                </w:p>
              </w:tc>
              <w:tc>
                <w:tcPr>
                  <w:tcW w:w="850" w:type="dxa"/>
                  <w:tcBorders>
                    <w:top w:val="nil"/>
                    <w:left w:val="nil"/>
                    <w:bottom w:val="single" w:sz="4" w:space="0" w:color="auto"/>
                    <w:right w:val="single" w:sz="4" w:space="0" w:color="auto"/>
                  </w:tcBorders>
                  <w:shd w:val="clear" w:color="auto" w:fill="auto"/>
                  <w:noWrap/>
                  <w:vAlign w:val="bottom"/>
                  <w:hideMark/>
                </w:tcPr>
                <w:p w:rsidR="00547D92" w:rsidRPr="00890C68" w:rsidRDefault="00547D92" w:rsidP="00547D92">
                  <w:pPr>
                    <w:spacing w:line="240" w:lineRule="auto"/>
                    <w:jc w:val="both"/>
                    <w:rPr>
                      <w:rFonts w:ascii="Times New Roman" w:hAnsi="Times New Roman"/>
                      <w:color w:val="000000"/>
                      <w:sz w:val="21"/>
                      <w:szCs w:val="21"/>
                    </w:rPr>
                  </w:pPr>
                  <w:r w:rsidRPr="00890C68">
                    <w:rPr>
                      <w:rFonts w:ascii="Times New Roman" w:hAnsi="Times New Roman"/>
                      <w:color w:val="000000"/>
                      <w:sz w:val="21"/>
                      <w:szCs w:val="21"/>
                    </w:rPr>
                    <w:t>330 000</w:t>
                  </w:r>
                </w:p>
              </w:tc>
              <w:tc>
                <w:tcPr>
                  <w:tcW w:w="851" w:type="dxa"/>
                  <w:tcBorders>
                    <w:top w:val="nil"/>
                    <w:left w:val="nil"/>
                    <w:bottom w:val="single" w:sz="4" w:space="0" w:color="auto"/>
                    <w:right w:val="single" w:sz="4" w:space="0" w:color="auto"/>
                  </w:tcBorders>
                  <w:shd w:val="clear" w:color="auto" w:fill="auto"/>
                  <w:noWrap/>
                  <w:vAlign w:val="bottom"/>
                  <w:hideMark/>
                </w:tcPr>
                <w:p w:rsidR="00547D92" w:rsidRPr="00890C68" w:rsidRDefault="00547D92" w:rsidP="00547D92">
                  <w:pPr>
                    <w:spacing w:line="240" w:lineRule="auto"/>
                    <w:jc w:val="both"/>
                    <w:rPr>
                      <w:rFonts w:ascii="Times New Roman" w:hAnsi="Times New Roman"/>
                      <w:color w:val="000000"/>
                      <w:sz w:val="21"/>
                      <w:szCs w:val="21"/>
                    </w:rPr>
                  </w:pPr>
                  <w:r w:rsidRPr="00890C68">
                    <w:rPr>
                      <w:rFonts w:ascii="Times New Roman" w:hAnsi="Times New Roman"/>
                      <w:color w:val="000000"/>
                      <w:sz w:val="21"/>
                      <w:szCs w:val="21"/>
                    </w:rPr>
                    <w:t>337 590</w:t>
                  </w:r>
                </w:p>
              </w:tc>
              <w:tc>
                <w:tcPr>
                  <w:tcW w:w="850" w:type="dxa"/>
                  <w:tcBorders>
                    <w:top w:val="nil"/>
                    <w:left w:val="nil"/>
                    <w:bottom w:val="single" w:sz="4" w:space="0" w:color="auto"/>
                    <w:right w:val="single" w:sz="4" w:space="0" w:color="auto"/>
                  </w:tcBorders>
                  <w:shd w:val="clear" w:color="auto" w:fill="auto"/>
                  <w:noWrap/>
                  <w:vAlign w:val="bottom"/>
                  <w:hideMark/>
                </w:tcPr>
                <w:p w:rsidR="00547D92" w:rsidRPr="00890C68" w:rsidRDefault="00547D92" w:rsidP="00547D92">
                  <w:pPr>
                    <w:spacing w:line="240" w:lineRule="auto"/>
                    <w:jc w:val="both"/>
                    <w:rPr>
                      <w:rFonts w:ascii="Times New Roman" w:hAnsi="Times New Roman"/>
                      <w:color w:val="000000"/>
                      <w:sz w:val="21"/>
                      <w:szCs w:val="21"/>
                    </w:rPr>
                  </w:pPr>
                  <w:r w:rsidRPr="00890C68">
                    <w:rPr>
                      <w:rFonts w:ascii="Times New Roman" w:hAnsi="Times New Roman"/>
                      <w:color w:val="000000"/>
                      <w:sz w:val="21"/>
                      <w:szCs w:val="21"/>
                    </w:rPr>
                    <w:t>345 355</w:t>
                  </w:r>
                </w:p>
              </w:tc>
              <w:tc>
                <w:tcPr>
                  <w:tcW w:w="851" w:type="dxa"/>
                  <w:tcBorders>
                    <w:top w:val="nil"/>
                    <w:left w:val="nil"/>
                    <w:bottom w:val="single" w:sz="4" w:space="0" w:color="auto"/>
                    <w:right w:val="single" w:sz="4" w:space="0" w:color="auto"/>
                  </w:tcBorders>
                  <w:shd w:val="clear" w:color="auto" w:fill="auto"/>
                  <w:noWrap/>
                  <w:vAlign w:val="bottom"/>
                  <w:hideMark/>
                </w:tcPr>
                <w:p w:rsidR="00547D92" w:rsidRPr="00890C68" w:rsidRDefault="00547D92" w:rsidP="00547D92">
                  <w:pPr>
                    <w:spacing w:line="240" w:lineRule="auto"/>
                    <w:jc w:val="both"/>
                    <w:rPr>
                      <w:rFonts w:ascii="Times New Roman" w:hAnsi="Times New Roman"/>
                      <w:color w:val="000000"/>
                      <w:sz w:val="21"/>
                      <w:szCs w:val="21"/>
                    </w:rPr>
                  </w:pPr>
                  <w:r w:rsidRPr="00890C68">
                    <w:rPr>
                      <w:rFonts w:ascii="Times New Roman" w:hAnsi="Times New Roman"/>
                      <w:color w:val="000000"/>
                      <w:sz w:val="21"/>
                      <w:szCs w:val="21"/>
                    </w:rPr>
                    <w:t>353 298</w:t>
                  </w:r>
                </w:p>
              </w:tc>
              <w:tc>
                <w:tcPr>
                  <w:tcW w:w="850" w:type="dxa"/>
                  <w:tcBorders>
                    <w:top w:val="nil"/>
                    <w:left w:val="nil"/>
                    <w:bottom w:val="single" w:sz="4" w:space="0" w:color="auto"/>
                    <w:right w:val="single" w:sz="4" w:space="0" w:color="auto"/>
                  </w:tcBorders>
                  <w:shd w:val="clear" w:color="auto" w:fill="auto"/>
                  <w:noWrap/>
                  <w:vAlign w:val="bottom"/>
                  <w:hideMark/>
                </w:tcPr>
                <w:p w:rsidR="00547D92" w:rsidRPr="00890C68" w:rsidRDefault="00547D92" w:rsidP="00547D92">
                  <w:pPr>
                    <w:spacing w:line="240" w:lineRule="auto"/>
                    <w:jc w:val="both"/>
                    <w:rPr>
                      <w:rFonts w:ascii="Times New Roman" w:hAnsi="Times New Roman"/>
                      <w:color w:val="000000"/>
                      <w:sz w:val="21"/>
                      <w:szCs w:val="21"/>
                    </w:rPr>
                  </w:pPr>
                  <w:r w:rsidRPr="00890C68">
                    <w:rPr>
                      <w:rFonts w:ascii="Times New Roman" w:hAnsi="Times New Roman"/>
                      <w:color w:val="000000"/>
                      <w:sz w:val="21"/>
                      <w:szCs w:val="21"/>
                    </w:rPr>
                    <w:t>361 424</w:t>
                  </w:r>
                </w:p>
              </w:tc>
              <w:tc>
                <w:tcPr>
                  <w:tcW w:w="851" w:type="dxa"/>
                  <w:tcBorders>
                    <w:top w:val="nil"/>
                    <w:left w:val="nil"/>
                    <w:bottom w:val="single" w:sz="4" w:space="0" w:color="auto"/>
                    <w:right w:val="single" w:sz="4" w:space="0" w:color="auto"/>
                  </w:tcBorders>
                  <w:shd w:val="clear" w:color="auto" w:fill="auto"/>
                  <w:noWrap/>
                  <w:vAlign w:val="bottom"/>
                  <w:hideMark/>
                </w:tcPr>
                <w:p w:rsidR="00547D92" w:rsidRPr="00890C68" w:rsidRDefault="00547D92" w:rsidP="00547D92">
                  <w:pPr>
                    <w:spacing w:line="240" w:lineRule="auto"/>
                    <w:jc w:val="both"/>
                    <w:rPr>
                      <w:rFonts w:ascii="Times New Roman" w:hAnsi="Times New Roman"/>
                      <w:color w:val="000000"/>
                      <w:sz w:val="21"/>
                      <w:szCs w:val="21"/>
                    </w:rPr>
                  </w:pPr>
                  <w:r w:rsidRPr="00890C68">
                    <w:rPr>
                      <w:rFonts w:ascii="Times New Roman" w:hAnsi="Times New Roman"/>
                      <w:color w:val="000000"/>
                      <w:sz w:val="21"/>
                      <w:szCs w:val="21"/>
                    </w:rPr>
                    <w:t>369 736</w:t>
                  </w:r>
                </w:p>
              </w:tc>
              <w:tc>
                <w:tcPr>
                  <w:tcW w:w="850" w:type="dxa"/>
                  <w:tcBorders>
                    <w:top w:val="nil"/>
                    <w:left w:val="nil"/>
                    <w:bottom w:val="single" w:sz="4" w:space="0" w:color="auto"/>
                    <w:right w:val="single" w:sz="4" w:space="0" w:color="auto"/>
                  </w:tcBorders>
                  <w:shd w:val="clear" w:color="auto" w:fill="auto"/>
                  <w:noWrap/>
                  <w:vAlign w:val="bottom"/>
                  <w:hideMark/>
                </w:tcPr>
                <w:p w:rsidR="00547D92" w:rsidRPr="00890C68" w:rsidRDefault="00547D92" w:rsidP="00547D92">
                  <w:pPr>
                    <w:spacing w:line="240" w:lineRule="auto"/>
                    <w:jc w:val="both"/>
                    <w:rPr>
                      <w:rFonts w:ascii="Times New Roman" w:hAnsi="Times New Roman"/>
                      <w:color w:val="000000"/>
                      <w:sz w:val="21"/>
                      <w:szCs w:val="21"/>
                    </w:rPr>
                  </w:pPr>
                  <w:r w:rsidRPr="00890C68">
                    <w:rPr>
                      <w:rFonts w:ascii="Times New Roman" w:hAnsi="Times New Roman"/>
                      <w:color w:val="000000"/>
                      <w:sz w:val="21"/>
                      <w:szCs w:val="21"/>
                    </w:rPr>
                    <w:t>378 240</w:t>
                  </w:r>
                </w:p>
              </w:tc>
              <w:tc>
                <w:tcPr>
                  <w:tcW w:w="851" w:type="dxa"/>
                  <w:tcBorders>
                    <w:top w:val="nil"/>
                    <w:left w:val="nil"/>
                    <w:bottom w:val="single" w:sz="4" w:space="0" w:color="auto"/>
                    <w:right w:val="single" w:sz="4" w:space="0" w:color="auto"/>
                  </w:tcBorders>
                  <w:shd w:val="clear" w:color="auto" w:fill="auto"/>
                  <w:noWrap/>
                  <w:vAlign w:val="bottom"/>
                  <w:hideMark/>
                </w:tcPr>
                <w:p w:rsidR="00547D92" w:rsidRPr="00890C68" w:rsidRDefault="00547D92" w:rsidP="00547D92">
                  <w:pPr>
                    <w:spacing w:line="240" w:lineRule="auto"/>
                    <w:jc w:val="both"/>
                    <w:rPr>
                      <w:rFonts w:ascii="Times New Roman" w:hAnsi="Times New Roman"/>
                      <w:color w:val="000000"/>
                      <w:sz w:val="21"/>
                      <w:szCs w:val="21"/>
                    </w:rPr>
                  </w:pPr>
                  <w:r w:rsidRPr="00890C68">
                    <w:rPr>
                      <w:rFonts w:ascii="Times New Roman" w:hAnsi="Times New Roman"/>
                      <w:color w:val="000000"/>
                      <w:sz w:val="21"/>
                      <w:szCs w:val="21"/>
                    </w:rPr>
                    <w:t>386 940</w:t>
                  </w:r>
                </w:p>
              </w:tc>
              <w:tc>
                <w:tcPr>
                  <w:tcW w:w="850" w:type="dxa"/>
                  <w:tcBorders>
                    <w:top w:val="nil"/>
                    <w:left w:val="nil"/>
                    <w:bottom w:val="single" w:sz="4" w:space="0" w:color="auto"/>
                    <w:right w:val="single" w:sz="4" w:space="0" w:color="auto"/>
                  </w:tcBorders>
                  <w:shd w:val="clear" w:color="auto" w:fill="auto"/>
                  <w:noWrap/>
                  <w:vAlign w:val="bottom"/>
                  <w:hideMark/>
                </w:tcPr>
                <w:p w:rsidR="00547D92" w:rsidRPr="00890C68" w:rsidRDefault="00547D92" w:rsidP="00547D92">
                  <w:pPr>
                    <w:spacing w:line="240" w:lineRule="auto"/>
                    <w:jc w:val="both"/>
                    <w:rPr>
                      <w:rFonts w:ascii="Times New Roman" w:hAnsi="Times New Roman"/>
                      <w:color w:val="000000"/>
                      <w:sz w:val="21"/>
                      <w:szCs w:val="21"/>
                    </w:rPr>
                  </w:pPr>
                  <w:r w:rsidRPr="00890C68">
                    <w:rPr>
                      <w:rFonts w:ascii="Times New Roman" w:hAnsi="Times New Roman"/>
                      <w:color w:val="000000"/>
                      <w:sz w:val="21"/>
                      <w:szCs w:val="21"/>
                    </w:rPr>
                    <w:t>395 839</w:t>
                  </w:r>
                </w:p>
              </w:tc>
              <w:tc>
                <w:tcPr>
                  <w:tcW w:w="1798" w:type="dxa"/>
                  <w:tcBorders>
                    <w:top w:val="nil"/>
                    <w:left w:val="nil"/>
                    <w:bottom w:val="single" w:sz="4" w:space="0" w:color="auto"/>
                    <w:right w:val="single" w:sz="4" w:space="0" w:color="auto"/>
                  </w:tcBorders>
                  <w:shd w:val="clear" w:color="auto" w:fill="auto"/>
                  <w:noWrap/>
                  <w:vAlign w:val="bottom"/>
                  <w:hideMark/>
                </w:tcPr>
                <w:p w:rsidR="00547D92" w:rsidRPr="00890C68" w:rsidRDefault="00547D92" w:rsidP="00547D92">
                  <w:pPr>
                    <w:spacing w:line="240" w:lineRule="auto"/>
                    <w:jc w:val="both"/>
                    <w:rPr>
                      <w:rFonts w:ascii="Times New Roman" w:hAnsi="Times New Roman"/>
                      <w:color w:val="000000"/>
                      <w:sz w:val="21"/>
                      <w:szCs w:val="21"/>
                    </w:rPr>
                  </w:pPr>
                  <w:r w:rsidRPr="00890C68">
                    <w:rPr>
                      <w:rFonts w:ascii="Times New Roman" w:hAnsi="Times New Roman"/>
                      <w:color w:val="000000"/>
                      <w:sz w:val="21"/>
                      <w:szCs w:val="21"/>
                    </w:rPr>
                    <w:t>404 943</w:t>
                  </w:r>
                </w:p>
              </w:tc>
              <w:tc>
                <w:tcPr>
                  <w:tcW w:w="3194" w:type="dxa"/>
                  <w:tcBorders>
                    <w:top w:val="nil"/>
                    <w:left w:val="nil"/>
                    <w:bottom w:val="nil"/>
                    <w:right w:val="nil"/>
                  </w:tcBorders>
                  <w:shd w:val="clear" w:color="auto" w:fill="auto"/>
                  <w:noWrap/>
                  <w:vAlign w:val="bottom"/>
                  <w:hideMark/>
                </w:tcPr>
                <w:p w:rsidR="00547D92" w:rsidRPr="00890C68" w:rsidRDefault="00547D92" w:rsidP="00547D92">
                  <w:pPr>
                    <w:spacing w:line="240" w:lineRule="auto"/>
                    <w:jc w:val="both"/>
                    <w:rPr>
                      <w:rFonts w:ascii="Times New Roman" w:hAnsi="Times New Roman"/>
                      <w:color w:val="000000"/>
                      <w:sz w:val="21"/>
                      <w:szCs w:val="21"/>
                    </w:rPr>
                  </w:pPr>
                </w:p>
              </w:tc>
              <w:tc>
                <w:tcPr>
                  <w:tcW w:w="160" w:type="dxa"/>
                  <w:tcBorders>
                    <w:top w:val="nil"/>
                    <w:left w:val="nil"/>
                    <w:bottom w:val="nil"/>
                    <w:right w:val="nil"/>
                  </w:tcBorders>
                  <w:shd w:val="clear" w:color="auto" w:fill="auto"/>
                  <w:noWrap/>
                  <w:vAlign w:val="bottom"/>
                  <w:hideMark/>
                </w:tcPr>
                <w:p w:rsidR="00547D92" w:rsidRPr="00890C68" w:rsidRDefault="00547D92" w:rsidP="00547D92">
                  <w:pPr>
                    <w:spacing w:line="240" w:lineRule="auto"/>
                    <w:jc w:val="both"/>
                    <w:rPr>
                      <w:rFonts w:ascii="Times New Roman" w:hAnsi="Times New Roman"/>
                      <w:color w:val="000000"/>
                      <w:sz w:val="21"/>
                      <w:szCs w:val="21"/>
                    </w:rPr>
                  </w:pPr>
                </w:p>
              </w:tc>
              <w:tc>
                <w:tcPr>
                  <w:tcW w:w="160" w:type="dxa"/>
                  <w:tcBorders>
                    <w:top w:val="nil"/>
                    <w:left w:val="nil"/>
                    <w:bottom w:val="nil"/>
                    <w:right w:val="nil"/>
                  </w:tcBorders>
                  <w:shd w:val="clear" w:color="auto" w:fill="auto"/>
                  <w:noWrap/>
                  <w:vAlign w:val="bottom"/>
                  <w:hideMark/>
                </w:tcPr>
                <w:p w:rsidR="00547D92" w:rsidRPr="00890C68" w:rsidRDefault="00547D92" w:rsidP="00547D92">
                  <w:pPr>
                    <w:spacing w:line="240" w:lineRule="auto"/>
                    <w:jc w:val="both"/>
                    <w:rPr>
                      <w:rFonts w:ascii="Times New Roman" w:hAnsi="Times New Roman"/>
                      <w:color w:val="000000"/>
                      <w:sz w:val="21"/>
                      <w:szCs w:val="21"/>
                    </w:rPr>
                  </w:pPr>
                </w:p>
              </w:tc>
            </w:tr>
            <w:tr w:rsidR="00547D92" w:rsidRPr="00890C68" w:rsidTr="00547D92">
              <w:trPr>
                <w:trHeight w:val="900"/>
              </w:trPr>
              <w:tc>
                <w:tcPr>
                  <w:tcW w:w="1163" w:type="dxa"/>
                  <w:tcBorders>
                    <w:top w:val="nil"/>
                    <w:left w:val="single" w:sz="4" w:space="0" w:color="auto"/>
                    <w:bottom w:val="single" w:sz="4" w:space="0" w:color="auto"/>
                    <w:right w:val="single" w:sz="4" w:space="0" w:color="auto"/>
                  </w:tcBorders>
                  <w:shd w:val="clear" w:color="000000" w:fill="D9D9D9"/>
                  <w:vAlign w:val="bottom"/>
                  <w:hideMark/>
                </w:tcPr>
                <w:p w:rsidR="00547D92" w:rsidRPr="00890C68" w:rsidRDefault="00547D92" w:rsidP="00547D92">
                  <w:pPr>
                    <w:spacing w:line="240" w:lineRule="auto"/>
                    <w:jc w:val="both"/>
                    <w:rPr>
                      <w:rFonts w:ascii="Times New Roman" w:hAnsi="Times New Roman"/>
                      <w:color w:val="000000"/>
                      <w:sz w:val="21"/>
                      <w:szCs w:val="21"/>
                    </w:rPr>
                  </w:pPr>
                  <w:r w:rsidRPr="00890C68">
                    <w:rPr>
                      <w:rFonts w:ascii="Times New Roman" w:hAnsi="Times New Roman"/>
                      <w:color w:val="000000"/>
                      <w:sz w:val="21"/>
                      <w:szCs w:val="21"/>
                    </w:rPr>
                    <w:t>Utworzenie 3 stanowisk pracy w tym infrastruktury oraz ich utrzymanie</w:t>
                  </w:r>
                </w:p>
              </w:tc>
              <w:tc>
                <w:tcPr>
                  <w:tcW w:w="850" w:type="dxa"/>
                  <w:tcBorders>
                    <w:top w:val="nil"/>
                    <w:left w:val="nil"/>
                    <w:bottom w:val="single" w:sz="4" w:space="0" w:color="auto"/>
                    <w:right w:val="single" w:sz="4" w:space="0" w:color="auto"/>
                  </w:tcBorders>
                  <w:shd w:val="clear" w:color="auto" w:fill="auto"/>
                  <w:noWrap/>
                  <w:vAlign w:val="bottom"/>
                  <w:hideMark/>
                </w:tcPr>
                <w:p w:rsidR="00547D92" w:rsidRPr="00890C68" w:rsidRDefault="00547D92" w:rsidP="00547D92">
                  <w:pPr>
                    <w:spacing w:line="240" w:lineRule="auto"/>
                    <w:jc w:val="both"/>
                    <w:rPr>
                      <w:rFonts w:ascii="Times New Roman" w:hAnsi="Times New Roman"/>
                      <w:color w:val="000000"/>
                      <w:sz w:val="21"/>
                      <w:szCs w:val="21"/>
                    </w:rPr>
                  </w:pPr>
                  <w:r w:rsidRPr="00890C68">
                    <w:rPr>
                      <w:rFonts w:ascii="Times New Roman" w:hAnsi="Times New Roman"/>
                      <w:color w:val="000000"/>
                      <w:sz w:val="21"/>
                      <w:szCs w:val="21"/>
                    </w:rPr>
                    <w:t>37 931</w:t>
                  </w:r>
                </w:p>
              </w:tc>
              <w:tc>
                <w:tcPr>
                  <w:tcW w:w="851" w:type="dxa"/>
                  <w:tcBorders>
                    <w:top w:val="nil"/>
                    <w:left w:val="nil"/>
                    <w:bottom w:val="single" w:sz="4" w:space="0" w:color="auto"/>
                    <w:right w:val="single" w:sz="4" w:space="0" w:color="auto"/>
                  </w:tcBorders>
                  <w:shd w:val="clear" w:color="auto" w:fill="auto"/>
                  <w:noWrap/>
                  <w:vAlign w:val="bottom"/>
                  <w:hideMark/>
                </w:tcPr>
                <w:p w:rsidR="00547D92" w:rsidRPr="00890C68" w:rsidRDefault="00547D92" w:rsidP="00547D92">
                  <w:pPr>
                    <w:spacing w:line="240" w:lineRule="auto"/>
                    <w:jc w:val="both"/>
                    <w:rPr>
                      <w:rFonts w:ascii="Times New Roman" w:hAnsi="Times New Roman"/>
                      <w:color w:val="000000"/>
                      <w:sz w:val="21"/>
                      <w:szCs w:val="21"/>
                    </w:rPr>
                  </w:pPr>
                  <w:r w:rsidRPr="00890C68">
                    <w:rPr>
                      <w:rFonts w:ascii="Times New Roman" w:hAnsi="Times New Roman"/>
                      <w:color w:val="000000"/>
                      <w:sz w:val="21"/>
                      <w:szCs w:val="21"/>
                    </w:rPr>
                    <w:t>8 621</w:t>
                  </w:r>
                </w:p>
              </w:tc>
              <w:tc>
                <w:tcPr>
                  <w:tcW w:w="850" w:type="dxa"/>
                  <w:tcBorders>
                    <w:top w:val="nil"/>
                    <w:left w:val="nil"/>
                    <w:bottom w:val="single" w:sz="4" w:space="0" w:color="auto"/>
                    <w:right w:val="single" w:sz="4" w:space="0" w:color="auto"/>
                  </w:tcBorders>
                  <w:shd w:val="clear" w:color="auto" w:fill="auto"/>
                  <w:noWrap/>
                  <w:vAlign w:val="bottom"/>
                  <w:hideMark/>
                </w:tcPr>
                <w:p w:rsidR="00547D92" w:rsidRPr="00890C68" w:rsidRDefault="00547D92" w:rsidP="00547D92">
                  <w:pPr>
                    <w:spacing w:line="240" w:lineRule="auto"/>
                    <w:jc w:val="both"/>
                    <w:rPr>
                      <w:rFonts w:ascii="Times New Roman" w:hAnsi="Times New Roman"/>
                      <w:color w:val="000000"/>
                      <w:sz w:val="21"/>
                      <w:szCs w:val="21"/>
                    </w:rPr>
                  </w:pPr>
                  <w:r w:rsidRPr="00890C68">
                    <w:rPr>
                      <w:rFonts w:ascii="Times New Roman" w:hAnsi="Times New Roman"/>
                      <w:color w:val="000000"/>
                      <w:sz w:val="21"/>
                      <w:szCs w:val="21"/>
                    </w:rPr>
                    <w:t>9 483</w:t>
                  </w:r>
                </w:p>
              </w:tc>
              <w:tc>
                <w:tcPr>
                  <w:tcW w:w="851" w:type="dxa"/>
                  <w:tcBorders>
                    <w:top w:val="nil"/>
                    <w:left w:val="nil"/>
                    <w:bottom w:val="single" w:sz="4" w:space="0" w:color="auto"/>
                    <w:right w:val="single" w:sz="4" w:space="0" w:color="auto"/>
                  </w:tcBorders>
                  <w:shd w:val="clear" w:color="auto" w:fill="auto"/>
                  <w:noWrap/>
                  <w:vAlign w:val="bottom"/>
                  <w:hideMark/>
                </w:tcPr>
                <w:p w:rsidR="00547D92" w:rsidRPr="00890C68" w:rsidRDefault="00547D92" w:rsidP="00547D92">
                  <w:pPr>
                    <w:spacing w:line="240" w:lineRule="auto"/>
                    <w:jc w:val="both"/>
                    <w:rPr>
                      <w:rFonts w:ascii="Times New Roman" w:hAnsi="Times New Roman"/>
                      <w:color w:val="000000"/>
                      <w:sz w:val="21"/>
                      <w:szCs w:val="21"/>
                    </w:rPr>
                  </w:pPr>
                  <w:r w:rsidRPr="00890C68">
                    <w:rPr>
                      <w:rFonts w:ascii="Times New Roman" w:hAnsi="Times New Roman"/>
                      <w:color w:val="000000"/>
                      <w:sz w:val="21"/>
                      <w:szCs w:val="21"/>
                    </w:rPr>
                    <w:t>10 431</w:t>
                  </w:r>
                </w:p>
              </w:tc>
              <w:tc>
                <w:tcPr>
                  <w:tcW w:w="850" w:type="dxa"/>
                  <w:tcBorders>
                    <w:top w:val="nil"/>
                    <w:left w:val="nil"/>
                    <w:bottom w:val="single" w:sz="4" w:space="0" w:color="auto"/>
                    <w:right w:val="single" w:sz="4" w:space="0" w:color="auto"/>
                  </w:tcBorders>
                  <w:shd w:val="clear" w:color="auto" w:fill="auto"/>
                  <w:noWrap/>
                  <w:vAlign w:val="bottom"/>
                  <w:hideMark/>
                </w:tcPr>
                <w:p w:rsidR="00547D92" w:rsidRPr="00890C68" w:rsidRDefault="00547D92" w:rsidP="00547D92">
                  <w:pPr>
                    <w:spacing w:line="240" w:lineRule="auto"/>
                    <w:jc w:val="both"/>
                    <w:rPr>
                      <w:rFonts w:ascii="Times New Roman" w:hAnsi="Times New Roman"/>
                      <w:color w:val="000000"/>
                      <w:sz w:val="21"/>
                      <w:szCs w:val="21"/>
                    </w:rPr>
                  </w:pPr>
                  <w:r w:rsidRPr="00890C68">
                    <w:rPr>
                      <w:rFonts w:ascii="Times New Roman" w:hAnsi="Times New Roman"/>
                      <w:color w:val="000000"/>
                      <w:sz w:val="21"/>
                      <w:szCs w:val="21"/>
                    </w:rPr>
                    <w:t>20 690</w:t>
                  </w:r>
                </w:p>
              </w:tc>
              <w:tc>
                <w:tcPr>
                  <w:tcW w:w="851" w:type="dxa"/>
                  <w:tcBorders>
                    <w:top w:val="nil"/>
                    <w:left w:val="nil"/>
                    <w:bottom w:val="single" w:sz="4" w:space="0" w:color="auto"/>
                    <w:right w:val="single" w:sz="4" w:space="0" w:color="auto"/>
                  </w:tcBorders>
                  <w:shd w:val="clear" w:color="auto" w:fill="auto"/>
                  <w:noWrap/>
                  <w:vAlign w:val="bottom"/>
                  <w:hideMark/>
                </w:tcPr>
                <w:p w:rsidR="00547D92" w:rsidRPr="00890C68" w:rsidRDefault="00547D92" w:rsidP="00547D92">
                  <w:pPr>
                    <w:spacing w:line="240" w:lineRule="auto"/>
                    <w:jc w:val="both"/>
                    <w:rPr>
                      <w:rFonts w:ascii="Times New Roman" w:hAnsi="Times New Roman"/>
                      <w:color w:val="000000"/>
                      <w:sz w:val="21"/>
                      <w:szCs w:val="21"/>
                    </w:rPr>
                  </w:pPr>
                  <w:r w:rsidRPr="00890C68">
                    <w:rPr>
                      <w:rFonts w:ascii="Times New Roman" w:hAnsi="Times New Roman"/>
                      <w:color w:val="000000"/>
                      <w:sz w:val="21"/>
                      <w:szCs w:val="21"/>
                    </w:rPr>
                    <w:t>17 241</w:t>
                  </w:r>
                </w:p>
              </w:tc>
              <w:tc>
                <w:tcPr>
                  <w:tcW w:w="850" w:type="dxa"/>
                  <w:tcBorders>
                    <w:top w:val="nil"/>
                    <w:left w:val="nil"/>
                    <w:bottom w:val="single" w:sz="4" w:space="0" w:color="auto"/>
                    <w:right w:val="single" w:sz="4" w:space="0" w:color="auto"/>
                  </w:tcBorders>
                  <w:shd w:val="clear" w:color="auto" w:fill="auto"/>
                  <w:noWrap/>
                  <w:vAlign w:val="bottom"/>
                  <w:hideMark/>
                </w:tcPr>
                <w:p w:rsidR="00547D92" w:rsidRPr="00890C68" w:rsidRDefault="00547D92" w:rsidP="00547D92">
                  <w:pPr>
                    <w:spacing w:line="240" w:lineRule="auto"/>
                    <w:jc w:val="both"/>
                    <w:rPr>
                      <w:rFonts w:ascii="Times New Roman" w:hAnsi="Times New Roman"/>
                      <w:color w:val="000000"/>
                      <w:sz w:val="21"/>
                      <w:szCs w:val="21"/>
                    </w:rPr>
                  </w:pPr>
                  <w:r w:rsidRPr="00890C68">
                    <w:rPr>
                      <w:rFonts w:ascii="Times New Roman" w:hAnsi="Times New Roman"/>
                      <w:color w:val="000000"/>
                      <w:sz w:val="21"/>
                      <w:szCs w:val="21"/>
                    </w:rPr>
                    <w:t>17 638</w:t>
                  </w:r>
                </w:p>
              </w:tc>
              <w:tc>
                <w:tcPr>
                  <w:tcW w:w="851" w:type="dxa"/>
                  <w:tcBorders>
                    <w:top w:val="nil"/>
                    <w:left w:val="nil"/>
                    <w:bottom w:val="single" w:sz="4" w:space="0" w:color="auto"/>
                    <w:right w:val="single" w:sz="4" w:space="0" w:color="auto"/>
                  </w:tcBorders>
                  <w:shd w:val="clear" w:color="auto" w:fill="auto"/>
                  <w:noWrap/>
                  <w:vAlign w:val="bottom"/>
                  <w:hideMark/>
                </w:tcPr>
                <w:p w:rsidR="00547D92" w:rsidRPr="00890C68" w:rsidRDefault="00547D92" w:rsidP="00547D92">
                  <w:pPr>
                    <w:spacing w:line="240" w:lineRule="auto"/>
                    <w:jc w:val="both"/>
                    <w:rPr>
                      <w:rFonts w:ascii="Times New Roman" w:hAnsi="Times New Roman"/>
                      <w:color w:val="000000"/>
                      <w:sz w:val="21"/>
                      <w:szCs w:val="21"/>
                    </w:rPr>
                  </w:pPr>
                  <w:r w:rsidRPr="00890C68">
                    <w:rPr>
                      <w:rFonts w:ascii="Times New Roman" w:hAnsi="Times New Roman"/>
                      <w:color w:val="000000"/>
                      <w:sz w:val="21"/>
                      <w:szCs w:val="21"/>
                    </w:rPr>
                    <w:t>18 044</w:t>
                  </w:r>
                </w:p>
              </w:tc>
              <w:tc>
                <w:tcPr>
                  <w:tcW w:w="850" w:type="dxa"/>
                  <w:tcBorders>
                    <w:top w:val="nil"/>
                    <w:left w:val="nil"/>
                    <w:bottom w:val="single" w:sz="4" w:space="0" w:color="auto"/>
                    <w:right w:val="single" w:sz="4" w:space="0" w:color="auto"/>
                  </w:tcBorders>
                  <w:shd w:val="clear" w:color="auto" w:fill="auto"/>
                  <w:noWrap/>
                  <w:vAlign w:val="bottom"/>
                  <w:hideMark/>
                </w:tcPr>
                <w:p w:rsidR="00547D92" w:rsidRPr="00890C68" w:rsidRDefault="00547D92" w:rsidP="00547D92">
                  <w:pPr>
                    <w:spacing w:line="240" w:lineRule="auto"/>
                    <w:jc w:val="both"/>
                    <w:rPr>
                      <w:rFonts w:ascii="Times New Roman" w:hAnsi="Times New Roman"/>
                      <w:color w:val="000000"/>
                      <w:sz w:val="21"/>
                      <w:szCs w:val="21"/>
                    </w:rPr>
                  </w:pPr>
                  <w:r w:rsidRPr="00890C68">
                    <w:rPr>
                      <w:rFonts w:ascii="Times New Roman" w:hAnsi="Times New Roman"/>
                      <w:color w:val="000000"/>
                      <w:sz w:val="21"/>
                      <w:szCs w:val="21"/>
                    </w:rPr>
                    <w:t>18 459</w:t>
                  </w:r>
                </w:p>
              </w:tc>
              <w:tc>
                <w:tcPr>
                  <w:tcW w:w="1798" w:type="dxa"/>
                  <w:tcBorders>
                    <w:top w:val="nil"/>
                    <w:left w:val="nil"/>
                    <w:bottom w:val="single" w:sz="4" w:space="0" w:color="auto"/>
                    <w:right w:val="single" w:sz="4" w:space="0" w:color="auto"/>
                  </w:tcBorders>
                  <w:shd w:val="clear" w:color="auto" w:fill="auto"/>
                  <w:noWrap/>
                  <w:vAlign w:val="bottom"/>
                  <w:hideMark/>
                </w:tcPr>
                <w:p w:rsidR="00547D92" w:rsidRPr="00890C68" w:rsidRDefault="00547D92" w:rsidP="00547D92">
                  <w:pPr>
                    <w:spacing w:line="240" w:lineRule="auto"/>
                    <w:jc w:val="both"/>
                    <w:rPr>
                      <w:rFonts w:ascii="Times New Roman" w:hAnsi="Times New Roman"/>
                      <w:color w:val="000000"/>
                      <w:sz w:val="21"/>
                      <w:szCs w:val="21"/>
                    </w:rPr>
                  </w:pPr>
                  <w:r w:rsidRPr="00890C68">
                    <w:rPr>
                      <w:rFonts w:ascii="Times New Roman" w:hAnsi="Times New Roman"/>
                      <w:color w:val="000000"/>
                      <w:sz w:val="21"/>
                      <w:szCs w:val="21"/>
                    </w:rPr>
                    <w:t>18 883</w:t>
                  </w:r>
                </w:p>
              </w:tc>
              <w:tc>
                <w:tcPr>
                  <w:tcW w:w="3194" w:type="dxa"/>
                  <w:tcBorders>
                    <w:top w:val="nil"/>
                    <w:left w:val="nil"/>
                    <w:bottom w:val="nil"/>
                    <w:right w:val="nil"/>
                  </w:tcBorders>
                  <w:shd w:val="clear" w:color="auto" w:fill="auto"/>
                  <w:noWrap/>
                  <w:vAlign w:val="bottom"/>
                  <w:hideMark/>
                </w:tcPr>
                <w:p w:rsidR="00547D92" w:rsidRPr="00890C68" w:rsidRDefault="00547D92" w:rsidP="00547D92">
                  <w:pPr>
                    <w:spacing w:line="240" w:lineRule="auto"/>
                    <w:jc w:val="both"/>
                    <w:rPr>
                      <w:rFonts w:ascii="Times New Roman" w:hAnsi="Times New Roman"/>
                      <w:color w:val="000000"/>
                      <w:sz w:val="21"/>
                      <w:szCs w:val="21"/>
                    </w:rPr>
                  </w:pPr>
                </w:p>
              </w:tc>
              <w:tc>
                <w:tcPr>
                  <w:tcW w:w="160" w:type="dxa"/>
                  <w:tcBorders>
                    <w:top w:val="nil"/>
                    <w:left w:val="nil"/>
                    <w:bottom w:val="nil"/>
                    <w:right w:val="nil"/>
                  </w:tcBorders>
                  <w:shd w:val="clear" w:color="auto" w:fill="auto"/>
                  <w:noWrap/>
                  <w:vAlign w:val="bottom"/>
                  <w:hideMark/>
                </w:tcPr>
                <w:p w:rsidR="00547D92" w:rsidRPr="00890C68" w:rsidRDefault="00547D92" w:rsidP="00547D92">
                  <w:pPr>
                    <w:spacing w:line="240" w:lineRule="auto"/>
                    <w:jc w:val="both"/>
                    <w:rPr>
                      <w:rFonts w:ascii="Times New Roman" w:hAnsi="Times New Roman"/>
                      <w:color w:val="000000"/>
                      <w:sz w:val="21"/>
                      <w:szCs w:val="21"/>
                    </w:rPr>
                  </w:pPr>
                </w:p>
              </w:tc>
              <w:tc>
                <w:tcPr>
                  <w:tcW w:w="160" w:type="dxa"/>
                  <w:tcBorders>
                    <w:top w:val="nil"/>
                    <w:left w:val="nil"/>
                    <w:bottom w:val="nil"/>
                    <w:right w:val="nil"/>
                  </w:tcBorders>
                  <w:shd w:val="clear" w:color="auto" w:fill="auto"/>
                  <w:noWrap/>
                  <w:vAlign w:val="bottom"/>
                  <w:hideMark/>
                </w:tcPr>
                <w:p w:rsidR="00547D92" w:rsidRPr="00890C68" w:rsidRDefault="00547D92" w:rsidP="00547D92">
                  <w:pPr>
                    <w:spacing w:line="240" w:lineRule="auto"/>
                    <w:jc w:val="both"/>
                    <w:rPr>
                      <w:rFonts w:ascii="Times New Roman" w:hAnsi="Times New Roman"/>
                      <w:color w:val="000000"/>
                      <w:sz w:val="21"/>
                      <w:szCs w:val="21"/>
                    </w:rPr>
                  </w:pPr>
                </w:p>
              </w:tc>
            </w:tr>
            <w:tr w:rsidR="00547D92" w:rsidRPr="00890C68" w:rsidTr="00547D92">
              <w:trPr>
                <w:trHeight w:val="300"/>
              </w:trPr>
              <w:tc>
                <w:tcPr>
                  <w:tcW w:w="1163" w:type="dxa"/>
                  <w:tcBorders>
                    <w:top w:val="nil"/>
                    <w:left w:val="single" w:sz="4" w:space="0" w:color="auto"/>
                    <w:bottom w:val="single" w:sz="4" w:space="0" w:color="auto"/>
                    <w:right w:val="single" w:sz="4" w:space="0" w:color="auto"/>
                  </w:tcBorders>
                  <w:shd w:val="clear" w:color="000000" w:fill="BFBFBF"/>
                  <w:vAlign w:val="bottom"/>
                  <w:hideMark/>
                </w:tcPr>
                <w:p w:rsidR="00547D92" w:rsidRPr="00890C68" w:rsidRDefault="00547D92" w:rsidP="00547D92">
                  <w:pPr>
                    <w:spacing w:line="240" w:lineRule="auto"/>
                    <w:jc w:val="both"/>
                    <w:rPr>
                      <w:rFonts w:ascii="Times New Roman" w:hAnsi="Times New Roman"/>
                      <w:b/>
                      <w:bCs/>
                      <w:color w:val="000000"/>
                      <w:sz w:val="21"/>
                      <w:szCs w:val="21"/>
                    </w:rPr>
                  </w:pPr>
                  <w:r w:rsidRPr="00890C68">
                    <w:rPr>
                      <w:rFonts w:ascii="Times New Roman" w:hAnsi="Times New Roman"/>
                      <w:b/>
                      <w:bCs/>
                      <w:color w:val="000000"/>
                      <w:sz w:val="21"/>
                      <w:szCs w:val="21"/>
                    </w:rPr>
                    <w:t>Razem</w:t>
                  </w:r>
                </w:p>
              </w:tc>
              <w:tc>
                <w:tcPr>
                  <w:tcW w:w="850" w:type="dxa"/>
                  <w:tcBorders>
                    <w:top w:val="nil"/>
                    <w:left w:val="nil"/>
                    <w:bottom w:val="single" w:sz="4" w:space="0" w:color="auto"/>
                    <w:right w:val="single" w:sz="4" w:space="0" w:color="auto"/>
                  </w:tcBorders>
                  <w:shd w:val="clear" w:color="000000" w:fill="BFBFBF"/>
                  <w:noWrap/>
                  <w:vAlign w:val="bottom"/>
                  <w:hideMark/>
                </w:tcPr>
                <w:p w:rsidR="00547D92" w:rsidRPr="00890C68" w:rsidRDefault="00547D92" w:rsidP="00547D92">
                  <w:pPr>
                    <w:spacing w:line="240" w:lineRule="auto"/>
                    <w:jc w:val="both"/>
                    <w:rPr>
                      <w:rFonts w:ascii="Times New Roman" w:hAnsi="Times New Roman"/>
                      <w:b/>
                      <w:bCs/>
                      <w:color w:val="000000"/>
                      <w:sz w:val="21"/>
                      <w:szCs w:val="21"/>
                    </w:rPr>
                  </w:pPr>
                  <w:r w:rsidRPr="00890C68">
                    <w:rPr>
                      <w:rFonts w:ascii="Times New Roman" w:hAnsi="Times New Roman"/>
                      <w:b/>
                      <w:bCs/>
                      <w:color w:val="000000"/>
                      <w:sz w:val="21"/>
                      <w:szCs w:val="21"/>
                    </w:rPr>
                    <w:t>433 399</w:t>
                  </w:r>
                </w:p>
              </w:tc>
              <w:tc>
                <w:tcPr>
                  <w:tcW w:w="851" w:type="dxa"/>
                  <w:tcBorders>
                    <w:top w:val="nil"/>
                    <w:left w:val="nil"/>
                    <w:bottom w:val="single" w:sz="4" w:space="0" w:color="auto"/>
                    <w:right w:val="single" w:sz="4" w:space="0" w:color="auto"/>
                  </w:tcBorders>
                  <w:shd w:val="clear" w:color="000000" w:fill="BFBFBF"/>
                  <w:noWrap/>
                  <w:vAlign w:val="bottom"/>
                  <w:hideMark/>
                </w:tcPr>
                <w:p w:rsidR="00547D92" w:rsidRPr="00890C68" w:rsidRDefault="00547D92" w:rsidP="00547D92">
                  <w:pPr>
                    <w:spacing w:line="240" w:lineRule="auto"/>
                    <w:jc w:val="both"/>
                    <w:rPr>
                      <w:rFonts w:ascii="Times New Roman" w:hAnsi="Times New Roman"/>
                      <w:b/>
                      <w:bCs/>
                      <w:color w:val="000000"/>
                      <w:sz w:val="21"/>
                      <w:szCs w:val="21"/>
                    </w:rPr>
                  </w:pPr>
                  <w:r w:rsidRPr="00890C68">
                    <w:rPr>
                      <w:rFonts w:ascii="Times New Roman" w:hAnsi="Times New Roman"/>
                      <w:b/>
                      <w:bCs/>
                      <w:color w:val="000000"/>
                      <w:sz w:val="21"/>
                      <w:szCs w:val="21"/>
                    </w:rPr>
                    <w:t>413 139</w:t>
                  </w:r>
                </w:p>
              </w:tc>
              <w:tc>
                <w:tcPr>
                  <w:tcW w:w="850" w:type="dxa"/>
                  <w:tcBorders>
                    <w:top w:val="nil"/>
                    <w:left w:val="nil"/>
                    <w:bottom w:val="single" w:sz="4" w:space="0" w:color="auto"/>
                    <w:right w:val="single" w:sz="4" w:space="0" w:color="auto"/>
                  </w:tcBorders>
                  <w:shd w:val="clear" w:color="000000" w:fill="BFBFBF"/>
                  <w:noWrap/>
                  <w:vAlign w:val="bottom"/>
                  <w:hideMark/>
                </w:tcPr>
                <w:p w:rsidR="00547D92" w:rsidRPr="00890C68" w:rsidRDefault="00547D92" w:rsidP="00547D92">
                  <w:pPr>
                    <w:spacing w:line="240" w:lineRule="auto"/>
                    <w:jc w:val="both"/>
                    <w:rPr>
                      <w:rFonts w:ascii="Times New Roman" w:hAnsi="Times New Roman"/>
                      <w:b/>
                      <w:bCs/>
                      <w:color w:val="000000"/>
                      <w:sz w:val="21"/>
                      <w:szCs w:val="21"/>
                    </w:rPr>
                  </w:pPr>
                  <w:r w:rsidRPr="00890C68">
                    <w:rPr>
                      <w:rFonts w:ascii="Times New Roman" w:hAnsi="Times New Roman"/>
                      <w:b/>
                      <w:bCs/>
                      <w:color w:val="000000"/>
                      <w:sz w:val="21"/>
                      <w:szCs w:val="21"/>
                    </w:rPr>
                    <w:t>423 260</w:t>
                  </w:r>
                </w:p>
              </w:tc>
              <w:tc>
                <w:tcPr>
                  <w:tcW w:w="851" w:type="dxa"/>
                  <w:tcBorders>
                    <w:top w:val="nil"/>
                    <w:left w:val="nil"/>
                    <w:bottom w:val="single" w:sz="4" w:space="0" w:color="auto"/>
                    <w:right w:val="single" w:sz="4" w:space="0" w:color="auto"/>
                  </w:tcBorders>
                  <w:shd w:val="clear" w:color="000000" w:fill="BFBFBF"/>
                  <w:noWrap/>
                  <w:vAlign w:val="bottom"/>
                  <w:hideMark/>
                </w:tcPr>
                <w:p w:rsidR="00547D92" w:rsidRPr="00890C68" w:rsidRDefault="00547D92" w:rsidP="00547D92">
                  <w:pPr>
                    <w:spacing w:line="240" w:lineRule="auto"/>
                    <w:jc w:val="both"/>
                    <w:rPr>
                      <w:rFonts w:ascii="Times New Roman" w:hAnsi="Times New Roman"/>
                      <w:b/>
                      <w:bCs/>
                      <w:color w:val="000000"/>
                      <w:sz w:val="21"/>
                      <w:szCs w:val="21"/>
                    </w:rPr>
                  </w:pPr>
                  <w:r w:rsidRPr="00890C68">
                    <w:rPr>
                      <w:rFonts w:ascii="Times New Roman" w:hAnsi="Times New Roman"/>
                      <w:b/>
                      <w:bCs/>
                      <w:color w:val="000000"/>
                      <w:sz w:val="21"/>
                      <w:szCs w:val="21"/>
                    </w:rPr>
                    <w:t>433 679</w:t>
                  </w:r>
                </w:p>
              </w:tc>
              <w:tc>
                <w:tcPr>
                  <w:tcW w:w="850" w:type="dxa"/>
                  <w:tcBorders>
                    <w:top w:val="nil"/>
                    <w:left w:val="nil"/>
                    <w:bottom w:val="single" w:sz="4" w:space="0" w:color="auto"/>
                    <w:right w:val="single" w:sz="4" w:space="0" w:color="auto"/>
                  </w:tcBorders>
                  <w:shd w:val="clear" w:color="000000" w:fill="BFBFBF"/>
                  <w:noWrap/>
                  <w:vAlign w:val="bottom"/>
                  <w:hideMark/>
                </w:tcPr>
                <w:p w:rsidR="00547D92" w:rsidRPr="00890C68" w:rsidRDefault="00547D92" w:rsidP="00547D92">
                  <w:pPr>
                    <w:spacing w:line="240" w:lineRule="auto"/>
                    <w:jc w:val="both"/>
                    <w:rPr>
                      <w:rFonts w:ascii="Times New Roman" w:hAnsi="Times New Roman"/>
                      <w:b/>
                      <w:bCs/>
                      <w:color w:val="000000"/>
                      <w:sz w:val="21"/>
                      <w:szCs w:val="21"/>
                    </w:rPr>
                  </w:pPr>
                  <w:r w:rsidRPr="00890C68">
                    <w:rPr>
                      <w:rFonts w:ascii="Times New Roman" w:hAnsi="Times New Roman"/>
                      <w:b/>
                      <w:bCs/>
                      <w:color w:val="000000"/>
                      <w:sz w:val="21"/>
                      <w:szCs w:val="21"/>
                    </w:rPr>
                    <w:t>453 627</w:t>
                  </w:r>
                </w:p>
              </w:tc>
              <w:tc>
                <w:tcPr>
                  <w:tcW w:w="851" w:type="dxa"/>
                  <w:tcBorders>
                    <w:top w:val="nil"/>
                    <w:left w:val="nil"/>
                    <w:bottom w:val="single" w:sz="4" w:space="0" w:color="auto"/>
                    <w:right w:val="single" w:sz="4" w:space="0" w:color="auto"/>
                  </w:tcBorders>
                  <w:shd w:val="clear" w:color="000000" w:fill="BFBFBF"/>
                  <w:noWrap/>
                  <w:vAlign w:val="bottom"/>
                  <w:hideMark/>
                </w:tcPr>
                <w:p w:rsidR="00547D92" w:rsidRPr="00890C68" w:rsidRDefault="00547D92" w:rsidP="00547D92">
                  <w:pPr>
                    <w:spacing w:line="240" w:lineRule="auto"/>
                    <w:jc w:val="both"/>
                    <w:rPr>
                      <w:rFonts w:ascii="Times New Roman" w:hAnsi="Times New Roman"/>
                      <w:b/>
                      <w:bCs/>
                      <w:color w:val="000000"/>
                      <w:sz w:val="21"/>
                      <w:szCs w:val="21"/>
                    </w:rPr>
                  </w:pPr>
                  <w:r w:rsidRPr="00890C68">
                    <w:rPr>
                      <w:rFonts w:ascii="Times New Roman" w:hAnsi="Times New Roman"/>
                      <w:b/>
                      <w:bCs/>
                      <w:color w:val="000000"/>
                      <w:sz w:val="21"/>
                      <w:szCs w:val="21"/>
                    </w:rPr>
                    <w:t>460 091</w:t>
                  </w:r>
                </w:p>
              </w:tc>
              <w:tc>
                <w:tcPr>
                  <w:tcW w:w="850" w:type="dxa"/>
                  <w:tcBorders>
                    <w:top w:val="nil"/>
                    <w:left w:val="nil"/>
                    <w:bottom w:val="single" w:sz="4" w:space="0" w:color="auto"/>
                    <w:right w:val="single" w:sz="4" w:space="0" w:color="auto"/>
                  </w:tcBorders>
                  <w:shd w:val="clear" w:color="000000" w:fill="BFBFBF"/>
                  <w:noWrap/>
                  <w:vAlign w:val="bottom"/>
                  <w:hideMark/>
                </w:tcPr>
                <w:p w:rsidR="00547D92" w:rsidRPr="00890C68" w:rsidRDefault="00547D92" w:rsidP="00547D92">
                  <w:pPr>
                    <w:spacing w:line="240" w:lineRule="auto"/>
                    <w:jc w:val="both"/>
                    <w:rPr>
                      <w:rFonts w:ascii="Times New Roman" w:hAnsi="Times New Roman"/>
                      <w:b/>
                      <w:bCs/>
                      <w:color w:val="000000"/>
                      <w:sz w:val="21"/>
                      <w:szCs w:val="21"/>
                    </w:rPr>
                  </w:pPr>
                  <w:r w:rsidRPr="00890C68">
                    <w:rPr>
                      <w:rFonts w:ascii="Times New Roman" w:hAnsi="Times New Roman"/>
                      <w:b/>
                      <w:bCs/>
                      <w:color w:val="000000"/>
                      <w:sz w:val="21"/>
                      <w:szCs w:val="21"/>
                    </w:rPr>
                    <w:t>470 627</w:t>
                  </w:r>
                </w:p>
              </w:tc>
              <w:tc>
                <w:tcPr>
                  <w:tcW w:w="851" w:type="dxa"/>
                  <w:tcBorders>
                    <w:top w:val="nil"/>
                    <w:left w:val="nil"/>
                    <w:bottom w:val="single" w:sz="4" w:space="0" w:color="auto"/>
                    <w:right w:val="single" w:sz="4" w:space="0" w:color="auto"/>
                  </w:tcBorders>
                  <w:shd w:val="clear" w:color="000000" w:fill="BFBFBF"/>
                  <w:noWrap/>
                  <w:vAlign w:val="bottom"/>
                  <w:hideMark/>
                </w:tcPr>
                <w:p w:rsidR="00547D92" w:rsidRPr="00890C68" w:rsidRDefault="00547D92" w:rsidP="00547D92">
                  <w:pPr>
                    <w:spacing w:line="240" w:lineRule="auto"/>
                    <w:jc w:val="both"/>
                    <w:rPr>
                      <w:rFonts w:ascii="Times New Roman" w:hAnsi="Times New Roman"/>
                      <w:b/>
                      <w:bCs/>
                      <w:color w:val="000000"/>
                      <w:sz w:val="21"/>
                      <w:szCs w:val="21"/>
                    </w:rPr>
                  </w:pPr>
                  <w:r w:rsidRPr="00890C68">
                    <w:rPr>
                      <w:rFonts w:ascii="Times New Roman" w:hAnsi="Times New Roman"/>
                      <w:b/>
                      <w:bCs/>
                      <w:color w:val="000000"/>
                      <w:sz w:val="21"/>
                      <w:szCs w:val="21"/>
                    </w:rPr>
                    <w:t>481 406</w:t>
                  </w:r>
                </w:p>
              </w:tc>
              <w:tc>
                <w:tcPr>
                  <w:tcW w:w="850" w:type="dxa"/>
                  <w:tcBorders>
                    <w:top w:val="nil"/>
                    <w:left w:val="nil"/>
                    <w:bottom w:val="single" w:sz="4" w:space="0" w:color="auto"/>
                    <w:right w:val="single" w:sz="4" w:space="0" w:color="auto"/>
                  </w:tcBorders>
                  <w:shd w:val="clear" w:color="000000" w:fill="BFBFBF"/>
                  <w:noWrap/>
                  <w:vAlign w:val="bottom"/>
                  <w:hideMark/>
                </w:tcPr>
                <w:p w:rsidR="00547D92" w:rsidRPr="00890C68" w:rsidRDefault="00547D92" w:rsidP="00547D92">
                  <w:pPr>
                    <w:spacing w:line="240" w:lineRule="auto"/>
                    <w:jc w:val="both"/>
                    <w:rPr>
                      <w:rFonts w:ascii="Times New Roman" w:hAnsi="Times New Roman"/>
                      <w:b/>
                      <w:bCs/>
                      <w:color w:val="000000"/>
                      <w:sz w:val="21"/>
                      <w:szCs w:val="21"/>
                    </w:rPr>
                  </w:pPr>
                  <w:r w:rsidRPr="00890C68">
                    <w:rPr>
                      <w:rFonts w:ascii="Times New Roman" w:hAnsi="Times New Roman"/>
                      <w:b/>
                      <w:bCs/>
                      <w:color w:val="000000"/>
                      <w:sz w:val="21"/>
                      <w:szCs w:val="21"/>
                    </w:rPr>
                    <w:t>492 433</w:t>
                  </w:r>
                </w:p>
              </w:tc>
              <w:tc>
                <w:tcPr>
                  <w:tcW w:w="1798" w:type="dxa"/>
                  <w:tcBorders>
                    <w:top w:val="nil"/>
                    <w:left w:val="nil"/>
                    <w:bottom w:val="single" w:sz="4" w:space="0" w:color="auto"/>
                    <w:right w:val="single" w:sz="4" w:space="0" w:color="auto"/>
                  </w:tcBorders>
                  <w:shd w:val="clear" w:color="000000" w:fill="BFBFBF"/>
                  <w:noWrap/>
                  <w:vAlign w:val="bottom"/>
                  <w:hideMark/>
                </w:tcPr>
                <w:p w:rsidR="00547D92" w:rsidRPr="00890C68" w:rsidRDefault="00547D92" w:rsidP="00547D92">
                  <w:pPr>
                    <w:spacing w:line="240" w:lineRule="auto"/>
                    <w:jc w:val="both"/>
                    <w:rPr>
                      <w:rFonts w:ascii="Times New Roman" w:hAnsi="Times New Roman"/>
                      <w:b/>
                      <w:bCs/>
                      <w:color w:val="000000"/>
                      <w:sz w:val="21"/>
                      <w:szCs w:val="21"/>
                    </w:rPr>
                  </w:pPr>
                  <w:r w:rsidRPr="00890C68">
                    <w:rPr>
                      <w:rFonts w:ascii="Times New Roman" w:hAnsi="Times New Roman"/>
                      <w:b/>
                      <w:bCs/>
                      <w:color w:val="000000"/>
                      <w:sz w:val="21"/>
                      <w:szCs w:val="21"/>
                    </w:rPr>
                    <w:t>503 712</w:t>
                  </w:r>
                </w:p>
              </w:tc>
              <w:tc>
                <w:tcPr>
                  <w:tcW w:w="3194" w:type="dxa"/>
                  <w:tcBorders>
                    <w:top w:val="nil"/>
                    <w:left w:val="nil"/>
                    <w:bottom w:val="nil"/>
                    <w:right w:val="nil"/>
                  </w:tcBorders>
                  <w:shd w:val="clear" w:color="auto" w:fill="auto"/>
                  <w:noWrap/>
                  <w:vAlign w:val="bottom"/>
                  <w:hideMark/>
                </w:tcPr>
                <w:p w:rsidR="00547D92" w:rsidRPr="00890C68" w:rsidRDefault="00547D92" w:rsidP="00547D92">
                  <w:pPr>
                    <w:spacing w:line="240" w:lineRule="auto"/>
                    <w:jc w:val="both"/>
                    <w:rPr>
                      <w:rFonts w:ascii="Times New Roman" w:hAnsi="Times New Roman"/>
                      <w:color w:val="000000"/>
                      <w:sz w:val="21"/>
                      <w:szCs w:val="21"/>
                    </w:rPr>
                  </w:pPr>
                </w:p>
              </w:tc>
              <w:tc>
                <w:tcPr>
                  <w:tcW w:w="160" w:type="dxa"/>
                  <w:tcBorders>
                    <w:top w:val="nil"/>
                    <w:left w:val="nil"/>
                    <w:bottom w:val="nil"/>
                    <w:right w:val="nil"/>
                  </w:tcBorders>
                  <w:shd w:val="clear" w:color="auto" w:fill="auto"/>
                  <w:noWrap/>
                  <w:vAlign w:val="bottom"/>
                </w:tcPr>
                <w:p w:rsidR="00547D92" w:rsidRPr="00890C68" w:rsidRDefault="00547D92" w:rsidP="00547D92">
                  <w:pPr>
                    <w:spacing w:line="240" w:lineRule="auto"/>
                    <w:jc w:val="both"/>
                    <w:rPr>
                      <w:rFonts w:ascii="Times New Roman" w:hAnsi="Times New Roman"/>
                      <w:color w:val="000000"/>
                      <w:sz w:val="21"/>
                      <w:szCs w:val="21"/>
                    </w:rPr>
                  </w:pPr>
                </w:p>
              </w:tc>
              <w:tc>
                <w:tcPr>
                  <w:tcW w:w="160" w:type="dxa"/>
                  <w:tcBorders>
                    <w:top w:val="nil"/>
                    <w:left w:val="nil"/>
                    <w:bottom w:val="nil"/>
                    <w:right w:val="nil"/>
                  </w:tcBorders>
                  <w:shd w:val="clear" w:color="auto" w:fill="auto"/>
                  <w:noWrap/>
                  <w:vAlign w:val="bottom"/>
                  <w:hideMark/>
                </w:tcPr>
                <w:p w:rsidR="00547D92" w:rsidRPr="00890C68" w:rsidRDefault="00547D92" w:rsidP="00547D92">
                  <w:pPr>
                    <w:spacing w:line="240" w:lineRule="auto"/>
                    <w:jc w:val="both"/>
                    <w:rPr>
                      <w:rFonts w:ascii="Times New Roman" w:hAnsi="Times New Roman"/>
                      <w:color w:val="000000"/>
                      <w:sz w:val="21"/>
                      <w:szCs w:val="21"/>
                    </w:rPr>
                  </w:pPr>
                </w:p>
              </w:tc>
            </w:tr>
          </w:tbl>
          <w:p w:rsidR="00547D92" w:rsidRPr="00890C68" w:rsidRDefault="00547D92" w:rsidP="00B37C80">
            <w:pPr>
              <w:spacing w:line="240" w:lineRule="auto"/>
              <w:jc w:val="both"/>
              <w:rPr>
                <w:rFonts w:ascii="Times New Roman" w:hAnsi="Times New Roman"/>
                <w:color w:val="000000"/>
                <w:sz w:val="21"/>
                <w:szCs w:val="21"/>
              </w:rPr>
            </w:pPr>
          </w:p>
        </w:tc>
      </w:tr>
      <w:tr w:rsidR="0006177E" w:rsidRPr="00890C68" w:rsidTr="00641996">
        <w:trPr>
          <w:trHeight w:val="360"/>
        </w:trPr>
        <w:tc>
          <w:tcPr>
            <w:tcW w:w="11057" w:type="dxa"/>
            <w:gridSpan w:val="15"/>
            <w:shd w:val="clear" w:color="auto" w:fill="FFFFFF"/>
          </w:tcPr>
          <w:tbl>
            <w:tblPr>
              <w:tblW w:w="10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42"/>
              <w:gridCol w:w="701"/>
              <w:gridCol w:w="653"/>
              <w:gridCol w:w="683"/>
              <w:gridCol w:w="683"/>
              <w:gridCol w:w="683"/>
              <w:gridCol w:w="683"/>
              <w:gridCol w:w="683"/>
              <w:gridCol w:w="683"/>
              <w:gridCol w:w="683"/>
              <w:gridCol w:w="803"/>
              <w:gridCol w:w="709"/>
              <w:gridCol w:w="567"/>
              <w:gridCol w:w="983"/>
              <w:gridCol w:w="8"/>
            </w:tblGrid>
            <w:tr w:rsidR="00AB20A0" w:rsidRPr="00890C68" w:rsidTr="00997FE7">
              <w:trPr>
                <w:gridAfter w:val="1"/>
                <w:wAfter w:w="8" w:type="dxa"/>
                <w:trHeight w:val="363"/>
              </w:trPr>
              <w:tc>
                <w:tcPr>
                  <w:tcW w:w="10939" w:type="dxa"/>
                  <w:gridSpan w:val="14"/>
                  <w:shd w:val="clear" w:color="auto" w:fill="99CCFF"/>
                  <w:vAlign w:val="center"/>
                </w:tcPr>
                <w:p w:rsidR="00AB20A0" w:rsidRPr="00890C68" w:rsidRDefault="00556F00" w:rsidP="00AB20A0">
                  <w:pPr>
                    <w:spacing w:before="60" w:after="60" w:line="240" w:lineRule="auto"/>
                    <w:jc w:val="both"/>
                    <w:rPr>
                      <w:rFonts w:ascii="Times New Roman" w:hAnsi="Times New Roman"/>
                      <w:b/>
                      <w:color w:val="000000"/>
                    </w:rPr>
                  </w:pPr>
                  <w:r>
                    <w:rPr>
                      <w:rFonts w:ascii="Times New Roman" w:hAnsi="Times New Roman"/>
                      <w:b/>
                      <w:color w:val="000000"/>
                    </w:rPr>
                    <w:t xml:space="preserve">6b. </w:t>
                  </w:r>
                  <w:r w:rsidR="00AB20A0" w:rsidRPr="00890C68">
                    <w:rPr>
                      <w:rFonts w:ascii="Times New Roman" w:hAnsi="Times New Roman"/>
                      <w:b/>
                      <w:color w:val="000000"/>
                    </w:rPr>
                    <w:t>Wpływ na sektor finansów publicznych – wprowadzenie systemu inteligentnego opomiarowania</w:t>
                  </w:r>
                </w:p>
                <w:p w:rsidR="00AB20A0" w:rsidRPr="00890C68" w:rsidRDefault="00AB20A0" w:rsidP="00AB20A0">
                  <w:pPr>
                    <w:spacing w:before="60" w:after="60" w:line="240" w:lineRule="auto"/>
                    <w:jc w:val="both"/>
                    <w:rPr>
                      <w:rFonts w:ascii="Times New Roman" w:hAnsi="Times New Roman"/>
                      <w:b/>
                      <w:color w:val="000000"/>
                    </w:rPr>
                  </w:pPr>
                </w:p>
              </w:tc>
            </w:tr>
            <w:tr w:rsidR="00AB20A0" w:rsidRPr="00890C68" w:rsidTr="00997FE7">
              <w:trPr>
                <w:gridAfter w:val="1"/>
                <w:wAfter w:w="8" w:type="dxa"/>
                <w:trHeight w:val="142"/>
              </w:trPr>
              <w:tc>
                <w:tcPr>
                  <w:tcW w:w="2443" w:type="dxa"/>
                  <w:gridSpan w:val="2"/>
                  <w:vMerge w:val="restart"/>
                  <w:shd w:val="clear" w:color="auto" w:fill="FFFFFF"/>
                </w:tcPr>
                <w:p w:rsidR="00AB20A0" w:rsidRPr="00890C68" w:rsidRDefault="00AB20A0" w:rsidP="00AB20A0">
                  <w:pPr>
                    <w:spacing w:before="40" w:after="40"/>
                    <w:rPr>
                      <w:rFonts w:ascii="Times New Roman" w:hAnsi="Times New Roman"/>
                      <w:iCs/>
                      <w:color w:val="000000"/>
                      <w:sz w:val="21"/>
                      <w:szCs w:val="21"/>
                    </w:rPr>
                  </w:pPr>
                  <w:r w:rsidRPr="00890C68">
                    <w:rPr>
                      <w:rFonts w:ascii="Times New Roman" w:hAnsi="Times New Roman"/>
                      <w:iCs/>
                      <w:color w:val="000000"/>
                      <w:sz w:val="21"/>
                      <w:szCs w:val="21"/>
                    </w:rPr>
                    <w:t>(ceny z 2016 r. zdyskontowane na 1 stycznia 2019 r., w mln zł)</w:t>
                  </w:r>
                </w:p>
              </w:tc>
              <w:tc>
                <w:tcPr>
                  <w:tcW w:w="8496" w:type="dxa"/>
                  <w:gridSpan w:val="12"/>
                  <w:shd w:val="clear" w:color="auto" w:fill="FFFFFF"/>
                </w:tcPr>
                <w:p w:rsidR="00AB20A0" w:rsidRPr="00890C68" w:rsidRDefault="00AB20A0" w:rsidP="00AB20A0">
                  <w:pPr>
                    <w:spacing w:before="40" w:after="40" w:line="240" w:lineRule="auto"/>
                    <w:jc w:val="center"/>
                    <w:rPr>
                      <w:rFonts w:ascii="Times New Roman" w:hAnsi="Times New Roman"/>
                      <w:i/>
                      <w:color w:val="000000"/>
                      <w:spacing w:val="-2"/>
                      <w:sz w:val="21"/>
                      <w:szCs w:val="21"/>
                    </w:rPr>
                  </w:pPr>
                  <w:r w:rsidRPr="00890C68">
                    <w:rPr>
                      <w:rFonts w:ascii="Times New Roman" w:hAnsi="Times New Roman"/>
                      <w:color w:val="000000"/>
                      <w:sz w:val="21"/>
                      <w:szCs w:val="21"/>
                    </w:rPr>
                    <w:t>Skutki w okresie 10 lat od wejścia w życie zmian [mln zł]</w:t>
                  </w:r>
                </w:p>
              </w:tc>
            </w:tr>
            <w:tr w:rsidR="00AB20A0" w:rsidRPr="00890C68" w:rsidTr="00997FE7">
              <w:trPr>
                <w:gridAfter w:val="1"/>
                <w:wAfter w:w="8" w:type="dxa"/>
                <w:trHeight w:val="142"/>
              </w:trPr>
              <w:tc>
                <w:tcPr>
                  <w:tcW w:w="2443" w:type="dxa"/>
                  <w:gridSpan w:val="2"/>
                  <w:vMerge/>
                  <w:shd w:val="clear" w:color="auto" w:fill="FFFFFF"/>
                </w:tcPr>
                <w:p w:rsidR="00AB20A0" w:rsidRPr="00890C68" w:rsidRDefault="00AB20A0" w:rsidP="00AB20A0">
                  <w:pPr>
                    <w:spacing w:before="40" w:after="40" w:line="240" w:lineRule="auto"/>
                    <w:rPr>
                      <w:rFonts w:ascii="Times New Roman" w:hAnsi="Times New Roman"/>
                      <w:i/>
                      <w:color w:val="000000"/>
                      <w:sz w:val="21"/>
                      <w:szCs w:val="21"/>
                    </w:rPr>
                  </w:pPr>
                </w:p>
              </w:tc>
              <w:tc>
                <w:tcPr>
                  <w:tcW w:w="653" w:type="dxa"/>
                  <w:shd w:val="clear" w:color="auto" w:fill="FFFFFF"/>
                  <w:vAlign w:val="center"/>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color w:val="000000"/>
                      <w:sz w:val="21"/>
                      <w:szCs w:val="21"/>
                    </w:rPr>
                    <w:t>0</w:t>
                  </w:r>
                </w:p>
              </w:tc>
              <w:tc>
                <w:tcPr>
                  <w:tcW w:w="683" w:type="dxa"/>
                  <w:shd w:val="clear" w:color="auto" w:fill="FFFFFF"/>
                  <w:vAlign w:val="center"/>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color w:val="000000"/>
                      <w:sz w:val="21"/>
                      <w:szCs w:val="21"/>
                    </w:rPr>
                    <w:t>1</w:t>
                  </w:r>
                </w:p>
              </w:tc>
              <w:tc>
                <w:tcPr>
                  <w:tcW w:w="683" w:type="dxa"/>
                  <w:shd w:val="clear" w:color="auto" w:fill="FFFFFF"/>
                  <w:vAlign w:val="center"/>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color w:val="000000"/>
                      <w:sz w:val="21"/>
                      <w:szCs w:val="21"/>
                    </w:rPr>
                    <w:t>2</w:t>
                  </w:r>
                </w:p>
              </w:tc>
              <w:tc>
                <w:tcPr>
                  <w:tcW w:w="683" w:type="dxa"/>
                  <w:shd w:val="clear" w:color="auto" w:fill="FFFFFF"/>
                  <w:vAlign w:val="center"/>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color w:val="000000"/>
                      <w:sz w:val="21"/>
                      <w:szCs w:val="21"/>
                    </w:rPr>
                    <w:t>3</w:t>
                  </w:r>
                </w:p>
              </w:tc>
              <w:tc>
                <w:tcPr>
                  <w:tcW w:w="683" w:type="dxa"/>
                  <w:shd w:val="clear" w:color="auto" w:fill="FFFFFF"/>
                  <w:vAlign w:val="center"/>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color w:val="000000"/>
                      <w:sz w:val="21"/>
                      <w:szCs w:val="21"/>
                    </w:rPr>
                    <w:t>4</w:t>
                  </w:r>
                </w:p>
              </w:tc>
              <w:tc>
                <w:tcPr>
                  <w:tcW w:w="683" w:type="dxa"/>
                  <w:shd w:val="clear" w:color="auto" w:fill="FFFFFF"/>
                  <w:vAlign w:val="center"/>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color w:val="000000"/>
                      <w:sz w:val="21"/>
                      <w:szCs w:val="21"/>
                    </w:rPr>
                    <w:t>5</w:t>
                  </w:r>
                </w:p>
              </w:tc>
              <w:tc>
                <w:tcPr>
                  <w:tcW w:w="683" w:type="dxa"/>
                  <w:shd w:val="clear" w:color="auto" w:fill="FFFFFF"/>
                  <w:vAlign w:val="center"/>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color w:val="000000"/>
                      <w:sz w:val="21"/>
                      <w:szCs w:val="21"/>
                    </w:rPr>
                    <w:t>6</w:t>
                  </w:r>
                </w:p>
              </w:tc>
              <w:tc>
                <w:tcPr>
                  <w:tcW w:w="683" w:type="dxa"/>
                  <w:shd w:val="clear" w:color="auto" w:fill="FFFFFF"/>
                  <w:vAlign w:val="center"/>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color w:val="000000"/>
                      <w:sz w:val="21"/>
                      <w:szCs w:val="21"/>
                    </w:rPr>
                    <w:t>7</w:t>
                  </w:r>
                </w:p>
              </w:tc>
              <w:tc>
                <w:tcPr>
                  <w:tcW w:w="803" w:type="dxa"/>
                  <w:shd w:val="clear" w:color="auto" w:fill="FFFFFF"/>
                  <w:vAlign w:val="center"/>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color w:val="000000"/>
                      <w:sz w:val="21"/>
                      <w:szCs w:val="21"/>
                    </w:rPr>
                    <w:t>8</w:t>
                  </w:r>
                </w:p>
              </w:tc>
              <w:tc>
                <w:tcPr>
                  <w:tcW w:w="709" w:type="dxa"/>
                  <w:shd w:val="clear" w:color="auto" w:fill="FFFFFF"/>
                  <w:vAlign w:val="center"/>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color w:val="000000"/>
                      <w:sz w:val="21"/>
                      <w:szCs w:val="21"/>
                    </w:rPr>
                    <w:t>9</w:t>
                  </w:r>
                </w:p>
              </w:tc>
              <w:tc>
                <w:tcPr>
                  <w:tcW w:w="567" w:type="dxa"/>
                  <w:shd w:val="clear" w:color="auto" w:fill="FFFFFF"/>
                  <w:vAlign w:val="center"/>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color w:val="000000"/>
                      <w:sz w:val="21"/>
                      <w:szCs w:val="21"/>
                    </w:rPr>
                    <w:t>10</w:t>
                  </w:r>
                </w:p>
              </w:tc>
              <w:tc>
                <w:tcPr>
                  <w:tcW w:w="983" w:type="dxa"/>
                  <w:shd w:val="clear" w:color="auto" w:fill="FFFFFF"/>
                </w:tcPr>
                <w:p w:rsidR="00AB20A0" w:rsidRPr="00890C68" w:rsidRDefault="00AB20A0" w:rsidP="00AB20A0">
                  <w:pPr>
                    <w:spacing w:before="40" w:after="40" w:line="240" w:lineRule="auto"/>
                    <w:jc w:val="center"/>
                    <w:rPr>
                      <w:rFonts w:ascii="Times New Roman" w:hAnsi="Times New Roman"/>
                      <w:b/>
                      <w:i/>
                      <w:color w:val="000000"/>
                      <w:spacing w:val="-2"/>
                      <w:sz w:val="21"/>
                      <w:szCs w:val="21"/>
                    </w:rPr>
                  </w:pPr>
                  <w:r w:rsidRPr="00890C68">
                    <w:rPr>
                      <w:rFonts w:ascii="Times New Roman" w:hAnsi="Times New Roman"/>
                      <w:b/>
                      <w:i/>
                      <w:color w:val="000000"/>
                      <w:spacing w:val="-2"/>
                      <w:sz w:val="21"/>
                      <w:szCs w:val="21"/>
                    </w:rPr>
                    <w:t>Łącznie (0-10)</w:t>
                  </w:r>
                </w:p>
              </w:tc>
            </w:tr>
            <w:tr w:rsidR="00AB20A0" w:rsidRPr="00890C68" w:rsidTr="00997FE7">
              <w:trPr>
                <w:trHeight w:val="321"/>
              </w:trPr>
              <w:tc>
                <w:tcPr>
                  <w:tcW w:w="2443" w:type="dxa"/>
                  <w:gridSpan w:val="2"/>
                  <w:shd w:val="clear" w:color="auto" w:fill="FFFFFF"/>
                  <w:vAlign w:val="center"/>
                </w:tcPr>
                <w:p w:rsidR="00AB20A0" w:rsidRPr="00890C68" w:rsidRDefault="00AB20A0" w:rsidP="00AB20A0">
                  <w:pPr>
                    <w:spacing w:line="240" w:lineRule="auto"/>
                    <w:rPr>
                      <w:rFonts w:ascii="Times New Roman" w:hAnsi="Times New Roman"/>
                      <w:color w:val="000000"/>
                      <w:sz w:val="21"/>
                      <w:szCs w:val="21"/>
                    </w:rPr>
                  </w:pPr>
                  <w:r w:rsidRPr="00890C68">
                    <w:rPr>
                      <w:rFonts w:ascii="Times New Roman" w:hAnsi="Times New Roman"/>
                      <w:b/>
                      <w:color w:val="000000"/>
                      <w:sz w:val="21"/>
                      <w:szCs w:val="21"/>
                    </w:rPr>
                    <w:t>Dochody</w:t>
                  </w:r>
                  <w:r w:rsidR="00556F00">
                    <w:rPr>
                      <w:rFonts w:ascii="Times New Roman" w:hAnsi="Times New Roman"/>
                      <w:b/>
                      <w:color w:val="000000"/>
                      <w:sz w:val="21"/>
                      <w:szCs w:val="21"/>
                    </w:rPr>
                    <w:t xml:space="preserve"> ogółem</w:t>
                  </w:r>
                </w:p>
              </w:tc>
              <w:tc>
                <w:tcPr>
                  <w:tcW w:w="653" w:type="dxa"/>
                  <w:shd w:val="clear" w:color="auto" w:fill="FFFFFF"/>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rPr>
                    <w:t>0</w:t>
                  </w:r>
                </w:p>
              </w:tc>
              <w:tc>
                <w:tcPr>
                  <w:tcW w:w="683" w:type="dxa"/>
                  <w:shd w:val="clear" w:color="auto" w:fill="FFFFFF"/>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rPr>
                    <w:t>0</w:t>
                  </w:r>
                </w:p>
              </w:tc>
              <w:tc>
                <w:tcPr>
                  <w:tcW w:w="683" w:type="dxa"/>
                  <w:shd w:val="clear" w:color="auto" w:fill="FFFFFF"/>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rPr>
                    <w:t>0</w:t>
                  </w:r>
                </w:p>
              </w:tc>
              <w:tc>
                <w:tcPr>
                  <w:tcW w:w="683" w:type="dxa"/>
                  <w:shd w:val="clear" w:color="auto" w:fill="FFFFFF"/>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rPr>
                    <w:t>0</w:t>
                  </w:r>
                </w:p>
              </w:tc>
              <w:tc>
                <w:tcPr>
                  <w:tcW w:w="683" w:type="dxa"/>
                  <w:shd w:val="clear" w:color="auto" w:fill="FFFFFF"/>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rPr>
                    <w:t>0</w:t>
                  </w:r>
                </w:p>
              </w:tc>
              <w:tc>
                <w:tcPr>
                  <w:tcW w:w="683" w:type="dxa"/>
                  <w:shd w:val="clear" w:color="auto" w:fill="FFFFFF"/>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rPr>
                    <w:t>0</w:t>
                  </w:r>
                </w:p>
              </w:tc>
              <w:tc>
                <w:tcPr>
                  <w:tcW w:w="683" w:type="dxa"/>
                  <w:shd w:val="clear" w:color="auto" w:fill="FFFFFF"/>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rPr>
                    <w:t>0</w:t>
                  </w:r>
                </w:p>
              </w:tc>
              <w:tc>
                <w:tcPr>
                  <w:tcW w:w="683" w:type="dxa"/>
                  <w:shd w:val="clear" w:color="auto" w:fill="FFFFFF"/>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color w:val="000000"/>
                      <w:sz w:val="21"/>
                      <w:szCs w:val="21"/>
                    </w:rPr>
                    <w:t>0</w:t>
                  </w:r>
                </w:p>
              </w:tc>
              <w:tc>
                <w:tcPr>
                  <w:tcW w:w="803" w:type="dxa"/>
                  <w:shd w:val="clear" w:color="auto" w:fill="FFFFFF"/>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color w:val="000000"/>
                      <w:sz w:val="21"/>
                      <w:szCs w:val="21"/>
                    </w:rPr>
                    <w:t>0</w:t>
                  </w:r>
                </w:p>
              </w:tc>
              <w:tc>
                <w:tcPr>
                  <w:tcW w:w="709" w:type="dxa"/>
                  <w:shd w:val="clear" w:color="auto" w:fill="FFFFFF"/>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color w:val="000000"/>
                      <w:sz w:val="21"/>
                      <w:szCs w:val="21"/>
                    </w:rPr>
                    <w:t>0</w:t>
                  </w:r>
                </w:p>
              </w:tc>
              <w:tc>
                <w:tcPr>
                  <w:tcW w:w="567" w:type="dxa"/>
                  <w:shd w:val="clear" w:color="auto" w:fill="FFFFFF"/>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color w:val="000000"/>
                      <w:sz w:val="21"/>
                      <w:szCs w:val="21"/>
                    </w:rPr>
                    <w:t>0</w:t>
                  </w:r>
                </w:p>
              </w:tc>
              <w:tc>
                <w:tcPr>
                  <w:tcW w:w="991" w:type="dxa"/>
                  <w:gridSpan w:val="2"/>
                  <w:shd w:val="clear" w:color="auto" w:fill="FFFFFF"/>
                </w:tcPr>
                <w:p w:rsidR="00AB20A0" w:rsidRPr="00890C68" w:rsidRDefault="00AB20A0" w:rsidP="00AB20A0">
                  <w:pPr>
                    <w:spacing w:line="240" w:lineRule="auto"/>
                    <w:jc w:val="center"/>
                    <w:rPr>
                      <w:rFonts w:ascii="Times New Roman" w:hAnsi="Times New Roman"/>
                      <w:b/>
                      <w:color w:val="000000"/>
                      <w:spacing w:val="-2"/>
                      <w:sz w:val="21"/>
                      <w:szCs w:val="21"/>
                    </w:rPr>
                  </w:pPr>
                  <w:r w:rsidRPr="00890C68">
                    <w:rPr>
                      <w:rFonts w:ascii="Times New Roman" w:hAnsi="Times New Roman"/>
                      <w:b/>
                      <w:color w:val="000000"/>
                      <w:spacing w:val="-2"/>
                      <w:sz w:val="21"/>
                      <w:szCs w:val="21"/>
                    </w:rPr>
                    <w:t>0</w:t>
                  </w:r>
                </w:p>
              </w:tc>
            </w:tr>
            <w:tr w:rsidR="00AB20A0" w:rsidRPr="00890C68" w:rsidTr="00997FE7">
              <w:trPr>
                <w:trHeight w:val="321"/>
              </w:trPr>
              <w:tc>
                <w:tcPr>
                  <w:tcW w:w="2443" w:type="dxa"/>
                  <w:gridSpan w:val="2"/>
                  <w:shd w:val="clear" w:color="auto" w:fill="FFFFFF"/>
                  <w:vAlign w:val="center"/>
                </w:tcPr>
                <w:p w:rsidR="00AB20A0" w:rsidRPr="00890C68" w:rsidRDefault="00AB20A0" w:rsidP="00AB20A0">
                  <w:pPr>
                    <w:spacing w:line="240" w:lineRule="auto"/>
                    <w:rPr>
                      <w:rFonts w:ascii="Times New Roman" w:hAnsi="Times New Roman"/>
                      <w:color w:val="000000"/>
                      <w:sz w:val="21"/>
                      <w:szCs w:val="21"/>
                    </w:rPr>
                  </w:pPr>
                  <w:r w:rsidRPr="00890C68">
                    <w:rPr>
                      <w:rFonts w:ascii="Times New Roman" w:hAnsi="Times New Roman"/>
                      <w:color w:val="000000"/>
                      <w:sz w:val="21"/>
                      <w:szCs w:val="21"/>
                    </w:rPr>
                    <w:t>budżet państwa</w:t>
                  </w:r>
                </w:p>
              </w:tc>
              <w:tc>
                <w:tcPr>
                  <w:tcW w:w="653" w:type="dxa"/>
                  <w:shd w:val="clear" w:color="auto" w:fill="FFFFFF"/>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rPr>
                    <w:t>0</w:t>
                  </w:r>
                </w:p>
              </w:tc>
              <w:tc>
                <w:tcPr>
                  <w:tcW w:w="683" w:type="dxa"/>
                  <w:shd w:val="clear" w:color="auto" w:fill="FFFFFF"/>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color w:val="000000"/>
                      <w:sz w:val="21"/>
                      <w:szCs w:val="21"/>
                    </w:rPr>
                    <w:t>0</w:t>
                  </w:r>
                </w:p>
              </w:tc>
              <w:tc>
                <w:tcPr>
                  <w:tcW w:w="683" w:type="dxa"/>
                  <w:shd w:val="clear" w:color="auto" w:fill="FFFFFF"/>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color w:val="000000"/>
                      <w:sz w:val="21"/>
                      <w:szCs w:val="21"/>
                    </w:rPr>
                    <w:t>0</w:t>
                  </w:r>
                </w:p>
              </w:tc>
              <w:tc>
                <w:tcPr>
                  <w:tcW w:w="683" w:type="dxa"/>
                  <w:shd w:val="clear" w:color="auto" w:fill="FFFFFF"/>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color w:val="000000"/>
                      <w:sz w:val="21"/>
                      <w:szCs w:val="21"/>
                    </w:rPr>
                    <w:t>0</w:t>
                  </w:r>
                </w:p>
              </w:tc>
              <w:tc>
                <w:tcPr>
                  <w:tcW w:w="683" w:type="dxa"/>
                  <w:shd w:val="clear" w:color="auto" w:fill="FFFFFF"/>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color w:val="000000"/>
                      <w:sz w:val="21"/>
                      <w:szCs w:val="21"/>
                    </w:rPr>
                    <w:t>0</w:t>
                  </w:r>
                </w:p>
              </w:tc>
              <w:tc>
                <w:tcPr>
                  <w:tcW w:w="683" w:type="dxa"/>
                  <w:shd w:val="clear" w:color="auto" w:fill="FFFFFF"/>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color w:val="000000"/>
                      <w:sz w:val="21"/>
                      <w:szCs w:val="21"/>
                    </w:rPr>
                    <w:t>0</w:t>
                  </w:r>
                </w:p>
              </w:tc>
              <w:tc>
                <w:tcPr>
                  <w:tcW w:w="683" w:type="dxa"/>
                  <w:shd w:val="clear" w:color="auto" w:fill="FFFFFF"/>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color w:val="000000"/>
                      <w:sz w:val="21"/>
                      <w:szCs w:val="21"/>
                    </w:rPr>
                    <w:t>0</w:t>
                  </w:r>
                </w:p>
              </w:tc>
              <w:tc>
                <w:tcPr>
                  <w:tcW w:w="683" w:type="dxa"/>
                  <w:shd w:val="clear" w:color="auto" w:fill="FFFFFF"/>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color w:val="000000"/>
                      <w:sz w:val="21"/>
                      <w:szCs w:val="21"/>
                    </w:rPr>
                    <w:t>0</w:t>
                  </w:r>
                </w:p>
              </w:tc>
              <w:tc>
                <w:tcPr>
                  <w:tcW w:w="803" w:type="dxa"/>
                  <w:shd w:val="clear" w:color="auto" w:fill="FFFFFF"/>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color w:val="000000"/>
                      <w:sz w:val="21"/>
                      <w:szCs w:val="21"/>
                    </w:rPr>
                    <w:t>0</w:t>
                  </w:r>
                </w:p>
              </w:tc>
              <w:tc>
                <w:tcPr>
                  <w:tcW w:w="709" w:type="dxa"/>
                  <w:shd w:val="clear" w:color="auto" w:fill="FFFFFF"/>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color w:val="000000"/>
                      <w:sz w:val="21"/>
                      <w:szCs w:val="21"/>
                    </w:rPr>
                    <w:t>0</w:t>
                  </w:r>
                </w:p>
              </w:tc>
              <w:tc>
                <w:tcPr>
                  <w:tcW w:w="567" w:type="dxa"/>
                  <w:shd w:val="clear" w:color="auto" w:fill="FFFFFF"/>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color w:val="000000"/>
                      <w:sz w:val="21"/>
                      <w:szCs w:val="21"/>
                    </w:rPr>
                    <w:t>0</w:t>
                  </w:r>
                </w:p>
              </w:tc>
              <w:tc>
                <w:tcPr>
                  <w:tcW w:w="991" w:type="dxa"/>
                  <w:gridSpan w:val="2"/>
                  <w:shd w:val="clear" w:color="auto" w:fill="FFFFFF"/>
                </w:tcPr>
                <w:p w:rsidR="00AB20A0" w:rsidRPr="00890C68" w:rsidRDefault="00AB20A0" w:rsidP="00AB20A0">
                  <w:pPr>
                    <w:spacing w:line="240" w:lineRule="auto"/>
                    <w:jc w:val="center"/>
                    <w:rPr>
                      <w:rFonts w:ascii="Times New Roman" w:hAnsi="Times New Roman"/>
                      <w:b/>
                      <w:color w:val="000000"/>
                      <w:spacing w:val="-2"/>
                      <w:sz w:val="21"/>
                      <w:szCs w:val="21"/>
                    </w:rPr>
                  </w:pPr>
                  <w:r w:rsidRPr="00890C68">
                    <w:rPr>
                      <w:rFonts w:ascii="Times New Roman" w:hAnsi="Times New Roman"/>
                      <w:b/>
                      <w:color w:val="000000"/>
                      <w:spacing w:val="-2"/>
                      <w:sz w:val="21"/>
                      <w:szCs w:val="21"/>
                    </w:rPr>
                    <w:t>0</w:t>
                  </w:r>
                </w:p>
              </w:tc>
            </w:tr>
            <w:tr w:rsidR="00AB20A0" w:rsidRPr="00890C68" w:rsidTr="00997FE7">
              <w:trPr>
                <w:trHeight w:val="344"/>
              </w:trPr>
              <w:tc>
                <w:tcPr>
                  <w:tcW w:w="2443" w:type="dxa"/>
                  <w:gridSpan w:val="2"/>
                  <w:shd w:val="clear" w:color="auto" w:fill="FFFFFF"/>
                  <w:vAlign w:val="center"/>
                </w:tcPr>
                <w:p w:rsidR="00AB20A0" w:rsidRPr="00890C68" w:rsidRDefault="00AB20A0" w:rsidP="00AB20A0">
                  <w:pPr>
                    <w:spacing w:line="240" w:lineRule="auto"/>
                    <w:rPr>
                      <w:rFonts w:ascii="Times New Roman" w:hAnsi="Times New Roman"/>
                      <w:color w:val="000000"/>
                      <w:sz w:val="21"/>
                      <w:szCs w:val="21"/>
                    </w:rPr>
                  </w:pPr>
                  <w:r w:rsidRPr="00890C68">
                    <w:rPr>
                      <w:rFonts w:ascii="Times New Roman" w:hAnsi="Times New Roman"/>
                      <w:color w:val="000000"/>
                      <w:sz w:val="21"/>
                      <w:szCs w:val="21"/>
                    </w:rPr>
                    <w:t>JST</w:t>
                  </w:r>
                </w:p>
              </w:tc>
              <w:tc>
                <w:tcPr>
                  <w:tcW w:w="653" w:type="dxa"/>
                  <w:shd w:val="clear" w:color="auto" w:fill="FFFFFF"/>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rPr>
                    <w:t>0</w:t>
                  </w:r>
                </w:p>
              </w:tc>
              <w:tc>
                <w:tcPr>
                  <w:tcW w:w="683" w:type="dxa"/>
                  <w:shd w:val="clear" w:color="auto" w:fill="FFFFFF"/>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rPr>
                    <w:t>0</w:t>
                  </w:r>
                </w:p>
              </w:tc>
              <w:tc>
                <w:tcPr>
                  <w:tcW w:w="683" w:type="dxa"/>
                  <w:shd w:val="clear" w:color="auto" w:fill="FFFFFF"/>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rPr>
                    <w:t>0</w:t>
                  </w:r>
                </w:p>
              </w:tc>
              <w:tc>
                <w:tcPr>
                  <w:tcW w:w="683" w:type="dxa"/>
                  <w:shd w:val="clear" w:color="auto" w:fill="FFFFFF"/>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rPr>
                    <w:t>0</w:t>
                  </w:r>
                </w:p>
              </w:tc>
              <w:tc>
                <w:tcPr>
                  <w:tcW w:w="683" w:type="dxa"/>
                  <w:shd w:val="clear" w:color="auto" w:fill="FFFFFF"/>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rPr>
                    <w:t>0</w:t>
                  </w:r>
                </w:p>
              </w:tc>
              <w:tc>
                <w:tcPr>
                  <w:tcW w:w="683" w:type="dxa"/>
                  <w:shd w:val="clear" w:color="auto" w:fill="FFFFFF"/>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rPr>
                    <w:t>0</w:t>
                  </w:r>
                </w:p>
              </w:tc>
              <w:tc>
                <w:tcPr>
                  <w:tcW w:w="683" w:type="dxa"/>
                  <w:shd w:val="clear" w:color="auto" w:fill="FFFFFF"/>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rPr>
                    <w:t>0</w:t>
                  </w:r>
                </w:p>
              </w:tc>
              <w:tc>
                <w:tcPr>
                  <w:tcW w:w="683" w:type="dxa"/>
                  <w:shd w:val="clear" w:color="auto" w:fill="FFFFFF"/>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rPr>
                    <w:t>0</w:t>
                  </w:r>
                </w:p>
              </w:tc>
              <w:tc>
                <w:tcPr>
                  <w:tcW w:w="803" w:type="dxa"/>
                  <w:shd w:val="clear" w:color="auto" w:fill="FFFFFF"/>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rPr>
                    <w:t>0</w:t>
                  </w:r>
                </w:p>
              </w:tc>
              <w:tc>
                <w:tcPr>
                  <w:tcW w:w="709" w:type="dxa"/>
                  <w:shd w:val="clear" w:color="auto" w:fill="FFFFFF"/>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rPr>
                    <w:t>0</w:t>
                  </w:r>
                </w:p>
              </w:tc>
              <w:tc>
                <w:tcPr>
                  <w:tcW w:w="567" w:type="dxa"/>
                  <w:shd w:val="clear" w:color="auto" w:fill="FFFFFF"/>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rPr>
                    <w:t>0</w:t>
                  </w:r>
                </w:p>
              </w:tc>
              <w:tc>
                <w:tcPr>
                  <w:tcW w:w="991" w:type="dxa"/>
                  <w:gridSpan w:val="2"/>
                  <w:shd w:val="clear" w:color="auto" w:fill="FFFFFF"/>
                </w:tcPr>
                <w:p w:rsidR="00AB20A0" w:rsidRPr="00556F00" w:rsidRDefault="00AB20A0" w:rsidP="00AB20A0">
                  <w:pPr>
                    <w:spacing w:line="240" w:lineRule="auto"/>
                    <w:jc w:val="center"/>
                    <w:rPr>
                      <w:rFonts w:ascii="Times New Roman" w:hAnsi="Times New Roman"/>
                      <w:b/>
                      <w:color w:val="000000"/>
                      <w:sz w:val="21"/>
                      <w:szCs w:val="21"/>
                    </w:rPr>
                  </w:pPr>
                  <w:r w:rsidRPr="00556F00">
                    <w:rPr>
                      <w:rFonts w:ascii="Times New Roman" w:hAnsi="Times New Roman"/>
                      <w:b/>
                    </w:rPr>
                    <w:t>0</w:t>
                  </w:r>
                </w:p>
              </w:tc>
            </w:tr>
            <w:tr w:rsidR="00AB20A0" w:rsidRPr="00890C68" w:rsidTr="00997FE7">
              <w:trPr>
                <w:trHeight w:val="344"/>
              </w:trPr>
              <w:tc>
                <w:tcPr>
                  <w:tcW w:w="2443" w:type="dxa"/>
                  <w:gridSpan w:val="2"/>
                  <w:shd w:val="clear" w:color="auto" w:fill="FFFFFF"/>
                  <w:vAlign w:val="center"/>
                </w:tcPr>
                <w:p w:rsidR="00AB20A0" w:rsidRPr="00890C68" w:rsidRDefault="00AB20A0" w:rsidP="00AB20A0">
                  <w:pPr>
                    <w:spacing w:line="240" w:lineRule="auto"/>
                    <w:rPr>
                      <w:rFonts w:ascii="Times New Roman" w:hAnsi="Times New Roman"/>
                      <w:color w:val="000000"/>
                      <w:sz w:val="21"/>
                      <w:szCs w:val="21"/>
                    </w:rPr>
                  </w:pPr>
                  <w:r w:rsidRPr="00890C68">
                    <w:rPr>
                      <w:rFonts w:ascii="Times New Roman" w:hAnsi="Times New Roman"/>
                      <w:color w:val="000000"/>
                      <w:sz w:val="21"/>
                      <w:szCs w:val="21"/>
                    </w:rPr>
                    <w:t>pozostałe jednostki (oddzielnie)</w:t>
                  </w:r>
                </w:p>
              </w:tc>
              <w:tc>
                <w:tcPr>
                  <w:tcW w:w="653" w:type="dxa"/>
                  <w:shd w:val="clear" w:color="auto" w:fill="FFFFFF"/>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rPr>
                    <w:t>0</w:t>
                  </w:r>
                </w:p>
              </w:tc>
              <w:tc>
                <w:tcPr>
                  <w:tcW w:w="683" w:type="dxa"/>
                  <w:shd w:val="clear" w:color="auto" w:fill="FFFFFF"/>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rPr>
                    <w:t>0</w:t>
                  </w:r>
                </w:p>
              </w:tc>
              <w:tc>
                <w:tcPr>
                  <w:tcW w:w="683" w:type="dxa"/>
                  <w:shd w:val="clear" w:color="auto" w:fill="FFFFFF"/>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rPr>
                    <w:t>0</w:t>
                  </w:r>
                </w:p>
              </w:tc>
              <w:tc>
                <w:tcPr>
                  <w:tcW w:w="683" w:type="dxa"/>
                  <w:shd w:val="clear" w:color="auto" w:fill="FFFFFF"/>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rPr>
                    <w:t>0</w:t>
                  </w:r>
                </w:p>
              </w:tc>
              <w:tc>
                <w:tcPr>
                  <w:tcW w:w="683" w:type="dxa"/>
                  <w:shd w:val="clear" w:color="auto" w:fill="FFFFFF"/>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rPr>
                    <w:t>0</w:t>
                  </w:r>
                </w:p>
              </w:tc>
              <w:tc>
                <w:tcPr>
                  <w:tcW w:w="683" w:type="dxa"/>
                  <w:shd w:val="clear" w:color="auto" w:fill="FFFFFF"/>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rPr>
                    <w:t>0</w:t>
                  </w:r>
                </w:p>
              </w:tc>
              <w:tc>
                <w:tcPr>
                  <w:tcW w:w="683" w:type="dxa"/>
                  <w:shd w:val="clear" w:color="auto" w:fill="FFFFFF"/>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rPr>
                    <w:t>0</w:t>
                  </w:r>
                </w:p>
              </w:tc>
              <w:tc>
                <w:tcPr>
                  <w:tcW w:w="683" w:type="dxa"/>
                  <w:shd w:val="clear" w:color="auto" w:fill="FFFFFF"/>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rPr>
                    <w:t>0</w:t>
                  </w:r>
                </w:p>
              </w:tc>
              <w:tc>
                <w:tcPr>
                  <w:tcW w:w="803" w:type="dxa"/>
                  <w:shd w:val="clear" w:color="auto" w:fill="FFFFFF"/>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rPr>
                    <w:t>0</w:t>
                  </w:r>
                </w:p>
              </w:tc>
              <w:tc>
                <w:tcPr>
                  <w:tcW w:w="709" w:type="dxa"/>
                  <w:shd w:val="clear" w:color="auto" w:fill="FFFFFF"/>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rPr>
                    <w:t>0</w:t>
                  </w:r>
                </w:p>
              </w:tc>
              <w:tc>
                <w:tcPr>
                  <w:tcW w:w="567" w:type="dxa"/>
                  <w:shd w:val="clear" w:color="auto" w:fill="FFFFFF"/>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rPr>
                    <w:t>0</w:t>
                  </w:r>
                </w:p>
              </w:tc>
              <w:tc>
                <w:tcPr>
                  <w:tcW w:w="991" w:type="dxa"/>
                  <w:gridSpan w:val="2"/>
                  <w:shd w:val="clear" w:color="auto" w:fill="FFFFFF"/>
                </w:tcPr>
                <w:p w:rsidR="00AB20A0" w:rsidRPr="00556F00" w:rsidRDefault="00556F00" w:rsidP="00AB20A0">
                  <w:pPr>
                    <w:spacing w:line="240" w:lineRule="auto"/>
                    <w:jc w:val="center"/>
                    <w:rPr>
                      <w:rFonts w:ascii="Times New Roman" w:hAnsi="Times New Roman"/>
                      <w:b/>
                      <w:color w:val="000000"/>
                      <w:sz w:val="21"/>
                      <w:szCs w:val="21"/>
                    </w:rPr>
                  </w:pPr>
                  <w:r w:rsidRPr="00556F00">
                    <w:rPr>
                      <w:rFonts w:ascii="Times New Roman" w:hAnsi="Times New Roman"/>
                      <w:b/>
                    </w:rPr>
                    <w:t>0</w:t>
                  </w:r>
                </w:p>
              </w:tc>
            </w:tr>
            <w:tr w:rsidR="00AB20A0" w:rsidRPr="00890C68" w:rsidTr="00997FE7">
              <w:trPr>
                <w:trHeight w:val="330"/>
              </w:trPr>
              <w:tc>
                <w:tcPr>
                  <w:tcW w:w="2443" w:type="dxa"/>
                  <w:gridSpan w:val="2"/>
                  <w:shd w:val="clear" w:color="auto" w:fill="FFFFFF"/>
                  <w:vAlign w:val="center"/>
                </w:tcPr>
                <w:p w:rsidR="00AB20A0" w:rsidRPr="00890C68" w:rsidRDefault="00AB20A0" w:rsidP="00AB20A0">
                  <w:pPr>
                    <w:spacing w:line="240" w:lineRule="auto"/>
                    <w:rPr>
                      <w:rFonts w:ascii="Times New Roman" w:hAnsi="Times New Roman"/>
                      <w:color w:val="000000"/>
                      <w:sz w:val="21"/>
                      <w:szCs w:val="21"/>
                    </w:rPr>
                  </w:pPr>
                  <w:r w:rsidRPr="00890C68">
                    <w:rPr>
                      <w:rFonts w:ascii="Times New Roman" w:hAnsi="Times New Roman"/>
                      <w:b/>
                      <w:color w:val="000000"/>
                      <w:sz w:val="21"/>
                      <w:szCs w:val="21"/>
                    </w:rPr>
                    <w:t>Wydatki ogółem</w:t>
                  </w:r>
                </w:p>
              </w:tc>
              <w:tc>
                <w:tcPr>
                  <w:tcW w:w="653" w:type="dxa"/>
                  <w:shd w:val="clear" w:color="auto" w:fill="FFFFFF"/>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rPr>
                    <w:t>0</w:t>
                  </w:r>
                </w:p>
              </w:tc>
              <w:tc>
                <w:tcPr>
                  <w:tcW w:w="683" w:type="dxa"/>
                  <w:shd w:val="clear" w:color="auto" w:fill="FFFFFF"/>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rPr>
                    <w:t>-1,3</w:t>
                  </w:r>
                </w:p>
              </w:tc>
              <w:tc>
                <w:tcPr>
                  <w:tcW w:w="683" w:type="dxa"/>
                  <w:shd w:val="clear" w:color="auto" w:fill="FFFFFF"/>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rPr>
                    <w:t>-1,6</w:t>
                  </w:r>
                </w:p>
              </w:tc>
              <w:tc>
                <w:tcPr>
                  <w:tcW w:w="683" w:type="dxa"/>
                  <w:shd w:val="clear" w:color="auto" w:fill="FFFFFF"/>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rPr>
                    <w:t>-2,7</w:t>
                  </w:r>
                </w:p>
              </w:tc>
              <w:tc>
                <w:tcPr>
                  <w:tcW w:w="683" w:type="dxa"/>
                  <w:shd w:val="clear" w:color="auto" w:fill="FFFFFF"/>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rPr>
                    <w:t>-11,9</w:t>
                  </w:r>
                </w:p>
              </w:tc>
              <w:tc>
                <w:tcPr>
                  <w:tcW w:w="683" w:type="dxa"/>
                  <w:shd w:val="clear" w:color="auto" w:fill="FFFFFF"/>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rPr>
                    <w:t>-29,2</w:t>
                  </w:r>
                </w:p>
              </w:tc>
              <w:tc>
                <w:tcPr>
                  <w:tcW w:w="683" w:type="dxa"/>
                  <w:shd w:val="clear" w:color="auto" w:fill="FFFFFF"/>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rPr>
                    <w:t>-47,6</w:t>
                  </w:r>
                </w:p>
              </w:tc>
              <w:tc>
                <w:tcPr>
                  <w:tcW w:w="683" w:type="dxa"/>
                  <w:shd w:val="clear" w:color="auto" w:fill="FFFFFF"/>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rPr>
                    <w:t>-75,6</w:t>
                  </w:r>
                </w:p>
              </w:tc>
              <w:tc>
                <w:tcPr>
                  <w:tcW w:w="803" w:type="dxa"/>
                  <w:shd w:val="clear" w:color="auto" w:fill="FFFFFF"/>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rPr>
                    <w:t>-100,7</w:t>
                  </w:r>
                </w:p>
              </w:tc>
              <w:tc>
                <w:tcPr>
                  <w:tcW w:w="709" w:type="dxa"/>
                  <w:shd w:val="clear" w:color="auto" w:fill="FFFFFF"/>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rPr>
                    <w:t>-127,2</w:t>
                  </w:r>
                </w:p>
              </w:tc>
              <w:tc>
                <w:tcPr>
                  <w:tcW w:w="567" w:type="dxa"/>
                  <w:shd w:val="clear" w:color="auto" w:fill="FFFFFF"/>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rPr>
                    <w:t>-148,8</w:t>
                  </w:r>
                </w:p>
              </w:tc>
              <w:tc>
                <w:tcPr>
                  <w:tcW w:w="991" w:type="dxa"/>
                  <w:gridSpan w:val="2"/>
                  <w:shd w:val="clear" w:color="auto" w:fill="FFFFFF"/>
                </w:tcPr>
                <w:p w:rsidR="00AB20A0" w:rsidRPr="00556F00" w:rsidRDefault="00AB20A0" w:rsidP="00AB20A0">
                  <w:pPr>
                    <w:spacing w:line="240" w:lineRule="auto"/>
                    <w:jc w:val="center"/>
                    <w:rPr>
                      <w:rFonts w:ascii="Times New Roman" w:hAnsi="Times New Roman"/>
                      <w:b/>
                      <w:color w:val="000000"/>
                      <w:sz w:val="21"/>
                      <w:szCs w:val="21"/>
                    </w:rPr>
                  </w:pPr>
                  <w:r w:rsidRPr="00556F00">
                    <w:rPr>
                      <w:rFonts w:ascii="Times New Roman" w:hAnsi="Times New Roman"/>
                      <w:b/>
                    </w:rPr>
                    <w:t>-546,6</w:t>
                  </w:r>
                </w:p>
              </w:tc>
            </w:tr>
            <w:tr w:rsidR="00AB20A0" w:rsidRPr="00890C68" w:rsidTr="00997FE7">
              <w:trPr>
                <w:trHeight w:val="330"/>
              </w:trPr>
              <w:tc>
                <w:tcPr>
                  <w:tcW w:w="2443" w:type="dxa"/>
                  <w:gridSpan w:val="2"/>
                  <w:shd w:val="clear" w:color="auto" w:fill="FFFFFF"/>
                  <w:vAlign w:val="center"/>
                </w:tcPr>
                <w:p w:rsidR="00AB20A0" w:rsidRPr="00890C68" w:rsidRDefault="00AB20A0" w:rsidP="00AB20A0">
                  <w:pPr>
                    <w:spacing w:line="240" w:lineRule="auto"/>
                    <w:rPr>
                      <w:rFonts w:ascii="Times New Roman" w:hAnsi="Times New Roman"/>
                      <w:color w:val="000000"/>
                      <w:sz w:val="21"/>
                      <w:szCs w:val="21"/>
                    </w:rPr>
                  </w:pPr>
                  <w:r w:rsidRPr="00890C68">
                    <w:rPr>
                      <w:rFonts w:ascii="Times New Roman" w:hAnsi="Times New Roman"/>
                      <w:color w:val="000000"/>
                      <w:sz w:val="21"/>
                      <w:szCs w:val="21"/>
                    </w:rPr>
                    <w:t>budżet państwa</w:t>
                  </w:r>
                </w:p>
              </w:tc>
              <w:tc>
                <w:tcPr>
                  <w:tcW w:w="653" w:type="dxa"/>
                  <w:shd w:val="clear" w:color="auto" w:fill="FFFFFF"/>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rPr>
                    <w:t>0</w:t>
                  </w:r>
                </w:p>
              </w:tc>
              <w:tc>
                <w:tcPr>
                  <w:tcW w:w="683" w:type="dxa"/>
                  <w:shd w:val="clear" w:color="auto" w:fill="FFFFFF"/>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rPr>
                    <w:t>-1,3</w:t>
                  </w:r>
                </w:p>
              </w:tc>
              <w:tc>
                <w:tcPr>
                  <w:tcW w:w="683" w:type="dxa"/>
                  <w:shd w:val="clear" w:color="auto" w:fill="FFFFFF"/>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rPr>
                    <w:t>-1,7</w:t>
                  </w:r>
                </w:p>
              </w:tc>
              <w:tc>
                <w:tcPr>
                  <w:tcW w:w="683" w:type="dxa"/>
                  <w:shd w:val="clear" w:color="auto" w:fill="FFFFFF"/>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rPr>
                    <w:t>-2,8</w:t>
                  </w:r>
                </w:p>
              </w:tc>
              <w:tc>
                <w:tcPr>
                  <w:tcW w:w="683" w:type="dxa"/>
                  <w:shd w:val="clear" w:color="auto" w:fill="FFFFFF"/>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rPr>
                    <w:t>-11,3</w:t>
                  </w:r>
                </w:p>
              </w:tc>
              <w:tc>
                <w:tcPr>
                  <w:tcW w:w="683" w:type="dxa"/>
                  <w:shd w:val="clear" w:color="auto" w:fill="FFFFFF"/>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rPr>
                    <w:t>-28,6</w:t>
                  </w:r>
                </w:p>
              </w:tc>
              <w:tc>
                <w:tcPr>
                  <w:tcW w:w="683" w:type="dxa"/>
                  <w:shd w:val="clear" w:color="auto" w:fill="FFFFFF"/>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rPr>
                    <w:t>-47</w:t>
                  </w:r>
                </w:p>
              </w:tc>
              <w:tc>
                <w:tcPr>
                  <w:tcW w:w="683" w:type="dxa"/>
                  <w:shd w:val="clear" w:color="auto" w:fill="FFFFFF"/>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rPr>
                    <w:t>-74,9</w:t>
                  </w:r>
                </w:p>
              </w:tc>
              <w:tc>
                <w:tcPr>
                  <w:tcW w:w="803" w:type="dxa"/>
                  <w:shd w:val="clear" w:color="auto" w:fill="FFFFFF"/>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rPr>
                    <w:t>-99,9</w:t>
                  </w:r>
                </w:p>
              </w:tc>
              <w:tc>
                <w:tcPr>
                  <w:tcW w:w="709" w:type="dxa"/>
                  <w:shd w:val="clear" w:color="auto" w:fill="FFFFFF"/>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rPr>
                    <w:t>-126,4</w:t>
                  </w:r>
                </w:p>
              </w:tc>
              <w:tc>
                <w:tcPr>
                  <w:tcW w:w="567" w:type="dxa"/>
                  <w:shd w:val="clear" w:color="auto" w:fill="FFFFFF"/>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rPr>
                    <w:t>-148,7</w:t>
                  </w:r>
                </w:p>
              </w:tc>
              <w:tc>
                <w:tcPr>
                  <w:tcW w:w="991" w:type="dxa"/>
                  <w:gridSpan w:val="2"/>
                  <w:shd w:val="clear" w:color="auto" w:fill="FFFFFF"/>
                </w:tcPr>
                <w:p w:rsidR="00AB20A0" w:rsidRPr="00556F00" w:rsidRDefault="00AB20A0" w:rsidP="00AB20A0">
                  <w:pPr>
                    <w:spacing w:line="240" w:lineRule="auto"/>
                    <w:jc w:val="center"/>
                    <w:rPr>
                      <w:rFonts w:ascii="Times New Roman" w:hAnsi="Times New Roman"/>
                      <w:b/>
                      <w:color w:val="000000"/>
                      <w:sz w:val="21"/>
                      <w:szCs w:val="21"/>
                    </w:rPr>
                  </w:pPr>
                  <w:r w:rsidRPr="00556F00">
                    <w:rPr>
                      <w:rFonts w:ascii="Times New Roman" w:hAnsi="Times New Roman"/>
                      <w:b/>
                    </w:rPr>
                    <w:t>-542,6</w:t>
                  </w:r>
                </w:p>
              </w:tc>
            </w:tr>
            <w:tr w:rsidR="00AB20A0" w:rsidRPr="00890C68" w:rsidTr="00997FE7">
              <w:trPr>
                <w:trHeight w:val="351"/>
              </w:trPr>
              <w:tc>
                <w:tcPr>
                  <w:tcW w:w="2443" w:type="dxa"/>
                  <w:gridSpan w:val="2"/>
                  <w:shd w:val="clear" w:color="auto" w:fill="FFFFFF"/>
                  <w:vAlign w:val="center"/>
                </w:tcPr>
                <w:p w:rsidR="00AB20A0" w:rsidRPr="00890C68" w:rsidRDefault="00AB20A0" w:rsidP="00AB20A0">
                  <w:pPr>
                    <w:spacing w:line="240" w:lineRule="auto"/>
                    <w:rPr>
                      <w:rFonts w:ascii="Times New Roman" w:hAnsi="Times New Roman"/>
                      <w:color w:val="000000"/>
                      <w:sz w:val="21"/>
                      <w:szCs w:val="21"/>
                    </w:rPr>
                  </w:pPr>
                  <w:r w:rsidRPr="00890C68">
                    <w:rPr>
                      <w:rFonts w:ascii="Times New Roman" w:hAnsi="Times New Roman"/>
                      <w:color w:val="000000"/>
                      <w:sz w:val="21"/>
                      <w:szCs w:val="21"/>
                    </w:rPr>
                    <w:t>JST</w:t>
                  </w:r>
                </w:p>
              </w:tc>
              <w:tc>
                <w:tcPr>
                  <w:tcW w:w="653" w:type="dxa"/>
                  <w:shd w:val="clear" w:color="auto" w:fill="FFFFFF"/>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rPr>
                    <w:t>0</w:t>
                  </w:r>
                </w:p>
              </w:tc>
              <w:tc>
                <w:tcPr>
                  <w:tcW w:w="683" w:type="dxa"/>
                  <w:shd w:val="clear" w:color="auto" w:fill="FFFFFF"/>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rPr>
                    <w:t>0</w:t>
                  </w:r>
                </w:p>
              </w:tc>
              <w:tc>
                <w:tcPr>
                  <w:tcW w:w="683" w:type="dxa"/>
                  <w:shd w:val="clear" w:color="auto" w:fill="FFFFFF"/>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rPr>
                    <w:t>0,1</w:t>
                  </w:r>
                </w:p>
              </w:tc>
              <w:tc>
                <w:tcPr>
                  <w:tcW w:w="683" w:type="dxa"/>
                  <w:shd w:val="clear" w:color="auto" w:fill="FFFFFF"/>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rPr>
                    <w:t>0,1</w:t>
                  </w:r>
                </w:p>
              </w:tc>
              <w:tc>
                <w:tcPr>
                  <w:tcW w:w="683" w:type="dxa"/>
                  <w:shd w:val="clear" w:color="auto" w:fill="FFFFFF"/>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rPr>
                    <w:t>-0,6</w:t>
                  </w:r>
                </w:p>
              </w:tc>
              <w:tc>
                <w:tcPr>
                  <w:tcW w:w="683" w:type="dxa"/>
                  <w:shd w:val="clear" w:color="auto" w:fill="FFFFFF"/>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rPr>
                    <w:t>-0,6</w:t>
                  </w:r>
                </w:p>
              </w:tc>
              <w:tc>
                <w:tcPr>
                  <w:tcW w:w="683" w:type="dxa"/>
                  <w:shd w:val="clear" w:color="auto" w:fill="FFFFFF"/>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rPr>
                    <w:t>-0,6</w:t>
                  </w:r>
                </w:p>
              </w:tc>
              <w:tc>
                <w:tcPr>
                  <w:tcW w:w="683" w:type="dxa"/>
                  <w:shd w:val="clear" w:color="auto" w:fill="FFFFFF"/>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rPr>
                    <w:t>-0,7</w:t>
                  </w:r>
                </w:p>
              </w:tc>
              <w:tc>
                <w:tcPr>
                  <w:tcW w:w="803" w:type="dxa"/>
                  <w:shd w:val="clear" w:color="auto" w:fill="FFFFFF"/>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rPr>
                    <w:t>-0,8</w:t>
                  </w:r>
                </w:p>
              </w:tc>
              <w:tc>
                <w:tcPr>
                  <w:tcW w:w="709" w:type="dxa"/>
                  <w:shd w:val="clear" w:color="auto" w:fill="FFFFFF"/>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rPr>
                    <w:t>-0,8</w:t>
                  </w:r>
                </w:p>
              </w:tc>
              <w:tc>
                <w:tcPr>
                  <w:tcW w:w="567" w:type="dxa"/>
                  <w:shd w:val="clear" w:color="auto" w:fill="FFFFFF"/>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rPr>
                    <w:t>-0,1</w:t>
                  </w:r>
                </w:p>
              </w:tc>
              <w:tc>
                <w:tcPr>
                  <w:tcW w:w="991" w:type="dxa"/>
                  <w:gridSpan w:val="2"/>
                  <w:shd w:val="clear" w:color="auto" w:fill="FFFFFF"/>
                </w:tcPr>
                <w:p w:rsidR="00AB20A0" w:rsidRPr="00556F00" w:rsidRDefault="00AB20A0" w:rsidP="00AB20A0">
                  <w:pPr>
                    <w:spacing w:line="240" w:lineRule="auto"/>
                    <w:jc w:val="center"/>
                    <w:rPr>
                      <w:rFonts w:ascii="Times New Roman" w:hAnsi="Times New Roman"/>
                      <w:b/>
                      <w:color w:val="000000"/>
                      <w:sz w:val="21"/>
                      <w:szCs w:val="21"/>
                    </w:rPr>
                  </w:pPr>
                  <w:r w:rsidRPr="00556F00">
                    <w:rPr>
                      <w:rFonts w:ascii="Times New Roman" w:hAnsi="Times New Roman"/>
                      <w:b/>
                    </w:rPr>
                    <w:t>-4,0</w:t>
                  </w:r>
                </w:p>
              </w:tc>
            </w:tr>
            <w:tr w:rsidR="00AB20A0" w:rsidRPr="00890C68" w:rsidTr="00997FE7">
              <w:trPr>
                <w:trHeight w:val="351"/>
              </w:trPr>
              <w:tc>
                <w:tcPr>
                  <w:tcW w:w="2443" w:type="dxa"/>
                  <w:gridSpan w:val="2"/>
                  <w:shd w:val="clear" w:color="auto" w:fill="FFFFFF"/>
                  <w:vAlign w:val="center"/>
                </w:tcPr>
                <w:p w:rsidR="00AB20A0" w:rsidRPr="00890C68" w:rsidRDefault="00AB20A0" w:rsidP="00AB20A0">
                  <w:pPr>
                    <w:spacing w:line="240" w:lineRule="auto"/>
                    <w:rPr>
                      <w:rFonts w:ascii="Times New Roman" w:hAnsi="Times New Roman"/>
                      <w:color w:val="000000"/>
                      <w:sz w:val="21"/>
                      <w:szCs w:val="21"/>
                    </w:rPr>
                  </w:pPr>
                  <w:r w:rsidRPr="00890C68">
                    <w:rPr>
                      <w:rFonts w:ascii="Times New Roman" w:hAnsi="Times New Roman"/>
                      <w:color w:val="000000"/>
                      <w:sz w:val="21"/>
                      <w:szCs w:val="21"/>
                    </w:rPr>
                    <w:lastRenderedPageBreak/>
                    <w:t>pozostałe jednostki (oddzielnie)</w:t>
                  </w:r>
                </w:p>
              </w:tc>
              <w:tc>
                <w:tcPr>
                  <w:tcW w:w="653" w:type="dxa"/>
                  <w:shd w:val="clear" w:color="auto" w:fill="FFFFFF"/>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rPr>
                    <w:t>0</w:t>
                  </w:r>
                </w:p>
              </w:tc>
              <w:tc>
                <w:tcPr>
                  <w:tcW w:w="683" w:type="dxa"/>
                  <w:shd w:val="clear" w:color="auto" w:fill="FFFFFF"/>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rPr>
                    <w:t>0</w:t>
                  </w:r>
                </w:p>
              </w:tc>
              <w:tc>
                <w:tcPr>
                  <w:tcW w:w="683" w:type="dxa"/>
                  <w:shd w:val="clear" w:color="auto" w:fill="FFFFFF"/>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rPr>
                    <w:t>0</w:t>
                  </w:r>
                </w:p>
              </w:tc>
              <w:tc>
                <w:tcPr>
                  <w:tcW w:w="683" w:type="dxa"/>
                  <w:shd w:val="clear" w:color="auto" w:fill="FFFFFF"/>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rPr>
                    <w:t>0</w:t>
                  </w:r>
                </w:p>
              </w:tc>
              <w:tc>
                <w:tcPr>
                  <w:tcW w:w="683" w:type="dxa"/>
                  <w:shd w:val="clear" w:color="auto" w:fill="FFFFFF"/>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rPr>
                    <w:t>0</w:t>
                  </w:r>
                </w:p>
              </w:tc>
              <w:tc>
                <w:tcPr>
                  <w:tcW w:w="683" w:type="dxa"/>
                  <w:shd w:val="clear" w:color="auto" w:fill="FFFFFF"/>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rPr>
                    <w:t>0</w:t>
                  </w:r>
                </w:p>
              </w:tc>
              <w:tc>
                <w:tcPr>
                  <w:tcW w:w="683" w:type="dxa"/>
                  <w:shd w:val="clear" w:color="auto" w:fill="FFFFFF"/>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rPr>
                    <w:t>0</w:t>
                  </w:r>
                </w:p>
              </w:tc>
              <w:tc>
                <w:tcPr>
                  <w:tcW w:w="683" w:type="dxa"/>
                  <w:shd w:val="clear" w:color="auto" w:fill="FFFFFF"/>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rPr>
                    <w:t>0</w:t>
                  </w:r>
                </w:p>
              </w:tc>
              <w:tc>
                <w:tcPr>
                  <w:tcW w:w="803" w:type="dxa"/>
                  <w:shd w:val="clear" w:color="auto" w:fill="FFFFFF"/>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rPr>
                    <w:t>0</w:t>
                  </w:r>
                </w:p>
              </w:tc>
              <w:tc>
                <w:tcPr>
                  <w:tcW w:w="709" w:type="dxa"/>
                  <w:shd w:val="clear" w:color="auto" w:fill="FFFFFF"/>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rPr>
                    <w:t>0</w:t>
                  </w:r>
                </w:p>
              </w:tc>
              <w:tc>
                <w:tcPr>
                  <w:tcW w:w="567" w:type="dxa"/>
                  <w:shd w:val="clear" w:color="auto" w:fill="FFFFFF"/>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rPr>
                    <w:t>0</w:t>
                  </w:r>
                </w:p>
              </w:tc>
              <w:tc>
                <w:tcPr>
                  <w:tcW w:w="991" w:type="dxa"/>
                  <w:gridSpan w:val="2"/>
                  <w:shd w:val="clear" w:color="auto" w:fill="FFFFFF"/>
                </w:tcPr>
                <w:p w:rsidR="00AB20A0" w:rsidRPr="00556F00" w:rsidRDefault="00AB20A0" w:rsidP="00AB20A0">
                  <w:pPr>
                    <w:spacing w:line="240" w:lineRule="auto"/>
                    <w:jc w:val="center"/>
                    <w:rPr>
                      <w:rFonts w:ascii="Times New Roman" w:hAnsi="Times New Roman"/>
                      <w:b/>
                      <w:color w:val="000000"/>
                      <w:sz w:val="21"/>
                      <w:szCs w:val="21"/>
                    </w:rPr>
                  </w:pPr>
                  <w:r w:rsidRPr="00556F00">
                    <w:rPr>
                      <w:rFonts w:ascii="Times New Roman" w:hAnsi="Times New Roman"/>
                      <w:b/>
                    </w:rPr>
                    <w:t>0,0</w:t>
                  </w:r>
                </w:p>
              </w:tc>
            </w:tr>
            <w:tr w:rsidR="00AB20A0" w:rsidRPr="00890C68" w:rsidTr="00997FE7">
              <w:trPr>
                <w:trHeight w:val="360"/>
              </w:trPr>
              <w:tc>
                <w:tcPr>
                  <w:tcW w:w="2443" w:type="dxa"/>
                  <w:gridSpan w:val="2"/>
                  <w:shd w:val="clear" w:color="auto" w:fill="FFFFFF"/>
                  <w:vAlign w:val="center"/>
                </w:tcPr>
                <w:p w:rsidR="00AB20A0" w:rsidRPr="00890C68" w:rsidRDefault="00AB20A0" w:rsidP="00AB20A0">
                  <w:pPr>
                    <w:spacing w:line="240" w:lineRule="auto"/>
                    <w:rPr>
                      <w:rFonts w:ascii="Times New Roman" w:hAnsi="Times New Roman"/>
                      <w:color w:val="000000"/>
                      <w:sz w:val="21"/>
                      <w:szCs w:val="21"/>
                    </w:rPr>
                  </w:pPr>
                  <w:r w:rsidRPr="00890C68">
                    <w:rPr>
                      <w:rFonts w:ascii="Times New Roman" w:hAnsi="Times New Roman"/>
                      <w:b/>
                      <w:color w:val="000000"/>
                      <w:sz w:val="21"/>
                      <w:szCs w:val="21"/>
                    </w:rPr>
                    <w:t>Saldo ogółem</w:t>
                  </w:r>
                </w:p>
              </w:tc>
              <w:tc>
                <w:tcPr>
                  <w:tcW w:w="653" w:type="dxa"/>
                  <w:shd w:val="clear" w:color="auto" w:fill="FFFFFF"/>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rPr>
                    <w:t>0</w:t>
                  </w:r>
                </w:p>
              </w:tc>
              <w:tc>
                <w:tcPr>
                  <w:tcW w:w="683" w:type="dxa"/>
                  <w:shd w:val="clear" w:color="auto" w:fill="FFFFFF"/>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rPr>
                    <w:t>1,3</w:t>
                  </w:r>
                </w:p>
              </w:tc>
              <w:tc>
                <w:tcPr>
                  <w:tcW w:w="683" w:type="dxa"/>
                  <w:shd w:val="clear" w:color="auto" w:fill="FFFFFF"/>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rPr>
                    <w:t>1,6</w:t>
                  </w:r>
                </w:p>
              </w:tc>
              <w:tc>
                <w:tcPr>
                  <w:tcW w:w="683" w:type="dxa"/>
                  <w:shd w:val="clear" w:color="auto" w:fill="FFFFFF"/>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rPr>
                    <w:t>2,7</w:t>
                  </w:r>
                </w:p>
              </w:tc>
              <w:tc>
                <w:tcPr>
                  <w:tcW w:w="683" w:type="dxa"/>
                  <w:shd w:val="clear" w:color="auto" w:fill="FFFFFF"/>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rPr>
                    <w:t>11,9</w:t>
                  </w:r>
                </w:p>
              </w:tc>
              <w:tc>
                <w:tcPr>
                  <w:tcW w:w="683" w:type="dxa"/>
                  <w:shd w:val="clear" w:color="auto" w:fill="FFFFFF"/>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rPr>
                    <w:t>29,2</w:t>
                  </w:r>
                </w:p>
              </w:tc>
              <w:tc>
                <w:tcPr>
                  <w:tcW w:w="683" w:type="dxa"/>
                  <w:shd w:val="clear" w:color="auto" w:fill="FFFFFF"/>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rPr>
                    <w:t>47,6</w:t>
                  </w:r>
                </w:p>
              </w:tc>
              <w:tc>
                <w:tcPr>
                  <w:tcW w:w="683" w:type="dxa"/>
                  <w:shd w:val="clear" w:color="auto" w:fill="FFFFFF"/>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rPr>
                    <w:t>75,6</w:t>
                  </w:r>
                </w:p>
              </w:tc>
              <w:tc>
                <w:tcPr>
                  <w:tcW w:w="803" w:type="dxa"/>
                  <w:shd w:val="clear" w:color="auto" w:fill="FFFFFF"/>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rPr>
                    <w:t>100,7</w:t>
                  </w:r>
                </w:p>
              </w:tc>
              <w:tc>
                <w:tcPr>
                  <w:tcW w:w="709" w:type="dxa"/>
                  <w:shd w:val="clear" w:color="auto" w:fill="FFFFFF"/>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rPr>
                    <w:t>127,2</w:t>
                  </w:r>
                </w:p>
              </w:tc>
              <w:tc>
                <w:tcPr>
                  <w:tcW w:w="567" w:type="dxa"/>
                  <w:shd w:val="clear" w:color="auto" w:fill="FFFFFF"/>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rPr>
                    <w:t>148,8</w:t>
                  </w:r>
                </w:p>
              </w:tc>
              <w:tc>
                <w:tcPr>
                  <w:tcW w:w="991" w:type="dxa"/>
                  <w:gridSpan w:val="2"/>
                  <w:shd w:val="clear" w:color="auto" w:fill="FFFFFF"/>
                </w:tcPr>
                <w:p w:rsidR="00AB20A0" w:rsidRPr="00556F00" w:rsidRDefault="00AB20A0" w:rsidP="00AB20A0">
                  <w:pPr>
                    <w:spacing w:line="240" w:lineRule="auto"/>
                    <w:jc w:val="center"/>
                    <w:rPr>
                      <w:rFonts w:ascii="Times New Roman" w:hAnsi="Times New Roman"/>
                      <w:b/>
                      <w:color w:val="000000"/>
                      <w:sz w:val="21"/>
                      <w:szCs w:val="21"/>
                    </w:rPr>
                  </w:pPr>
                  <w:r w:rsidRPr="00556F00">
                    <w:rPr>
                      <w:rFonts w:ascii="Times New Roman" w:hAnsi="Times New Roman"/>
                      <w:b/>
                    </w:rPr>
                    <w:t>546,6</w:t>
                  </w:r>
                </w:p>
              </w:tc>
            </w:tr>
            <w:tr w:rsidR="00AB20A0" w:rsidRPr="00890C68" w:rsidTr="00997FE7">
              <w:trPr>
                <w:trHeight w:val="360"/>
              </w:trPr>
              <w:tc>
                <w:tcPr>
                  <w:tcW w:w="2443" w:type="dxa"/>
                  <w:gridSpan w:val="2"/>
                  <w:shd w:val="clear" w:color="auto" w:fill="FFFFFF"/>
                  <w:vAlign w:val="center"/>
                </w:tcPr>
                <w:p w:rsidR="00AB20A0" w:rsidRPr="00890C68" w:rsidRDefault="00AB20A0" w:rsidP="00AB20A0">
                  <w:pPr>
                    <w:spacing w:line="240" w:lineRule="auto"/>
                    <w:rPr>
                      <w:rFonts w:ascii="Times New Roman" w:hAnsi="Times New Roman"/>
                      <w:color w:val="000000"/>
                      <w:sz w:val="21"/>
                      <w:szCs w:val="21"/>
                    </w:rPr>
                  </w:pPr>
                  <w:r w:rsidRPr="00890C68">
                    <w:rPr>
                      <w:rFonts w:ascii="Times New Roman" w:hAnsi="Times New Roman"/>
                      <w:color w:val="000000"/>
                      <w:sz w:val="21"/>
                      <w:szCs w:val="21"/>
                    </w:rPr>
                    <w:t>budżet państwa</w:t>
                  </w:r>
                </w:p>
              </w:tc>
              <w:tc>
                <w:tcPr>
                  <w:tcW w:w="653" w:type="dxa"/>
                  <w:shd w:val="clear" w:color="auto" w:fill="FFFFFF"/>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rPr>
                    <w:t>0</w:t>
                  </w:r>
                </w:p>
              </w:tc>
              <w:tc>
                <w:tcPr>
                  <w:tcW w:w="683" w:type="dxa"/>
                  <w:shd w:val="clear" w:color="auto" w:fill="FFFFFF"/>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rPr>
                    <w:t>1,3</w:t>
                  </w:r>
                </w:p>
              </w:tc>
              <w:tc>
                <w:tcPr>
                  <w:tcW w:w="683" w:type="dxa"/>
                  <w:shd w:val="clear" w:color="auto" w:fill="FFFFFF"/>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rPr>
                    <w:t>1,7</w:t>
                  </w:r>
                </w:p>
              </w:tc>
              <w:tc>
                <w:tcPr>
                  <w:tcW w:w="683" w:type="dxa"/>
                  <w:shd w:val="clear" w:color="auto" w:fill="FFFFFF"/>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rPr>
                    <w:t>2,8</w:t>
                  </w:r>
                </w:p>
              </w:tc>
              <w:tc>
                <w:tcPr>
                  <w:tcW w:w="683" w:type="dxa"/>
                  <w:shd w:val="clear" w:color="auto" w:fill="FFFFFF"/>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rPr>
                    <w:t>11,3</w:t>
                  </w:r>
                </w:p>
              </w:tc>
              <w:tc>
                <w:tcPr>
                  <w:tcW w:w="683" w:type="dxa"/>
                  <w:shd w:val="clear" w:color="auto" w:fill="FFFFFF"/>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rPr>
                    <w:t>28,6</w:t>
                  </w:r>
                </w:p>
              </w:tc>
              <w:tc>
                <w:tcPr>
                  <w:tcW w:w="683" w:type="dxa"/>
                  <w:shd w:val="clear" w:color="auto" w:fill="FFFFFF"/>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rPr>
                    <w:t>47</w:t>
                  </w:r>
                </w:p>
              </w:tc>
              <w:tc>
                <w:tcPr>
                  <w:tcW w:w="683" w:type="dxa"/>
                  <w:shd w:val="clear" w:color="auto" w:fill="FFFFFF"/>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rPr>
                    <w:t>74,9</w:t>
                  </w:r>
                </w:p>
              </w:tc>
              <w:tc>
                <w:tcPr>
                  <w:tcW w:w="803" w:type="dxa"/>
                  <w:shd w:val="clear" w:color="auto" w:fill="FFFFFF"/>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rPr>
                    <w:t>99,9</w:t>
                  </w:r>
                </w:p>
              </w:tc>
              <w:tc>
                <w:tcPr>
                  <w:tcW w:w="709" w:type="dxa"/>
                  <w:shd w:val="clear" w:color="auto" w:fill="FFFFFF"/>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rPr>
                    <w:t>126,4</w:t>
                  </w:r>
                </w:p>
              </w:tc>
              <w:tc>
                <w:tcPr>
                  <w:tcW w:w="567" w:type="dxa"/>
                  <w:shd w:val="clear" w:color="auto" w:fill="FFFFFF"/>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rPr>
                    <w:t>148,7</w:t>
                  </w:r>
                </w:p>
              </w:tc>
              <w:tc>
                <w:tcPr>
                  <w:tcW w:w="991" w:type="dxa"/>
                  <w:gridSpan w:val="2"/>
                  <w:shd w:val="clear" w:color="auto" w:fill="FFFFFF"/>
                </w:tcPr>
                <w:p w:rsidR="00AB20A0" w:rsidRPr="00556F00" w:rsidRDefault="00AB20A0" w:rsidP="00AB20A0">
                  <w:pPr>
                    <w:spacing w:line="240" w:lineRule="auto"/>
                    <w:jc w:val="center"/>
                    <w:rPr>
                      <w:rFonts w:ascii="Times New Roman" w:hAnsi="Times New Roman"/>
                      <w:b/>
                      <w:color w:val="000000"/>
                      <w:sz w:val="21"/>
                      <w:szCs w:val="21"/>
                    </w:rPr>
                  </w:pPr>
                  <w:r w:rsidRPr="00556F00">
                    <w:rPr>
                      <w:rFonts w:ascii="Times New Roman" w:hAnsi="Times New Roman"/>
                      <w:b/>
                    </w:rPr>
                    <w:t>542,6</w:t>
                  </w:r>
                </w:p>
              </w:tc>
            </w:tr>
            <w:tr w:rsidR="00AB20A0" w:rsidRPr="00890C68" w:rsidTr="00997FE7">
              <w:trPr>
                <w:trHeight w:val="357"/>
              </w:trPr>
              <w:tc>
                <w:tcPr>
                  <w:tcW w:w="2443" w:type="dxa"/>
                  <w:gridSpan w:val="2"/>
                  <w:shd w:val="clear" w:color="auto" w:fill="FFFFFF"/>
                  <w:vAlign w:val="center"/>
                </w:tcPr>
                <w:p w:rsidR="00AB20A0" w:rsidRPr="00890C68" w:rsidRDefault="00AB20A0" w:rsidP="00AB20A0">
                  <w:pPr>
                    <w:spacing w:line="240" w:lineRule="auto"/>
                    <w:rPr>
                      <w:rFonts w:ascii="Times New Roman" w:hAnsi="Times New Roman"/>
                      <w:color w:val="000000"/>
                      <w:sz w:val="21"/>
                      <w:szCs w:val="21"/>
                    </w:rPr>
                  </w:pPr>
                  <w:r w:rsidRPr="00890C68">
                    <w:rPr>
                      <w:rFonts w:ascii="Times New Roman" w:hAnsi="Times New Roman"/>
                      <w:color w:val="000000"/>
                      <w:sz w:val="21"/>
                      <w:szCs w:val="21"/>
                    </w:rPr>
                    <w:t>JST</w:t>
                  </w:r>
                </w:p>
              </w:tc>
              <w:tc>
                <w:tcPr>
                  <w:tcW w:w="653" w:type="dxa"/>
                  <w:shd w:val="clear" w:color="auto" w:fill="FFFFFF"/>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rPr>
                    <w:t>0</w:t>
                  </w:r>
                </w:p>
              </w:tc>
              <w:tc>
                <w:tcPr>
                  <w:tcW w:w="683" w:type="dxa"/>
                  <w:shd w:val="clear" w:color="auto" w:fill="FFFFFF"/>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rPr>
                    <w:t>0</w:t>
                  </w:r>
                </w:p>
              </w:tc>
              <w:tc>
                <w:tcPr>
                  <w:tcW w:w="683" w:type="dxa"/>
                  <w:shd w:val="clear" w:color="auto" w:fill="FFFFFF"/>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rPr>
                    <w:t>-0,1</w:t>
                  </w:r>
                </w:p>
              </w:tc>
              <w:tc>
                <w:tcPr>
                  <w:tcW w:w="683" w:type="dxa"/>
                  <w:shd w:val="clear" w:color="auto" w:fill="FFFFFF"/>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rPr>
                    <w:t>-0,1</w:t>
                  </w:r>
                </w:p>
              </w:tc>
              <w:tc>
                <w:tcPr>
                  <w:tcW w:w="683" w:type="dxa"/>
                  <w:shd w:val="clear" w:color="auto" w:fill="FFFFFF"/>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rPr>
                    <w:t>0,6</w:t>
                  </w:r>
                </w:p>
              </w:tc>
              <w:tc>
                <w:tcPr>
                  <w:tcW w:w="683" w:type="dxa"/>
                  <w:shd w:val="clear" w:color="auto" w:fill="FFFFFF"/>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rPr>
                    <w:t>0,6</w:t>
                  </w:r>
                </w:p>
              </w:tc>
              <w:tc>
                <w:tcPr>
                  <w:tcW w:w="683" w:type="dxa"/>
                  <w:shd w:val="clear" w:color="auto" w:fill="FFFFFF"/>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rPr>
                    <w:t>0,6</w:t>
                  </w:r>
                </w:p>
              </w:tc>
              <w:tc>
                <w:tcPr>
                  <w:tcW w:w="683" w:type="dxa"/>
                  <w:shd w:val="clear" w:color="auto" w:fill="FFFFFF"/>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rPr>
                    <w:t>0,7</w:t>
                  </w:r>
                </w:p>
              </w:tc>
              <w:tc>
                <w:tcPr>
                  <w:tcW w:w="803" w:type="dxa"/>
                  <w:shd w:val="clear" w:color="auto" w:fill="FFFFFF"/>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rPr>
                    <w:t>0,8</w:t>
                  </w:r>
                </w:p>
              </w:tc>
              <w:tc>
                <w:tcPr>
                  <w:tcW w:w="709" w:type="dxa"/>
                  <w:shd w:val="clear" w:color="auto" w:fill="FFFFFF"/>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rPr>
                    <w:t>0,8</w:t>
                  </w:r>
                </w:p>
              </w:tc>
              <w:tc>
                <w:tcPr>
                  <w:tcW w:w="567" w:type="dxa"/>
                  <w:shd w:val="clear" w:color="auto" w:fill="FFFFFF"/>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rPr>
                    <w:t>0,1</w:t>
                  </w:r>
                </w:p>
              </w:tc>
              <w:tc>
                <w:tcPr>
                  <w:tcW w:w="991" w:type="dxa"/>
                  <w:gridSpan w:val="2"/>
                  <w:shd w:val="clear" w:color="auto" w:fill="FFFFFF"/>
                </w:tcPr>
                <w:p w:rsidR="00AB20A0" w:rsidRPr="00556F00" w:rsidRDefault="00AB20A0" w:rsidP="00AB20A0">
                  <w:pPr>
                    <w:spacing w:line="240" w:lineRule="auto"/>
                    <w:jc w:val="center"/>
                    <w:rPr>
                      <w:rFonts w:ascii="Times New Roman" w:hAnsi="Times New Roman"/>
                      <w:b/>
                      <w:color w:val="000000"/>
                      <w:sz w:val="21"/>
                      <w:szCs w:val="21"/>
                    </w:rPr>
                  </w:pPr>
                  <w:r w:rsidRPr="00556F00">
                    <w:rPr>
                      <w:rFonts w:ascii="Times New Roman" w:hAnsi="Times New Roman"/>
                      <w:b/>
                    </w:rPr>
                    <w:t>4,0</w:t>
                  </w:r>
                </w:p>
              </w:tc>
            </w:tr>
            <w:tr w:rsidR="00AB20A0" w:rsidRPr="00890C68" w:rsidTr="00997FE7">
              <w:trPr>
                <w:trHeight w:val="357"/>
              </w:trPr>
              <w:tc>
                <w:tcPr>
                  <w:tcW w:w="2443" w:type="dxa"/>
                  <w:gridSpan w:val="2"/>
                  <w:shd w:val="clear" w:color="auto" w:fill="FFFFFF"/>
                  <w:vAlign w:val="center"/>
                </w:tcPr>
                <w:p w:rsidR="00AB20A0" w:rsidRPr="00890C68" w:rsidRDefault="00AB20A0" w:rsidP="00AB20A0">
                  <w:pPr>
                    <w:spacing w:line="240" w:lineRule="auto"/>
                    <w:rPr>
                      <w:rFonts w:ascii="Times New Roman" w:hAnsi="Times New Roman"/>
                      <w:color w:val="000000"/>
                      <w:sz w:val="21"/>
                      <w:szCs w:val="21"/>
                    </w:rPr>
                  </w:pPr>
                  <w:r w:rsidRPr="00890C68">
                    <w:rPr>
                      <w:rFonts w:ascii="Times New Roman" w:hAnsi="Times New Roman"/>
                      <w:color w:val="000000"/>
                      <w:sz w:val="21"/>
                      <w:szCs w:val="21"/>
                    </w:rPr>
                    <w:t>pozostałe jednostki (oddzielnie)</w:t>
                  </w:r>
                </w:p>
              </w:tc>
              <w:tc>
                <w:tcPr>
                  <w:tcW w:w="653" w:type="dxa"/>
                  <w:shd w:val="clear" w:color="auto" w:fill="FFFFFF"/>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rPr>
                    <w:t>0</w:t>
                  </w:r>
                </w:p>
              </w:tc>
              <w:tc>
                <w:tcPr>
                  <w:tcW w:w="683" w:type="dxa"/>
                  <w:shd w:val="clear" w:color="auto" w:fill="FFFFFF"/>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rPr>
                    <w:t>0</w:t>
                  </w:r>
                </w:p>
              </w:tc>
              <w:tc>
                <w:tcPr>
                  <w:tcW w:w="683" w:type="dxa"/>
                  <w:shd w:val="clear" w:color="auto" w:fill="FFFFFF"/>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rPr>
                    <w:t>0</w:t>
                  </w:r>
                </w:p>
              </w:tc>
              <w:tc>
                <w:tcPr>
                  <w:tcW w:w="683" w:type="dxa"/>
                  <w:shd w:val="clear" w:color="auto" w:fill="FFFFFF"/>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rPr>
                    <w:t>0</w:t>
                  </w:r>
                </w:p>
              </w:tc>
              <w:tc>
                <w:tcPr>
                  <w:tcW w:w="683" w:type="dxa"/>
                  <w:shd w:val="clear" w:color="auto" w:fill="FFFFFF"/>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rPr>
                    <w:t>0</w:t>
                  </w:r>
                </w:p>
              </w:tc>
              <w:tc>
                <w:tcPr>
                  <w:tcW w:w="683" w:type="dxa"/>
                  <w:shd w:val="clear" w:color="auto" w:fill="FFFFFF"/>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rPr>
                    <w:t>0</w:t>
                  </w:r>
                </w:p>
              </w:tc>
              <w:tc>
                <w:tcPr>
                  <w:tcW w:w="683" w:type="dxa"/>
                  <w:shd w:val="clear" w:color="auto" w:fill="FFFFFF"/>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rPr>
                    <w:t>0</w:t>
                  </w:r>
                </w:p>
              </w:tc>
              <w:tc>
                <w:tcPr>
                  <w:tcW w:w="683" w:type="dxa"/>
                  <w:shd w:val="clear" w:color="auto" w:fill="FFFFFF"/>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rPr>
                    <w:t>0</w:t>
                  </w:r>
                </w:p>
              </w:tc>
              <w:tc>
                <w:tcPr>
                  <w:tcW w:w="803" w:type="dxa"/>
                  <w:shd w:val="clear" w:color="auto" w:fill="FFFFFF"/>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rPr>
                    <w:t>0</w:t>
                  </w:r>
                </w:p>
              </w:tc>
              <w:tc>
                <w:tcPr>
                  <w:tcW w:w="709" w:type="dxa"/>
                  <w:shd w:val="clear" w:color="auto" w:fill="FFFFFF"/>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rPr>
                    <w:t>0</w:t>
                  </w:r>
                </w:p>
              </w:tc>
              <w:tc>
                <w:tcPr>
                  <w:tcW w:w="567" w:type="dxa"/>
                  <w:shd w:val="clear" w:color="auto" w:fill="FFFFFF"/>
                </w:tcPr>
                <w:p w:rsidR="00AB20A0" w:rsidRPr="00890C68" w:rsidRDefault="00AB20A0" w:rsidP="00AB20A0">
                  <w:pPr>
                    <w:spacing w:line="240" w:lineRule="auto"/>
                    <w:jc w:val="center"/>
                    <w:rPr>
                      <w:rFonts w:ascii="Times New Roman" w:hAnsi="Times New Roman"/>
                      <w:color w:val="000000"/>
                      <w:sz w:val="21"/>
                      <w:szCs w:val="21"/>
                    </w:rPr>
                  </w:pPr>
                  <w:r w:rsidRPr="00890C68">
                    <w:rPr>
                      <w:rFonts w:ascii="Times New Roman" w:hAnsi="Times New Roman"/>
                    </w:rPr>
                    <w:t>0</w:t>
                  </w:r>
                </w:p>
              </w:tc>
              <w:tc>
                <w:tcPr>
                  <w:tcW w:w="991" w:type="dxa"/>
                  <w:gridSpan w:val="2"/>
                  <w:shd w:val="clear" w:color="auto" w:fill="FFFFFF"/>
                </w:tcPr>
                <w:p w:rsidR="00AB20A0" w:rsidRPr="00556F00" w:rsidRDefault="00AB20A0" w:rsidP="00AB20A0">
                  <w:pPr>
                    <w:spacing w:line="240" w:lineRule="auto"/>
                    <w:jc w:val="center"/>
                    <w:rPr>
                      <w:rFonts w:ascii="Times New Roman" w:hAnsi="Times New Roman"/>
                      <w:b/>
                      <w:color w:val="000000"/>
                      <w:sz w:val="21"/>
                      <w:szCs w:val="21"/>
                    </w:rPr>
                  </w:pPr>
                  <w:r w:rsidRPr="00556F00">
                    <w:rPr>
                      <w:rFonts w:ascii="Times New Roman" w:hAnsi="Times New Roman"/>
                      <w:b/>
                    </w:rPr>
                    <w:t>0,0</w:t>
                  </w:r>
                </w:p>
              </w:tc>
            </w:tr>
            <w:tr w:rsidR="00AB20A0" w:rsidRPr="00890C68" w:rsidTr="00997FE7">
              <w:trPr>
                <w:gridAfter w:val="1"/>
                <w:wAfter w:w="8" w:type="dxa"/>
                <w:trHeight w:val="348"/>
              </w:trPr>
              <w:tc>
                <w:tcPr>
                  <w:tcW w:w="1742" w:type="dxa"/>
                  <w:shd w:val="clear" w:color="auto" w:fill="FFFFFF"/>
                  <w:vAlign w:val="center"/>
                </w:tcPr>
                <w:p w:rsidR="00AB20A0" w:rsidRPr="00890C68" w:rsidRDefault="00AB20A0" w:rsidP="00AB20A0">
                  <w:pPr>
                    <w:spacing w:line="240" w:lineRule="auto"/>
                    <w:rPr>
                      <w:rFonts w:ascii="Times New Roman" w:hAnsi="Times New Roman"/>
                      <w:color w:val="000000"/>
                      <w:sz w:val="21"/>
                      <w:szCs w:val="21"/>
                    </w:rPr>
                  </w:pPr>
                  <w:r w:rsidRPr="00890C68">
                    <w:rPr>
                      <w:rFonts w:ascii="Times New Roman" w:hAnsi="Times New Roman"/>
                      <w:color w:val="000000"/>
                      <w:sz w:val="21"/>
                      <w:szCs w:val="21"/>
                    </w:rPr>
                    <w:t xml:space="preserve">Źródła finansowania </w:t>
                  </w:r>
                </w:p>
              </w:tc>
              <w:tc>
                <w:tcPr>
                  <w:tcW w:w="9197" w:type="dxa"/>
                  <w:gridSpan w:val="13"/>
                  <w:shd w:val="clear" w:color="auto" w:fill="FFFFFF"/>
                  <w:vAlign w:val="center"/>
                </w:tcPr>
                <w:p w:rsidR="00AB20A0" w:rsidRPr="00890C68" w:rsidRDefault="00263675" w:rsidP="00AB20A0">
                  <w:pPr>
                    <w:spacing w:line="240" w:lineRule="auto"/>
                    <w:jc w:val="both"/>
                    <w:rPr>
                      <w:rFonts w:ascii="Times New Roman" w:hAnsi="Times New Roman"/>
                      <w:color w:val="000000"/>
                      <w:sz w:val="21"/>
                      <w:szCs w:val="21"/>
                    </w:rPr>
                  </w:pPr>
                  <w:r>
                    <w:rPr>
                      <w:rFonts w:ascii="Times New Roman" w:hAnsi="Times New Roman"/>
                      <w:color w:val="000000"/>
                      <w:sz w:val="21"/>
                      <w:szCs w:val="21"/>
                    </w:rPr>
                    <w:t xml:space="preserve">Zadania związane z wdrożeniem systemu inteligentnego opomiarowania zostaną sfinansowane ze środków inwestorów zaangażowanych w projekt tj. Operatorów Systemu Dystrybucyjnego oraz Operatora Systemu Przesyłowego. </w:t>
                  </w:r>
                </w:p>
                <w:p w:rsidR="00AB20A0" w:rsidRPr="00890C68" w:rsidRDefault="00AB20A0" w:rsidP="00A20581">
                  <w:pPr>
                    <w:spacing w:line="240" w:lineRule="auto"/>
                    <w:jc w:val="center"/>
                    <w:rPr>
                      <w:rFonts w:ascii="Times New Roman" w:hAnsi="Times New Roman"/>
                      <w:color w:val="000000"/>
                      <w:sz w:val="21"/>
                      <w:szCs w:val="21"/>
                    </w:rPr>
                  </w:pPr>
                </w:p>
              </w:tc>
            </w:tr>
            <w:tr w:rsidR="00AB20A0" w:rsidRPr="00890C68" w:rsidTr="00997FE7">
              <w:trPr>
                <w:gridAfter w:val="1"/>
                <w:wAfter w:w="8" w:type="dxa"/>
                <w:trHeight w:val="348"/>
              </w:trPr>
              <w:tc>
                <w:tcPr>
                  <w:tcW w:w="1742" w:type="dxa"/>
                  <w:shd w:val="clear" w:color="auto" w:fill="FFFFFF"/>
                  <w:vAlign w:val="center"/>
                </w:tcPr>
                <w:p w:rsidR="00AB20A0" w:rsidRPr="00890C68" w:rsidRDefault="00AB20A0" w:rsidP="00AB20A0">
                  <w:pPr>
                    <w:spacing w:line="240" w:lineRule="auto"/>
                    <w:rPr>
                      <w:rFonts w:ascii="Times New Roman" w:hAnsi="Times New Roman"/>
                      <w:color w:val="000000"/>
                      <w:sz w:val="21"/>
                      <w:szCs w:val="21"/>
                    </w:rPr>
                  </w:pPr>
                  <w:r w:rsidRPr="00890C68">
                    <w:rPr>
                      <w:rFonts w:ascii="Times New Roman" w:hAnsi="Times New Roman"/>
                      <w:color w:val="000000"/>
                      <w:sz w:val="21"/>
                      <w:szCs w:val="21"/>
                    </w:rPr>
                    <w:t>Dodatkowe informacje, w tym wskazanie źródeł danych i przyjętych do obliczeń założeń</w:t>
                  </w:r>
                </w:p>
              </w:tc>
              <w:tc>
                <w:tcPr>
                  <w:tcW w:w="9197" w:type="dxa"/>
                  <w:gridSpan w:val="13"/>
                  <w:shd w:val="clear" w:color="auto" w:fill="FFFFFF"/>
                  <w:vAlign w:val="center"/>
                </w:tcPr>
                <w:p w:rsidR="00176635" w:rsidRDefault="00176635" w:rsidP="00AB20A0">
                  <w:pPr>
                    <w:spacing w:line="240" w:lineRule="auto"/>
                    <w:jc w:val="both"/>
                    <w:rPr>
                      <w:rFonts w:ascii="Times New Roman" w:hAnsi="Times New Roman"/>
                      <w:color w:val="000000"/>
                      <w:sz w:val="21"/>
                      <w:szCs w:val="21"/>
                    </w:rPr>
                  </w:pPr>
                  <w:r>
                    <w:rPr>
                      <w:rFonts w:ascii="Times New Roman" w:hAnsi="Times New Roman"/>
                      <w:color w:val="000000"/>
                      <w:sz w:val="21"/>
                      <w:szCs w:val="21"/>
                    </w:rPr>
                    <w:t>W prowadzonej analityce uwzględniono (poza odbiorcami z grupy taryfowej G) wyodrębnioną z gru</w:t>
                  </w:r>
                  <w:r w:rsidR="00F74C4F">
                    <w:rPr>
                      <w:rFonts w:ascii="Times New Roman" w:hAnsi="Times New Roman"/>
                      <w:color w:val="000000"/>
                      <w:sz w:val="21"/>
                      <w:szCs w:val="21"/>
                    </w:rPr>
                    <w:t>py taryfowej C1x grupę odbiorców posiadających moc umowną mniejszą lub równą 16 kW. Jako uzasadnione przyjęto rozwiązanie, w którym odbiorcy dwóch ww. grup taryfowych z uwagi na niewielkie średnioroczne zużycie energii elektrycznej będą rozliczani na tych samych zasadach, a w rezultacie wspólnie zostaną obję</w:t>
                  </w:r>
                  <w:r w:rsidR="00CD44B0">
                    <w:rPr>
                      <w:rFonts w:ascii="Times New Roman" w:hAnsi="Times New Roman"/>
                      <w:color w:val="000000"/>
                      <w:sz w:val="21"/>
                      <w:szCs w:val="21"/>
                    </w:rPr>
                    <w:t>ci</w:t>
                  </w:r>
                  <w:r w:rsidR="00F74C4F">
                    <w:rPr>
                      <w:rFonts w:ascii="Times New Roman" w:hAnsi="Times New Roman"/>
                      <w:color w:val="000000"/>
                      <w:sz w:val="21"/>
                      <w:szCs w:val="21"/>
                    </w:rPr>
                    <w:t xml:space="preserve"> projektem wdrożenia inteligentnego opomiarowania. </w:t>
                  </w:r>
                </w:p>
                <w:p w:rsidR="00DD6456" w:rsidRPr="00DD6456" w:rsidRDefault="00DD6456" w:rsidP="00DD6456">
                  <w:pPr>
                    <w:spacing w:line="240" w:lineRule="auto"/>
                    <w:jc w:val="both"/>
                    <w:rPr>
                      <w:rFonts w:ascii="Times New Roman" w:hAnsi="Times New Roman"/>
                      <w:color w:val="000000"/>
                      <w:sz w:val="21"/>
                      <w:szCs w:val="21"/>
                    </w:rPr>
                  </w:pPr>
                  <w:r w:rsidRPr="00DD6456">
                    <w:rPr>
                      <w:rFonts w:ascii="Times New Roman" w:hAnsi="Times New Roman"/>
                      <w:color w:val="000000"/>
                      <w:sz w:val="21"/>
                      <w:szCs w:val="21"/>
                    </w:rPr>
                    <w:t>Na potrzeby oszacowania wpływu projektu na sektor finansów publicznych (na podstawie danych OSD na temat liczebności odbiorców grupy taryfowej C) ustalono liczbę odbiorców dla wyodrębnionej grupy C1x o mocy umownej mniejszej lub równej 16 kW oraz udział liczników jednostek sektora finansów publicznych w liczebności tej grupy (udział ten wynosi 11,6%).  W ramach założeń do obliczeń przyjęto, że JSFP partycypować w trzech z pięciu kluczowych korzyści wynikających z wdrożenia projektu – ograniczeniu odczytów w trybie inkasenckim (korzyść OSD w 90% przeniesiona na odbiorców), redukcji strat handlowych i technicznych (korzyść OSD w 50% przeniesiona na odbiorców) oraz zmniejszeniu udziału we wsparciu utrzymania i budowy nowych źródeł wytwórczych. Założono, że dwie pozostałe kluczowe korzyści wynikające z modyfikacji zachowań w zakresie zużycia energii elektrycznej (obniżenie zużycia) oraz czynnego uczestnictwa w rynku energii będą nieosiągalne dla JSFP z uwagi na charakter prowadzonej przez nie działalności oraz charaktery</w:t>
                  </w:r>
                  <w:r w:rsidR="00802CD9">
                    <w:rPr>
                      <w:rFonts w:ascii="Times New Roman" w:hAnsi="Times New Roman"/>
                      <w:color w:val="000000"/>
                      <w:sz w:val="21"/>
                      <w:szCs w:val="21"/>
                    </w:rPr>
                    <w:t>stykę zużycia</w:t>
                  </w:r>
                  <w:r w:rsidRPr="00DD6456">
                    <w:rPr>
                      <w:rFonts w:ascii="Times New Roman" w:hAnsi="Times New Roman"/>
                      <w:color w:val="000000"/>
                      <w:sz w:val="21"/>
                      <w:szCs w:val="21"/>
                    </w:rPr>
                    <w:t>. Udział JSFP w kosztach wdrożenia inteligentnego opomiarowania, z uwzględnieniem obowiązującego systemu taryfowania, oszacowano na równi z odbiorcami grupy taryfowej G oraz pozostałymi odbiorcami grupy C1x o mocy umownej mniejszej lub równej 16 kW.</w:t>
                  </w:r>
                </w:p>
                <w:p w:rsidR="00AB04A1" w:rsidRPr="00890C68" w:rsidRDefault="00DD6456" w:rsidP="00FA37A5">
                  <w:pPr>
                    <w:spacing w:line="240" w:lineRule="auto"/>
                    <w:jc w:val="both"/>
                    <w:rPr>
                      <w:rFonts w:ascii="Times New Roman" w:hAnsi="Times New Roman"/>
                      <w:color w:val="000000"/>
                      <w:sz w:val="21"/>
                      <w:szCs w:val="21"/>
                    </w:rPr>
                  </w:pPr>
                  <w:r w:rsidRPr="00DD6456">
                    <w:rPr>
                      <w:rFonts w:ascii="Times New Roman" w:hAnsi="Times New Roman"/>
                      <w:color w:val="000000"/>
                      <w:sz w:val="21"/>
                      <w:szCs w:val="21"/>
                    </w:rPr>
                    <w:t>Zidentyfikowane koszty i korzyści wynikające z  wdrożenia projektu dla grupy taryfowej C1x oszacowano według klucza zużycia, a następnie przeliczono ich poziom dla JSFP (wydatki – koszty przeniesione na JSFP jako odbiorców i wpływy – korzyści JSFP jako odbiorców wg ustalonego wcześniej udziału procentowego). Udział w korzyściach wynikających z wprowadzenia inteligentnego opomiarowania jednostek budżetu państwa, samorządu terytorialnego oraz pozostałych w całej grupie jednostek sektora finansów publicznych przyjęto na poziomie (odpowiednio) 5%, 94% oraz 1%, co pozwoliło na uszczegółowienie obliczeń w zakresie dochodów i wydatków, wynikających z wdrożenia projektu i mających wpływ na sektor finansów publiczny</w:t>
                  </w:r>
                  <w:r w:rsidR="00802CD9">
                    <w:rPr>
                      <w:rFonts w:ascii="Times New Roman" w:hAnsi="Times New Roman"/>
                      <w:color w:val="000000"/>
                      <w:sz w:val="21"/>
                      <w:szCs w:val="21"/>
                    </w:rPr>
                    <w:t>ch. W przypadku budżetu państwa</w:t>
                  </w:r>
                  <w:r w:rsidRPr="00DD6456">
                    <w:rPr>
                      <w:rFonts w:ascii="Times New Roman" w:hAnsi="Times New Roman"/>
                      <w:color w:val="000000"/>
                      <w:sz w:val="21"/>
                      <w:szCs w:val="21"/>
                    </w:rPr>
                    <w:t xml:space="preserve"> ujęto po stronie wydatków także wpływy z VAT (ze znakiem ujemnym) wynikające z zakupu oraz instalowania liczników zdalnego odczytu a także systemów teleinformatycznych w ramach całego system</w:t>
                  </w:r>
                  <w:r>
                    <w:rPr>
                      <w:rFonts w:ascii="Times New Roman" w:hAnsi="Times New Roman"/>
                      <w:color w:val="000000"/>
                      <w:sz w:val="21"/>
                      <w:szCs w:val="21"/>
                    </w:rPr>
                    <w:t>u inteligentnego opomiarowania.</w:t>
                  </w:r>
                </w:p>
              </w:tc>
            </w:tr>
          </w:tbl>
          <w:p w:rsidR="00BA365A" w:rsidRPr="00890C68" w:rsidRDefault="00BA365A" w:rsidP="00BA365A">
            <w:pPr>
              <w:spacing w:line="240" w:lineRule="auto"/>
              <w:jc w:val="both"/>
              <w:rPr>
                <w:rFonts w:ascii="Times New Roman" w:hAnsi="Times New Roman"/>
                <w:color w:val="000000"/>
                <w:sz w:val="21"/>
                <w:szCs w:val="21"/>
              </w:rPr>
            </w:pPr>
          </w:p>
          <w:p w:rsidR="0006177E" w:rsidRPr="00890C68" w:rsidRDefault="0006177E" w:rsidP="00B37C80">
            <w:pPr>
              <w:spacing w:line="240" w:lineRule="auto"/>
              <w:jc w:val="both"/>
              <w:rPr>
                <w:rFonts w:ascii="Times New Roman" w:hAnsi="Times New Roman"/>
                <w:color w:val="000000"/>
                <w:sz w:val="21"/>
                <w:szCs w:val="21"/>
              </w:rPr>
            </w:pPr>
          </w:p>
        </w:tc>
      </w:tr>
      <w:tr w:rsidR="00F272FA" w:rsidRPr="00890C68" w:rsidTr="00641996">
        <w:trPr>
          <w:trHeight w:val="432"/>
        </w:trPr>
        <w:tc>
          <w:tcPr>
            <w:tcW w:w="11057" w:type="dxa"/>
            <w:gridSpan w:val="15"/>
            <w:tcBorders>
              <w:left w:val="single" w:sz="4" w:space="0" w:color="auto"/>
              <w:bottom w:val="nil"/>
              <w:right w:val="single" w:sz="4" w:space="0" w:color="auto"/>
            </w:tcBorders>
            <w:shd w:val="clear" w:color="auto" w:fill="FFFFFF"/>
          </w:tcPr>
          <w:p w:rsidR="00F272FA" w:rsidRPr="00890C68" w:rsidRDefault="00F272FA" w:rsidP="00B37C80">
            <w:pPr>
              <w:spacing w:line="240" w:lineRule="auto"/>
              <w:jc w:val="both"/>
              <w:rPr>
                <w:rFonts w:ascii="Times New Roman" w:hAnsi="Times New Roman"/>
                <w:color w:val="000000"/>
                <w:sz w:val="21"/>
                <w:szCs w:val="21"/>
              </w:rPr>
            </w:pPr>
          </w:p>
        </w:tc>
      </w:tr>
      <w:tr w:rsidR="006A701A" w:rsidRPr="00890C68" w:rsidTr="00641996">
        <w:trPr>
          <w:trHeight w:val="345"/>
        </w:trPr>
        <w:tc>
          <w:tcPr>
            <w:tcW w:w="11057" w:type="dxa"/>
            <w:gridSpan w:val="15"/>
            <w:shd w:val="clear" w:color="auto" w:fill="99CCFF"/>
          </w:tcPr>
          <w:p w:rsidR="006A701A" w:rsidRPr="00890C68" w:rsidRDefault="00AB20A0" w:rsidP="000528E6">
            <w:pPr>
              <w:spacing w:before="120" w:after="120" w:line="240" w:lineRule="auto"/>
              <w:jc w:val="both"/>
              <w:rPr>
                <w:rFonts w:ascii="Times New Roman" w:hAnsi="Times New Roman"/>
                <w:b/>
                <w:color w:val="000000"/>
                <w:spacing w:val="-2"/>
              </w:rPr>
            </w:pPr>
            <w:r w:rsidRPr="00890C68">
              <w:rPr>
                <w:rFonts w:ascii="Times New Roman" w:hAnsi="Times New Roman"/>
                <w:b/>
                <w:color w:val="000000"/>
                <w:spacing w:val="-2"/>
              </w:rPr>
              <w:t>7</w:t>
            </w:r>
            <w:r w:rsidR="000528E6" w:rsidRPr="00890C68">
              <w:rPr>
                <w:rFonts w:ascii="Times New Roman" w:hAnsi="Times New Roman"/>
                <w:b/>
                <w:color w:val="000000"/>
                <w:spacing w:val="-2"/>
              </w:rPr>
              <w:t xml:space="preserve">. </w:t>
            </w:r>
            <w:r w:rsidR="006A701A" w:rsidRPr="00890C68">
              <w:rPr>
                <w:rFonts w:ascii="Times New Roman" w:hAnsi="Times New Roman"/>
                <w:b/>
                <w:color w:val="000000"/>
                <w:spacing w:val="-2"/>
              </w:rPr>
              <w:t xml:space="preserve">Wpływ na </w:t>
            </w:r>
            <w:r w:rsidR="00563199" w:rsidRPr="00890C68">
              <w:rPr>
                <w:rFonts w:ascii="Times New Roman" w:hAnsi="Times New Roman"/>
                <w:b/>
                <w:color w:val="000000"/>
              </w:rPr>
              <w:t xml:space="preserve">konkurencyjność </w:t>
            </w:r>
            <w:r w:rsidR="005E7371" w:rsidRPr="00890C68">
              <w:rPr>
                <w:rFonts w:ascii="Times New Roman" w:hAnsi="Times New Roman"/>
                <w:b/>
                <w:color w:val="000000"/>
              </w:rPr>
              <w:t>gospodark</w:t>
            </w:r>
            <w:r w:rsidR="00563199" w:rsidRPr="00890C68">
              <w:rPr>
                <w:rFonts w:ascii="Times New Roman" w:hAnsi="Times New Roman"/>
                <w:b/>
                <w:color w:val="000000"/>
              </w:rPr>
              <w:t>i</w:t>
            </w:r>
            <w:r w:rsidR="005E7371" w:rsidRPr="00890C68">
              <w:rPr>
                <w:rFonts w:ascii="Times New Roman" w:hAnsi="Times New Roman"/>
                <w:b/>
                <w:color w:val="000000"/>
              </w:rPr>
              <w:t xml:space="preserve"> </w:t>
            </w:r>
            <w:r w:rsidR="00705A29" w:rsidRPr="00890C68">
              <w:rPr>
                <w:rFonts w:ascii="Times New Roman" w:hAnsi="Times New Roman"/>
                <w:b/>
                <w:color w:val="000000"/>
              </w:rPr>
              <w:t>i</w:t>
            </w:r>
            <w:r w:rsidR="00563199" w:rsidRPr="00890C68">
              <w:rPr>
                <w:rFonts w:ascii="Times New Roman" w:hAnsi="Times New Roman"/>
                <w:b/>
                <w:color w:val="000000"/>
              </w:rPr>
              <w:t xml:space="preserve"> przedsiębiorczość</w:t>
            </w:r>
            <w:r w:rsidR="00472E45" w:rsidRPr="00890C68">
              <w:rPr>
                <w:rFonts w:ascii="Times New Roman" w:hAnsi="Times New Roman"/>
                <w:b/>
                <w:color w:val="000000"/>
              </w:rPr>
              <w:t>,</w:t>
            </w:r>
            <w:r w:rsidR="005E7371" w:rsidRPr="00890C68">
              <w:rPr>
                <w:rFonts w:ascii="Times New Roman" w:hAnsi="Times New Roman"/>
                <w:b/>
                <w:color w:val="000000"/>
              </w:rPr>
              <w:t xml:space="preserve"> </w:t>
            </w:r>
            <w:r w:rsidR="00705A29" w:rsidRPr="00890C68">
              <w:rPr>
                <w:rFonts w:ascii="Times New Roman" w:hAnsi="Times New Roman"/>
                <w:b/>
                <w:color w:val="000000"/>
              </w:rPr>
              <w:t xml:space="preserve">w tym </w:t>
            </w:r>
            <w:r w:rsidR="005E7371" w:rsidRPr="00890C68">
              <w:rPr>
                <w:rFonts w:ascii="Times New Roman" w:hAnsi="Times New Roman"/>
                <w:b/>
                <w:color w:val="000000"/>
              </w:rPr>
              <w:t>funkcjonowanie przedsiębi</w:t>
            </w:r>
            <w:r w:rsidR="00B93834" w:rsidRPr="00890C68">
              <w:rPr>
                <w:rFonts w:ascii="Times New Roman" w:hAnsi="Times New Roman"/>
                <w:b/>
                <w:color w:val="000000"/>
              </w:rPr>
              <w:t>orców</w:t>
            </w:r>
            <w:r w:rsidR="00472E45" w:rsidRPr="00890C68">
              <w:rPr>
                <w:rFonts w:ascii="Times New Roman" w:hAnsi="Times New Roman"/>
                <w:b/>
                <w:color w:val="000000"/>
              </w:rPr>
              <w:t xml:space="preserve"> </w:t>
            </w:r>
            <w:r w:rsidR="00B93834" w:rsidRPr="00890C68">
              <w:rPr>
                <w:rFonts w:ascii="Times New Roman" w:hAnsi="Times New Roman"/>
                <w:b/>
                <w:color w:val="000000"/>
              </w:rPr>
              <w:t xml:space="preserve">oraz na </w:t>
            </w:r>
            <w:r w:rsidR="00BB0DCA" w:rsidRPr="00890C68">
              <w:rPr>
                <w:rFonts w:ascii="Times New Roman" w:hAnsi="Times New Roman"/>
                <w:b/>
                <w:color w:val="000000"/>
              </w:rPr>
              <w:t xml:space="preserve">rodzinę, </w:t>
            </w:r>
            <w:r w:rsidR="00B93834" w:rsidRPr="00890C68">
              <w:rPr>
                <w:rFonts w:ascii="Times New Roman" w:hAnsi="Times New Roman"/>
                <w:b/>
                <w:color w:val="000000"/>
              </w:rPr>
              <w:t xml:space="preserve">obywateli i gospodarstwa domowe </w:t>
            </w:r>
          </w:p>
        </w:tc>
      </w:tr>
      <w:tr w:rsidR="0006177E" w:rsidRPr="00890C68" w:rsidTr="00641996">
        <w:trPr>
          <w:trHeight w:val="361"/>
        </w:trPr>
        <w:tc>
          <w:tcPr>
            <w:tcW w:w="11057" w:type="dxa"/>
            <w:gridSpan w:val="15"/>
            <w:shd w:val="clear" w:color="auto" w:fill="FFFFFF"/>
          </w:tcPr>
          <w:tbl>
            <w:tblPr>
              <w:tblW w:w="10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90"/>
              <w:gridCol w:w="2096"/>
              <w:gridCol w:w="739"/>
              <w:gridCol w:w="850"/>
              <w:gridCol w:w="851"/>
              <w:gridCol w:w="850"/>
              <w:gridCol w:w="993"/>
              <w:gridCol w:w="992"/>
              <w:gridCol w:w="850"/>
              <w:gridCol w:w="1105"/>
              <w:gridCol w:w="16"/>
            </w:tblGrid>
            <w:tr w:rsidR="0006177E" w:rsidRPr="00890C68" w:rsidTr="00B77813">
              <w:trPr>
                <w:trHeight w:val="142"/>
              </w:trPr>
              <w:tc>
                <w:tcPr>
                  <w:tcW w:w="10932" w:type="dxa"/>
                  <w:gridSpan w:val="11"/>
                  <w:shd w:val="clear" w:color="auto" w:fill="FFFFFF"/>
                </w:tcPr>
                <w:p w:rsidR="0006177E" w:rsidRPr="00890C68" w:rsidRDefault="0006177E" w:rsidP="0006177E">
                  <w:pPr>
                    <w:spacing w:line="240" w:lineRule="auto"/>
                    <w:jc w:val="center"/>
                    <w:rPr>
                      <w:rFonts w:ascii="Times New Roman" w:hAnsi="Times New Roman"/>
                      <w:color w:val="000000"/>
                      <w:spacing w:val="-2"/>
                      <w:sz w:val="21"/>
                      <w:szCs w:val="21"/>
                    </w:rPr>
                  </w:pPr>
                  <w:r w:rsidRPr="00890C68">
                    <w:rPr>
                      <w:rFonts w:ascii="Times New Roman" w:hAnsi="Times New Roman"/>
                      <w:color w:val="000000"/>
                      <w:spacing w:val="-2"/>
                      <w:sz w:val="21"/>
                      <w:szCs w:val="21"/>
                    </w:rPr>
                    <w:t>Skutki</w:t>
                  </w:r>
                </w:p>
              </w:tc>
            </w:tr>
            <w:tr w:rsidR="0006177E" w:rsidRPr="00890C68" w:rsidTr="00B77813">
              <w:trPr>
                <w:gridAfter w:val="1"/>
                <w:wAfter w:w="16" w:type="dxa"/>
                <w:trHeight w:val="142"/>
              </w:trPr>
              <w:tc>
                <w:tcPr>
                  <w:tcW w:w="10916" w:type="dxa"/>
                  <w:gridSpan w:val="10"/>
                  <w:shd w:val="clear" w:color="auto" w:fill="FFFFFF"/>
                </w:tcPr>
                <w:p w:rsidR="0006177E" w:rsidRPr="00890C68" w:rsidRDefault="0006177E" w:rsidP="00F87BB4">
                  <w:pPr>
                    <w:spacing w:line="240" w:lineRule="auto"/>
                    <w:jc w:val="center"/>
                    <w:rPr>
                      <w:rFonts w:ascii="Times New Roman" w:hAnsi="Times New Roman"/>
                    </w:rPr>
                  </w:pPr>
                  <w:r w:rsidRPr="00890C68">
                    <w:rPr>
                      <w:rFonts w:ascii="Times New Roman" w:hAnsi="Times New Roman"/>
                    </w:rPr>
                    <w:t xml:space="preserve">Koszty w okresie </w:t>
                  </w:r>
                  <w:r w:rsidR="00F87BB4" w:rsidRPr="00890C68">
                    <w:rPr>
                      <w:rFonts w:ascii="Times New Roman" w:hAnsi="Times New Roman"/>
                    </w:rPr>
                    <w:t xml:space="preserve">15 </w:t>
                  </w:r>
                  <w:r w:rsidRPr="00890C68">
                    <w:rPr>
                      <w:rFonts w:ascii="Times New Roman" w:hAnsi="Times New Roman"/>
                    </w:rPr>
                    <w:t>lat od wejścia w życie zmiany</w:t>
                  </w:r>
                </w:p>
              </w:tc>
            </w:tr>
            <w:tr w:rsidR="003F5344" w:rsidRPr="00890C68" w:rsidTr="006704B3">
              <w:trPr>
                <w:gridAfter w:val="1"/>
                <w:wAfter w:w="16" w:type="dxa"/>
                <w:trHeight w:val="142"/>
              </w:trPr>
              <w:tc>
                <w:tcPr>
                  <w:tcW w:w="3686" w:type="dxa"/>
                  <w:gridSpan w:val="2"/>
                  <w:shd w:val="clear" w:color="auto" w:fill="FFFFFF"/>
                </w:tcPr>
                <w:p w:rsidR="003F5344" w:rsidRPr="00890C68" w:rsidRDefault="003F5344" w:rsidP="003F5344">
                  <w:pPr>
                    <w:spacing w:line="240" w:lineRule="auto"/>
                    <w:rPr>
                      <w:rFonts w:ascii="Times New Roman" w:hAnsi="Times New Roman"/>
                    </w:rPr>
                  </w:pPr>
                </w:p>
              </w:tc>
              <w:tc>
                <w:tcPr>
                  <w:tcW w:w="739" w:type="dxa"/>
                  <w:shd w:val="clear" w:color="auto" w:fill="FFFFFF"/>
                  <w:vAlign w:val="center"/>
                </w:tcPr>
                <w:p w:rsidR="003F5344" w:rsidRPr="00890C68" w:rsidRDefault="003F5344" w:rsidP="003F5344">
                  <w:pPr>
                    <w:spacing w:line="240" w:lineRule="auto"/>
                    <w:jc w:val="center"/>
                    <w:rPr>
                      <w:rFonts w:ascii="Times New Roman" w:hAnsi="Times New Roman"/>
                      <w:sz w:val="21"/>
                      <w:szCs w:val="21"/>
                    </w:rPr>
                  </w:pPr>
                  <w:r w:rsidRPr="00890C68">
                    <w:rPr>
                      <w:rFonts w:ascii="Times New Roman" w:hAnsi="Times New Roman"/>
                      <w:color w:val="000000"/>
                      <w:sz w:val="21"/>
                      <w:szCs w:val="21"/>
                    </w:rPr>
                    <w:t>0</w:t>
                  </w:r>
                </w:p>
              </w:tc>
              <w:tc>
                <w:tcPr>
                  <w:tcW w:w="850" w:type="dxa"/>
                  <w:shd w:val="clear" w:color="auto" w:fill="FFFFFF"/>
                  <w:vAlign w:val="center"/>
                </w:tcPr>
                <w:p w:rsidR="003F5344" w:rsidRPr="00890C68" w:rsidRDefault="003F5344" w:rsidP="003F5344">
                  <w:pPr>
                    <w:spacing w:line="240" w:lineRule="auto"/>
                    <w:jc w:val="center"/>
                    <w:rPr>
                      <w:rFonts w:ascii="Times New Roman" w:hAnsi="Times New Roman"/>
                      <w:sz w:val="21"/>
                      <w:szCs w:val="21"/>
                    </w:rPr>
                  </w:pPr>
                  <w:r w:rsidRPr="00890C68">
                    <w:rPr>
                      <w:rFonts w:ascii="Times New Roman" w:hAnsi="Times New Roman"/>
                      <w:color w:val="000000"/>
                      <w:sz w:val="21"/>
                      <w:szCs w:val="21"/>
                    </w:rPr>
                    <w:t>1</w:t>
                  </w:r>
                </w:p>
              </w:tc>
              <w:tc>
                <w:tcPr>
                  <w:tcW w:w="851" w:type="dxa"/>
                  <w:shd w:val="clear" w:color="auto" w:fill="FFFFFF"/>
                  <w:vAlign w:val="center"/>
                </w:tcPr>
                <w:p w:rsidR="003F5344" w:rsidRPr="00890C68" w:rsidRDefault="003F5344" w:rsidP="003F5344">
                  <w:pPr>
                    <w:spacing w:line="240" w:lineRule="auto"/>
                    <w:jc w:val="center"/>
                    <w:rPr>
                      <w:rFonts w:ascii="Times New Roman" w:hAnsi="Times New Roman"/>
                      <w:sz w:val="21"/>
                      <w:szCs w:val="21"/>
                    </w:rPr>
                  </w:pPr>
                  <w:r w:rsidRPr="00890C68">
                    <w:rPr>
                      <w:rFonts w:ascii="Times New Roman" w:hAnsi="Times New Roman"/>
                      <w:color w:val="000000"/>
                      <w:sz w:val="21"/>
                      <w:szCs w:val="21"/>
                    </w:rPr>
                    <w:t>2</w:t>
                  </w:r>
                </w:p>
              </w:tc>
              <w:tc>
                <w:tcPr>
                  <w:tcW w:w="850" w:type="dxa"/>
                  <w:shd w:val="clear" w:color="auto" w:fill="FFFFFF"/>
                  <w:vAlign w:val="center"/>
                </w:tcPr>
                <w:p w:rsidR="003F5344" w:rsidRPr="00890C68" w:rsidRDefault="003F5344" w:rsidP="003F5344">
                  <w:pPr>
                    <w:spacing w:line="240" w:lineRule="auto"/>
                    <w:jc w:val="center"/>
                    <w:rPr>
                      <w:rFonts w:ascii="Times New Roman" w:hAnsi="Times New Roman"/>
                      <w:sz w:val="21"/>
                      <w:szCs w:val="21"/>
                    </w:rPr>
                  </w:pPr>
                  <w:r w:rsidRPr="00890C68">
                    <w:rPr>
                      <w:rFonts w:ascii="Times New Roman" w:hAnsi="Times New Roman"/>
                      <w:color w:val="000000"/>
                      <w:sz w:val="21"/>
                      <w:szCs w:val="21"/>
                    </w:rPr>
                    <w:t>3</w:t>
                  </w:r>
                </w:p>
              </w:tc>
              <w:tc>
                <w:tcPr>
                  <w:tcW w:w="993" w:type="dxa"/>
                  <w:shd w:val="clear" w:color="auto" w:fill="FFFFFF"/>
                  <w:vAlign w:val="center"/>
                </w:tcPr>
                <w:p w:rsidR="003F5344" w:rsidRPr="00890C68" w:rsidRDefault="003F5344" w:rsidP="003F5344">
                  <w:pPr>
                    <w:spacing w:line="240" w:lineRule="auto"/>
                    <w:jc w:val="center"/>
                    <w:rPr>
                      <w:rFonts w:ascii="Times New Roman" w:hAnsi="Times New Roman"/>
                      <w:sz w:val="21"/>
                      <w:szCs w:val="21"/>
                    </w:rPr>
                  </w:pPr>
                  <w:r w:rsidRPr="00890C68">
                    <w:rPr>
                      <w:rFonts w:ascii="Times New Roman" w:hAnsi="Times New Roman"/>
                      <w:color w:val="000000"/>
                      <w:sz w:val="21"/>
                      <w:szCs w:val="21"/>
                    </w:rPr>
                    <w:t>5</w:t>
                  </w:r>
                </w:p>
              </w:tc>
              <w:tc>
                <w:tcPr>
                  <w:tcW w:w="992" w:type="dxa"/>
                  <w:shd w:val="clear" w:color="auto" w:fill="FFFFFF"/>
                  <w:vAlign w:val="center"/>
                </w:tcPr>
                <w:p w:rsidR="003F5344" w:rsidRPr="00890C68" w:rsidRDefault="003F5344" w:rsidP="003F5344">
                  <w:pPr>
                    <w:spacing w:line="240" w:lineRule="auto"/>
                    <w:jc w:val="center"/>
                    <w:rPr>
                      <w:rFonts w:ascii="Times New Roman" w:hAnsi="Times New Roman"/>
                      <w:sz w:val="21"/>
                      <w:szCs w:val="21"/>
                    </w:rPr>
                  </w:pPr>
                  <w:r w:rsidRPr="00890C68">
                    <w:rPr>
                      <w:rFonts w:ascii="Times New Roman" w:hAnsi="Times New Roman"/>
                      <w:color w:val="000000"/>
                      <w:sz w:val="21"/>
                      <w:szCs w:val="21"/>
                    </w:rPr>
                    <w:t>10</w:t>
                  </w:r>
                </w:p>
              </w:tc>
              <w:tc>
                <w:tcPr>
                  <w:tcW w:w="850" w:type="dxa"/>
                  <w:shd w:val="clear" w:color="auto" w:fill="FFFFFF"/>
                  <w:vAlign w:val="center"/>
                </w:tcPr>
                <w:p w:rsidR="003F5344" w:rsidRPr="00890C68" w:rsidRDefault="003F5344" w:rsidP="003F5344">
                  <w:pPr>
                    <w:spacing w:line="240" w:lineRule="auto"/>
                    <w:jc w:val="center"/>
                    <w:rPr>
                      <w:rFonts w:ascii="Times New Roman" w:hAnsi="Times New Roman"/>
                      <w:spacing w:val="-2"/>
                      <w:sz w:val="21"/>
                      <w:szCs w:val="21"/>
                    </w:rPr>
                  </w:pPr>
                  <w:r w:rsidRPr="00890C68">
                    <w:rPr>
                      <w:rFonts w:ascii="Times New Roman" w:hAnsi="Times New Roman"/>
                      <w:color w:val="000000"/>
                      <w:sz w:val="21"/>
                      <w:szCs w:val="21"/>
                    </w:rPr>
                    <w:t>15</w:t>
                  </w:r>
                </w:p>
              </w:tc>
              <w:tc>
                <w:tcPr>
                  <w:tcW w:w="1105" w:type="dxa"/>
                  <w:shd w:val="clear" w:color="auto" w:fill="FFFFFF"/>
                  <w:vAlign w:val="center"/>
                </w:tcPr>
                <w:p w:rsidR="003F5344" w:rsidRPr="00890C68" w:rsidRDefault="003F5344" w:rsidP="003F5344">
                  <w:pPr>
                    <w:spacing w:line="240" w:lineRule="auto"/>
                    <w:jc w:val="center"/>
                    <w:rPr>
                      <w:rFonts w:ascii="Times New Roman" w:hAnsi="Times New Roman"/>
                      <w:i/>
                      <w:spacing w:val="-2"/>
                      <w:sz w:val="21"/>
                      <w:szCs w:val="21"/>
                    </w:rPr>
                  </w:pPr>
                  <w:r w:rsidRPr="00890C68">
                    <w:rPr>
                      <w:rFonts w:ascii="Times New Roman" w:hAnsi="Times New Roman"/>
                      <w:b/>
                      <w:i/>
                      <w:color w:val="000000"/>
                      <w:sz w:val="21"/>
                      <w:szCs w:val="21"/>
                    </w:rPr>
                    <w:t>Łącznie (0-15</w:t>
                  </w:r>
                  <w:r w:rsidRPr="00890C68">
                    <w:rPr>
                      <w:rFonts w:ascii="Times New Roman" w:hAnsi="Times New Roman"/>
                      <w:i/>
                      <w:color w:val="000000"/>
                      <w:sz w:val="21"/>
                      <w:szCs w:val="21"/>
                    </w:rPr>
                    <w:t>)</w:t>
                  </w:r>
                </w:p>
              </w:tc>
            </w:tr>
            <w:tr w:rsidR="008635C0" w:rsidRPr="00890C68" w:rsidTr="006704B3">
              <w:trPr>
                <w:gridAfter w:val="1"/>
                <w:wAfter w:w="16" w:type="dxa"/>
                <w:trHeight w:val="142"/>
              </w:trPr>
              <w:tc>
                <w:tcPr>
                  <w:tcW w:w="1590" w:type="dxa"/>
                  <w:vMerge w:val="restart"/>
                  <w:shd w:val="clear" w:color="auto" w:fill="FFFFFF"/>
                </w:tcPr>
                <w:p w:rsidR="008635C0" w:rsidRPr="00890C68" w:rsidRDefault="008635C0" w:rsidP="006704B3">
                  <w:pPr>
                    <w:spacing w:line="240" w:lineRule="auto"/>
                    <w:jc w:val="center"/>
                    <w:rPr>
                      <w:rFonts w:ascii="Times New Roman" w:hAnsi="Times New Roman"/>
                      <w:sz w:val="21"/>
                      <w:szCs w:val="21"/>
                    </w:rPr>
                  </w:pPr>
                  <w:r w:rsidRPr="00890C68">
                    <w:rPr>
                      <w:rFonts w:ascii="Times New Roman" w:hAnsi="Times New Roman"/>
                      <w:sz w:val="21"/>
                      <w:szCs w:val="21"/>
                    </w:rPr>
                    <w:t xml:space="preserve">W ujęciu pieniężnym </w:t>
                  </w:r>
                  <w:r w:rsidR="000C6240" w:rsidRPr="00890C68">
                    <w:rPr>
                      <w:rFonts w:ascii="Times New Roman" w:hAnsi="Times New Roman"/>
                      <w:sz w:val="21"/>
                      <w:szCs w:val="21"/>
                    </w:rPr>
                    <w:br/>
                  </w:r>
                  <w:r w:rsidRPr="00890C68">
                    <w:rPr>
                      <w:rFonts w:ascii="Times New Roman" w:hAnsi="Times New Roman"/>
                      <w:sz w:val="21"/>
                      <w:szCs w:val="21"/>
                    </w:rPr>
                    <w:t xml:space="preserve">(w mln zł, ceny </w:t>
                  </w:r>
                  <w:r w:rsidR="000C6240" w:rsidRPr="00890C68">
                    <w:rPr>
                      <w:rFonts w:ascii="Times New Roman" w:hAnsi="Times New Roman"/>
                      <w:sz w:val="21"/>
                      <w:szCs w:val="21"/>
                    </w:rPr>
                    <w:t>z 2016 r. zdyskontowane na 1 stycznia 2019 r.)</w:t>
                  </w:r>
                </w:p>
              </w:tc>
              <w:tc>
                <w:tcPr>
                  <w:tcW w:w="2096" w:type="dxa"/>
                  <w:shd w:val="clear" w:color="auto" w:fill="FFFFFF"/>
                </w:tcPr>
                <w:p w:rsidR="008635C0" w:rsidRPr="00890C68" w:rsidRDefault="00445AB2" w:rsidP="006704B3">
                  <w:pPr>
                    <w:spacing w:line="240" w:lineRule="auto"/>
                    <w:jc w:val="center"/>
                    <w:rPr>
                      <w:rFonts w:ascii="Times New Roman" w:hAnsi="Times New Roman"/>
                      <w:sz w:val="21"/>
                      <w:szCs w:val="21"/>
                    </w:rPr>
                  </w:pPr>
                  <w:r w:rsidRPr="00890C68">
                    <w:rPr>
                      <w:rFonts w:ascii="Times New Roman" w:hAnsi="Times New Roman"/>
                      <w:sz w:val="21"/>
                      <w:szCs w:val="21"/>
                    </w:rPr>
                    <w:t xml:space="preserve">przedsiębiorstwa </w:t>
                  </w:r>
                  <w:r w:rsidRPr="00890C68">
                    <w:rPr>
                      <w:rFonts w:ascii="Times New Roman" w:hAnsi="Times New Roman"/>
                      <w:sz w:val="21"/>
                      <w:szCs w:val="21"/>
                    </w:rPr>
                    <w:br/>
                    <w:t>(w tym MŚP)</w:t>
                  </w:r>
                </w:p>
              </w:tc>
              <w:tc>
                <w:tcPr>
                  <w:tcW w:w="739" w:type="dxa"/>
                  <w:shd w:val="clear" w:color="auto" w:fill="FFFFFF"/>
                  <w:vAlign w:val="center"/>
                </w:tcPr>
                <w:p w:rsidR="008635C0" w:rsidRPr="00890C68" w:rsidRDefault="00CE55A0" w:rsidP="006704B3">
                  <w:pPr>
                    <w:jc w:val="center"/>
                    <w:rPr>
                      <w:rFonts w:ascii="Times New Roman" w:hAnsi="Times New Roman"/>
                      <w:color w:val="000000"/>
                      <w:sz w:val="21"/>
                      <w:szCs w:val="21"/>
                    </w:rPr>
                  </w:pPr>
                  <w:r w:rsidRPr="00890C68">
                    <w:rPr>
                      <w:rFonts w:ascii="Times New Roman" w:hAnsi="Times New Roman"/>
                      <w:color w:val="000000"/>
                      <w:sz w:val="21"/>
                      <w:szCs w:val="21"/>
                    </w:rPr>
                    <w:t>0,0</w:t>
                  </w:r>
                </w:p>
              </w:tc>
              <w:tc>
                <w:tcPr>
                  <w:tcW w:w="850" w:type="dxa"/>
                  <w:shd w:val="clear" w:color="auto" w:fill="FFFFFF"/>
                  <w:vAlign w:val="center"/>
                </w:tcPr>
                <w:p w:rsidR="008635C0" w:rsidRPr="00890C68" w:rsidRDefault="00CE55A0" w:rsidP="0003215D">
                  <w:pPr>
                    <w:jc w:val="center"/>
                    <w:rPr>
                      <w:rFonts w:ascii="Times New Roman" w:hAnsi="Times New Roman"/>
                      <w:color w:val="000000"/>
                      <w:sz w:val="21"/>
                      <w:szCs w:val="21"/>
                    </w:rPr>
                  </w:pPr>
                  <w:r w:rsidRPr="00890C68">
                    <w:rPr>
                      <w:rFonts w:ascii="Times New Roman" w:hAnsi="Times New Roman"/>
                      <w:color w:val="000000"/>
                      <w:sz w:val="21"/>
                      <w:szCs w:val="21"/>
                    </w:rPr>
                    <w:t>0,5</w:t>
                  </w:r>
                </w:p>
              </w:tc>
              <w:tc>
                <w:tcPr>
                  <w:tcW w:w="851" w:type="dxa"/>
                  <w:shd w:val="clear" w:color="auto" w:fill="FFFFFF"/>
                  <w:vAlign w:val="center"/>
                </w:tcPr>
                <w:p w:rsidR="008635C0" w:rsidRPr="00890C68" w:rsidRDefault="00CE55A0" w:rsidP="00B355A2">
                  <w:pPr>
                    <w:jc w:val="center"/>
                    <w:rPr>
                      <w:rFonts w:ascii="Times New Roman" w:hAnsi="Times New Roman"/>
                      <w:color w:val="000000"/>
                      <w:sz w:val="21"/>
                      <w:szCs w:val="21"/>
                    </w:rPr>
                  </w:pPr>
                  <w:r w:rsidRPr="00890C68">
                    <w:rPr>
                      <w:rFonts w:ascii="Times New Roman" w:hAnsi="Times New Roman"/>
                      <w:color w:val="000000"/>
                      <w:sz w:val="21"/>
                      <w:szCs w:val="21"/>
                    </w:rPr>
                    <w:t>0,7</w:t>
                  </w:r>
                </w:p>
              </w:tc>
              <w:tc>
                <w:tcPr>
                  <w:tcW w:w="850" w:type="dxa"/>
                  <w:shd w:val="clear" w:color="auto" w:fill="FFFFFF"/>
                  <w:vAlign w:val="center"/>
                </w:tcPr>
                <w:p w:rsidR="008635C0" w:rsidRPr="00890C68" w:rsidRDefault="00CE55A0" w:rsidP="00BF07E7">
                  <w:pPr>
                    <w:jc w:val="center"/>
                    <w:rPr>
                      <w:rFonts w:ascii="Times New Roman" w:hAnsi="Times New Roman"/>
                      <w:color w:val="000000"/>
                      <w:sz w:val="21"/>
                      <w:szCs w:val="21"/>
                    </w:rPr>
                  </w:pPr>
                  <w:r w:rsidRPr="00890C68">
                    <w:rPr>
                      <w:rFonts w:ascii="Times New Roman" w:hAnsi="Times New Roman"/>
                      <w:color w:val="000000"/>
                      <w:sz w:val="21"/>
                      <w:szCs w:val="21"/>
                    </w:rPr>
                    <w:t>1,1</w:t>
                  </w:r>
                </w:p>
              </w:tc>
              <w:tc>
                <w:tcPr>
                  <w:tcW w:w="993" w:type="dxa"/>
                  <w:shd w:val="clear" w:color="auto" w:fill="FFFFFF"/>
                  <w:vAlign w:val="center"/>
                </w:tcPr>
                <w:p w:rsidR="008635C0" w:rsidRPr="00890C68" w:rsidRDefault="00CE55A0" w:rsidP="00FF6372">
                  <w:pPr>
                    <w:jc w:val="center"/>
                    <w:rPr>
                      <w:rFonts w:ascii="Times New Roman" w:hAnsi="Times New Roman"/>
                      <w:color w:val="000000"/>
                      <w:sz w:val="21"/>
                      <w:szCs w:val="21"/>
                    </w:rPr>
                  </w:pPr>
                  <w:r w:rsidRPr="00890C68">
                    <w:rPr>
                      <w:rFonts w:ascii="Times New Roman" w:hAnsi="Times New Roman"/>
                      <w:color w:val="000000"/>
                      <w:sz w:val="21"/>
                      <w:szCs w:val="21"/>
                    </w:rPr>
                    <w:t>11,3</w:t>
                  </w:r>
                </w:p>
              </w:tc>
              <w:tc>
                <w:tcPr>
                  <w:tcW w:w="992" w:type="dxa"/>
                  <w:shd w:val="clear" w:color="auto" w:fill="FFFFFF"/>
                  <w:vAlign w:val="center"/>
                </w:tcPr>
                <w:p w:rsidR="008635C0" w:rsidRPr="00890C68" w:rsidRDefault="00CE55A0" w:rsidP="00B87874">
                  <w:pPr>
                    <w:jc w:val="center"/>
                    <w:rPr>
                      <w:rFonts w:ascii="Times New Roman" w:hAnsi="Times New Roman"/>
                      <w:color w:val="000000"/>
                      <w:sz w:val="21"/>
                      <w:szCs w:val="21"/>
                    </w:rPr>
                  </w:pPr>
                  <w:r w:rsidRPr="00890C68">
                    <w:rPr>
                      <w:rFonts w:ascii="Times New Roman" w:hAnsi="Times New Roman"/>
                      <w:color w:val="000000"/>
                      <w:sz w:val="21"/>
                      <w:szCs w:val="21"/>
                    </w:rPr>
                    <w:t>59,0</w:t>
                  </w:r>
                </w:p>
              </w:tc>
              <w:tc>
                <w:tcPr>
                  <w:tcW w:w="850" w:type="dxa"/>
                  <w:shd w:val="clear" w:color="auto" w:fill="FFFFFF"/>
                  <w:vAlign w:val="center"/>
                </w:tcPr>
                <w:p w:rsidR="008635C0" w:rsidRPr="00890C68" w:rsidRDefault="00CE55A0" w:rsidP="00945864">
                  <w:pPr>
                    <w:jc w:val="center"/>
                    <w:rPr>
                      <w:rFonts w:ascii="Times New Roman" w:hAnsi="Times New Roman"/>
                      <w:color w:val="000000"/>
                      <w:sz w:val="21"/>
                      <w:szCs w:val="21"/>
                    </w:rPr>
                  </w:pPr>
                  <w:r w:rsidRPr="00890C68">
                    <w:rPr>
                      <w:rFonts w:ascii="Times New Roman" w:hAnsi="Times New Roman"/>
                      <w:color w:val="000000"/>
                      <w:sz w:val="21"/>
                      <w:szCs w:val="21"/>
                    </w:rPr>
                    <w:t>63,9</w:t>
                  </w:r>
                </w:p>
              </w:tc>
              <w:tc>
                <w:tcPr>
                  <w:tcW w:w="1105" w:type="dxa"/>
                  <w:shd w:val="clear" w:color="auto" w:fill="FFFFFF"/>
                  <w:vAlign w:val="center"/>
                </w:tcPr>
                <w:p w:rsidR="008635C0" w:rsidRPr="00890C68" w:rsidRDefault="00CE55A0" w:rsidP="00776BBE">
                  <w:pPr>
                    <w:jc w:val="center"/>
                    <w:rPr>
                      <w:rFonts w:ascii="Times New Roman" w:hAnsi="Times New Roman"/>
                      <w:b/>
                      <w:bCs/>
                      <w:color w:val="000000"/>
                      <w:sz w:val="21"/>
                      <w:szCs w:val="21"/>
                    </w:rPr>
                  </w:pPr>
                  <w:r w:rsidRPr="00890C68">
                    <w:rPr>
                      <w:rFonts w:ascii="Times New Roman" w:hAnsi="Times New Roman"/>
                      <w:b/>
                      <w:bCs/>
                      <w:color w:val="000000"/>
                      <w:sz w:val="21"/>
                      <w:szCs w:val="21"/>
                    </w:rPr>
                    <w:t>535,8</w:t>
                  </w:r>
                </w:p>
              </w:tc>
            </w:tr>
            <w:tr w:rsidR="008635C0" w:rsidRPr="00890C68" w:rsidTr="006704B3">
              <w:trPr>
                <w:gridAfter w:val="1"/>
                <w:wAfter w:w="16" w:type="dxa"/>
                <w:trHeight w:val="142"/>
              </w:trPr>
              <w:tc>
                <w:tcPr>
                  <w:tcW w:w="1590" w:type="dxa"/>
                  <w:vMerge/>
                  <w:shd w:val="clear" w:color="auto" w:fill="FFFFFF"/>
                </w:tcPr>
                <w:p w:rsidR="008635C0" w:rsidRPr="00890C68" w:rsidRDefault="008635C0" w:rsidP="0081730A">
                  <w:pPr>
                    <w:spacing w:line="240" w:lineRule="auto"/>
                    <w:rPr>
                      <w:rFonts w:ascii="Times New Roman" w:hAnsi="Times New Roman"/>
                      <w:sz w:val="21"/>
                      <w:szCs w:val="21"/>
                    </w:rPr>
                  </w:pPr>
                </w:p>
              </w:tc>
              <w:tc>
                <w:tcPr>
                  <w:tcW w:w="2096" w:type="dxa"/>
                  <w:shd w:val="clear" w:color="auto" w:fill="FFFFFF"/>
                </w:tcPr>
                <w:p w:rsidR="008635C0" w:rsidRPr="00890C68" w:rsidRDefault="008635C0" w:rsidP="006704B3">
                  <w:pPr>
                    <w:spacing w:line="240" w:lineRule="auto"/>
                    <w:jc w:val="center"/>
                    <w:rPr>
                      <w:rFonts w:ascii="Times New Roman" w:hAnsi="Times New Roman"/>
                      <w:sz w:val="21"/>
                      <w:szCs w:val="21"/>
                    </w:rPr>
                  </w:pPr>
                  <w:r w:rsidRPr="00890C68">
                    <w:rPr>
                      <w:rFonts w:ascii="Times New Roman" w:hAnsi="Times New Roman"/>
                      <w:sz w:val="21"/>
                      <w:szCs w:val="21"/>
                    </w:rPr>
                    <w:t>rodzina, obywatele oraz gospodarstwa domowe</w:t>
                  </w:r>
                </w:p>
              </w:tc>
              <w:tc>
                <w:tcPr>
                  <w:tcW w:w="739" w:type="dxa"/>
                  <w:shd w:val="clear" w:color="auto" w:fill="FFFFFF"/>
                  <w:vAlign w:val="center"/>
                </w:tcPr>
                <w:p w:rsidR="008635C0" w:rsidRPr="00890C68" w:rsidRDefault="008635C0" w:rsidP="006704B3">
                  <w:pPr>
                    <w:jc w:val="center"/>
                    <w:rPr>
                      <w:rFonts w:ascii="Times New Roman" w:hAnsi="Times New Roman"/>
                      <w:color w:val="FF0000"/>
                      <w:sz w:val="21"/>
                      <w:szCs w:val="21"/>
                    </w:rPr>
                  </w:pPr>
                  <w:r w:rsidRPr="00890C68">
                    <w:rPr>
                      <w:rFonts w:ascii="Times New Roman" w:hAnsi="Times New Roman"/>
                      <w:color w:val="000000"/>
                      <w:sz w:val="21"/>
                      <w:szCs w:val="21"/>
                    </w:rPr>
                    <w:t>0,0</w:t>
                  </w:r>
                </w:p>
              </w:tc>
              <w:tc>
                <w:tcPr>
                  <w:tcW w:w="850" w:type="dxa"/>
                  <w:shd w:val="clear" w:color="auto" w:fill="FFFFFF"/>
                  <w:vAlign w:val="center"/>
                </w:tcPr>
                <w:p w:rsidR="008635C0" w:rsidRPr="00890C68" w:rsidRDefault="008635C0" w:rsidP="0003215D">
                  <w:pPr>
                    <w:jc w:val="center"/>
                    <w:rPr>
                      <w:rFonts w:ascii="Times New Roman" w:hAnsi="Times New Roman"/>
                      <w:color w:val="FF0000"/>
                      <w:sz w:val="21"/>
                      <w:szCs w:val="21"/>
                    </w:rPr>
                  </w:pPr>
                  <w:r w:rsidRPr="00890C68">
                    <w:rPr>
                      <w:rFonts w:ascii="Times New Roman" w:hAnsi="Times New Roman"/>
                      <w:color w:val="000000"/>
                      <w:sz w:val="21"/>
                      <w:szCs w:val="21"/>
                    </w:rPr>
                    <w:t>6,6</w:t>
                  </w:r>
                </w:p>
              </w:tc>
              <w:tc>
                <w:tcPr>
                  <w:tcW w:w="851" w:type="dxa"/>
                  <w:shd w:val="clear" w:color="auto" w:fill="FFFFFF"/>
                  <w:vAlign w:val="center"/>
                </w:tcPr>
                <w:p w:rsidR="008635C0" w:rsidRPr="00890C68" w:rsidRDefault="008635C0" w:rsidP="0003215D">
                  <w:pPr>
                    <w:jc w:val="center"/>
                    <w:rPr>
                      <w:rFonts w:ascii="Times New Roman" w:hAnsi="Times New Roman"/>
                      <w:color w:val="FF0000"/>
                      <w:sz w:val="21"/>
                      <w:szCs w:val="21"/>
                    </w:rPr>
                  </w:pPr>
                  <w:r w:rsidRPr="00890C68">
                    <w:rPr>
                      <w:rFonts w:ascii="Times New Roman" w:hAnsi="Times New Roman"/>
                      <w:color w:val="000000"/>
                      <w:sz w:val="21"/>
                      <w:szCs w:val="21"/>
                    </w:rPr>
                    <w:t>8,6</w:t>
                  </w:r>
                </w:p>
              </w:tc>
              <w:tc>
                <w:tcPr>
                  <w:tcW w:w="850" w:type="dxa"/>
                  <w:shd w:val="clear" w:color="auto" w:fill="FFFFFF"/>
                  <w:vAlign w:val="center"/>
                </w:tcPr>
                <w:p w:rsidR="008635C0" w:rsidRPr="00890C68" w:rsidRDefault="00EB2307" w:rsidP="00B355A2">
                  <w:pPr>
                    <w:jc w:val="center"/>
                    <w:rPr>
                      <w:rFonts w:ascii="Times New Roman" w:hAnsi="Times New Roman"/>
                      <w:color w:val="FF0000"/>
                      <w:sz w:val="21"/>
                      <w:szCs w:val="21"/>
                    </w:rPr>
                  </w:pPr>
                  <w:r w:rsidRPr="00890C68">
                    <w:rPr>
                      <w:rFonts w:ascii="Times New Roman" w:hAnsi="Times New Roman"/>
                      <w:color w:val="000000"/>
                      <w:sz w:val="21"/>
                      <w:szCs w:val="21"/>
                    </w:rPr>
                    <w:t>14,0</w:t>
                  </w:r>
                </w:p>
              </w:tc>
              <w:tc>
                <w:tcPr>
                  <w:tcW w:w="993" w:type="dxa"/>
                  <w:shd w:val="clear" w:color="auto" w:fill="FFFFFF"/>
                  <w:vAlign w:val="center"/>
                </w:tcPr>
                <w:p w:rsidR="008635C0" w:rsidRPr="00890C68" w:rsidRDefault="008635C0" w:rsidP="00BF07E7">
                  <w:pPr>
                    <w:jc w:val="center"/>
                    <w:rPr>
                      <w:rFonts w:ascii="Times New Roman" w:hAnsi="Times New Roman"/>
                      <w:color w:val="FF0000"/>
                      <w:sz w:val="21"/>
                      <w:szCs w:val="21"/>
                    </w:rPr>
                  </w:pPr>
                  <w:r w:rsidRPr="00890C68">
                    <w:rPr>
                      <w:rFonts w:ascii="Times New Roman" w:hAnsi="Times New Roman"/>
                      <w:color w:val="000000"/>
                      <w:sz w:val="21"/>
                      <w:szCs w:val="21"/>
                    </w:rPr>
                    <w:t>1</w:t>
                  </w:r>
                  <w:r w:rsidR="00EB2307" w:rsidRPr="00890C68">
                    <w:rPr>
                      <w:rFonts w:ascii="Times New Roman" w:hAnsi="Times New Roman"/>
                      <w:color w:val="000000"/>
                      <w:sz w:val="21"/>
                      <w:szCs w:val="21"/>
                    </w:rPr>
                    <w:t>41,6</w:t>
                  </w:r>
                </w:p>
              </w:tc>
              <w:tc>
                <w:tcPr>
                  <w:tcW w:w="992" w:type="dxa"/>
                  <w:shd w:val="clear" w:color="auto" w:fill="FFFFFF"/>
                  <w:vAlign w:val="center"/>
                </w:tcPr>
                <w:p w:rsidR="008635C0" w:rsidRPr="00890C68" w:rsidRDefault="00EB2307" w:rsidP="00FF6372">
                  <w:pPr>
                    <w:jc w:val="center"/>
                    <w:rPr>
                      <w:rFonts w:ascii="Times New Roman" w:hAnsi="Times New Roman"/>
                      <w:color w:val="FF0000"/>
                      <w:sz w:val="21"/>
                      <w:szCs w:val="21"/>
                    </w:rPr>
                  </w:pPr>
                  <w:r w:rsidRPr="00890C68">
                    <w:rPr>
                      <w:rFonts w:ascii="Times New Roman" w:hAnsi="Times New Roman"/>
                      <w:color w:val="000000"/>
                      <w:sz w:val="21"/>
                      <w:szCs w:val="21"/>
                    </w:rPr>
                    <w:t>736,1</w:t>
                  </w:r>
                </w:p>
              </w:tc>
              <w:tc>
                <w:tcPr>
                  <w:tcW w:w="850" w:type="dxa"/>
                  <w:shd w:val="clear" w:color="auto" w:fill="FFFFFF"/>
                  <w:vAlign w:val="center"/>
                </w:tcPr>
                <w:p w:rsidR="008635C0" w:rsidRPr="00890C68" w:rsidRDefault="00EB2307" w:rsidP="00B87874">
                  <w:pPr>
                    <w:jc w:val="center"/>
                    <w:rPr>
                      <w:rFonts w:ascii="Times New Roman" w:hAnsi="Times New Roman"/>
                      <w:b/>
                      <w:color w:val="FF0000"/>
                      <w:sz w:val="21"/>
                      <w:szCs w:val="21"/>
                    </w:rPr>
                  </w:pPr>
                  <w:r w:rsidRPr="00890C68">
                    <w:rPr>
                      <w:rFonts w:ascii="Times New Roman" w:hAnsi="Times New Roman"/>
                      <w:color w:val="000000"/>
                      <w:sz w:val="21"/>
                      <w:szCs w:val="21"/>
                    </w:rPr>
                    <w:t>796,4</w:t>
                  </w:r>
                </w:p>
              </w:tc>
              <w:tc>
                <w:tcPr>
                  <w:tcW w:w="1105" w:type="dxa"/>
                  <w:shd w:val="clear" w:color="auto" w:fill="FFFFFF"/>
                  <w:vAlign w:val="center"/>
                </w:tcPr>
                <w:p w:rsidR="008635C0" w:rsidRPr="00890C68" w:rsidRDefault="00EB2307" w:rsidP="00B87874">
                  <w:pPr>
                    <w:jc w:val="center"/>
                    <w:rPr>
                      <w:rFonts w:ascii="Times New Roman" w:hAnsi="Times New Roman"/>
                      <w:b/>
                      <w:color w:val="FF0000"/>
                      <w:sz w:val="21"/>
                      <w:szCs w:val="21"/>
                    </w:rPr>
                  </w:pPr>
                  <w:r w:rsidRPr="00890C68">
                    <w:rPr>
                      <w:rFonts w:ascii="Times New Roman" w:hAnsi="Times New Roman"/>
                      <w:b/>
                      <w:bCs/>
                      <w:color w:val="000000"/>
                      <w:sz w:val="21"/>
                      <w:szCs w:val="21"/>
                    </w:rPr>
                    <w:t>6 682,8</w:t>
                  </w:r>
                </w:p>
              </w:tc>
            </w:tr>
            <w:tr w:rsidR="0006177E" w:rsidRPr="00890C68" w:rsidTr="006704B3">
              <w:trPr>
                <w:gridAfter w:val="1"/>
                <w:wAfter w:w="16" w:type="dxa"/>
                <w:trHeight w:val="5352"/>
              </w:trPr>
              <w:tc>
                <w:tcPr>
                  <w:tcW w:w="1590" w:type="dxa"/>
                  <w:shd w:val="clear" w:color="auto" w:fill="FFFFFF"/>
                </w:tcPr>
                <w:p w:rsidR="0006177E" w:rsidRPr="00890C68" w:rsidRDefault="0006177E" w:rsidP="00524B67">
                  <w:pPr>
                    <w:spacing w:line="240" w:lineRule="auto"/>
                    <w:jc w:val="center"/>
                    <w:rPr>
                      <w:rFonts w:ascii="Times New Roman" w:hAnsi="Times New Roman"/>
                      <w:sz w:val="21"/>
                      <w:szCs w:val="21"/>
                    </w:rPr>
                  </w:pPr>
                  <w:r w:rsidRPr="00890C68">
                    <w:rPr>
                      <w:rFonts w:ascii="Times New Roman" w:hAnsi="Times New Roman"/>
                      <w:sz w:val="21"/>
                      <w:szCs w:val="21"/>
                    </w:rPr>
                    <w:lastRenderedPageBreak/>
                    <w:t>W ujęciu niepieniężnym</w:t>
                  </w:r>
                </w:p>
              </w:tc>
              <w:tc>
                <w:tcPr>
                  <w:tcW w:w="2096" w:type="dxa"/>
                  <w:shd w:val="clear" w:color="auto" w:fill="FFFFFF"/>
                </w:tcPr>
                <w:p w:rsidR="0006177E" w:rsidRPr="00890C68" w:rsidRDefault="0006177E" w:rsidP="00524B67">
                  <w:pPr>
                    <w:tabs>
                      <w:tab w:val="right" w:pos="1936"/>
                    </w:tabs>
                    <w:spacing w:line="240" w:lineRule="auto"/>
                    <w:jc w:val="center"/>
                    <w:rPr>
                      <w:rFonts w:ascii="Times New Roman" w:hAnsi="Times New Roman"/>
                      <w:sz w:val="21"/>
                      <w:szCs w:val="21"/>
                    </w:rPr>
                  </w:pPr>
                  <w:r w:rsidRPr="00890C68">
                    <w:rPr>
                      <w:rFonts w:ascii="Times New Roman" w:hAnsi="Times New Roman"/>
                      <w:sz w:val="21"/>
                      <w:szCs w:val="21"/>
                    </w:rPr>
                    <w:t>rodzina, obywatele oraz gospodarstwa domowe</w:t>
                  </w:r>
                </w:p>
              </w:tc>
              <w:tc>
                <w:tcPr>
                  <w:tcW w:w="7230" w:type="dxa"/>
                  <w:gridSpan w:val="8"/>
                  <w:shd w:val="clear" w:color="auto" w:fill="FFFFFF"/>
                </w:tcPr>
                <w:p w:rsidR="0006177E" w:rsidRPr="00890C68" w:rsidRDefault="0006177E" w:rsidP="0006177E">
                  <w:pPr>
                    <w:spacing w:line="240" w:lineRule="auto"/>
                    <w:jc w:val="both"/>
                    <w:rPr>
                      <w:rFonts w:ascii="Times New Roman" w:hAnsi="Times New Roman"/>
                      <w:spacing w:val="-2"/>
                      <w:sz w:val="21"/>
                      <w:szCs w:val="21"/>
                    </w:rPr>
                  </w:pPr>
                  <w:r w:rsidRPr="00890C68">
                    <w:rPr>
                      <w:rFonts w:ascii="Times New Roman" w:hAnsi="Times New Roman"/>
                      <w:spacing w:val="-2"/>
                      <w:sz w:val="21"/>
                      <w:szCs w:val="21"/>
                    </w:rPr>
                    <w:t>Wejście w życie rozwiązań związanych z wdrożeniem systemu inteligentnego opomiarowania wymagać będzie od użytkowników końcowych wysiłku związanego z:</w:t>
                  </w:r>
                </w:p>
                <w:p w:rsidR="0006177E" w:rsidRPr="00890C68" w:rsidRDefault="0006177E" w:rsidP="0006177E">
                  <w:pPr>
                    <w:spacing w:line="240" w:lineRule="auto"/>
                    <w:jc w:val="both"/>
                    <w:rPr>
                      <w:rFonts w:ascii="Times New Roman" w:hAnsi="Times New Roman"/>
                      <w:spacing w:val="-2"/>
                      <w:sz w:val="21"/>
                      <w:szCs w:val="21"/>
                    </w:rPr>
                  </w:pPr>
                  <w:r w:rsidRPr="00890C68">
                    <w:rPr>
                      <w:rFonts w:ascii="Times New Roman" w:hAnsi="Times New Roman"/>
                      <w:spacing w:val="-2"/>
                      <w:sz w:val="21"/>
                      <w:szCs w:val="21"/>
                    </w:rPr>
                    <w:t>- analizą własnego sposobu korzystania z energii elektrycznej,</w:t>
                  </w:r>
                </w:p>
                <w:p w:rsidR="0006177E" w:rsidRPr="00890C68" w:rsidRDefault="0006177E" w:rsidP="0006177E">
                  <w:pPr>
                    <w:spacing w:line="240" w:lineRule="auto"/>
                    <w:jc w:val="both"/>
                    <w:rPr>
                      <w:rFonts w:ascii="Times New Roman" w:hAnsi="Times New Roman"/>
                      <w:spacing w:val="-2"/>
                      <w:sz w:val="21"/>
                      <w:szCs w:val="21"/>
                    </w:rPr>
                  </w:pPr>
                  <w:r w:rsidRPr="00890C68">
                    <w:rPr>
                      <w:rFonts w:ascii="Times New Roman" w:hAnsi="Times New Roman"/>
                      <w:spacing w:val="-2"/>
                      <w:sz w:val="21"/>
                      <w:szCs w:val="21"/>
                    </w:rPr>
                    <w:t>- wdrożeniem zmian polegających na rezygnacji z przyzwyczajeń i utrwaleniem nowych dobrych nawyków w aspekcie użytkowania energii elektrycznej w gospodarstwach domowych,</w:t>
                  </w:r>
                </w:p>
                <w:p w:rsidR="0006177E" w:rsidRPr="00890C68" w:rsidRDefault="0006177E" w:rsidP="0006177E">
                  <w:pPr>
                    <w:spacing w:line="240" w:lineRule="auto"/>
                    <w:jc w:val="both"/>
                    <w:rPr>
                      <w:rFonts w:ascii="Times New Roman" w:hAnsi="Times New Roman"/>
                      <w:spacing w:val="-2"/>
                      <w:sz w:val="21"/>
                      <w:szCs w:val="21"/>
                    </w:rPr>
                  </w:pPr>
                  <w:r w:rsidRPr="00890C68">
                    <w:rPr>
                      <w:rFonts w:ascii="Times New Roman" w:hAnsi="Times New Roman"/>
                      <w:spacing w:val="-2"/>
                      <w:sz w:val="21"/>
                      <w:szCs w:val="21"/>
                    </w:rPr>
                    <w:t>- porównywaniem ofert konkurujących ze sobą sprzedawców, podejmowaniem decyzji,</w:t>
                  </w:r>
                </w:p>
                <w:p w:rsidR="0006177E" w:rsidRPr="00890C68" w:rsidRDefault="0006177E" w:rsidP="0006177E">
                  <w:pPr>
                    <w:spacing w:line="240" w:lineRule="auto"/>
                    <w:jc w:val="both"/>
                    <w:rPr>
                      <w:rFonts w:ascii="Times New Roman" w:hAnsi="Times New Roman"/>
                      <w:spacing w:val="-2"/>
                      <w:sz w:val="21"/>
                      <w:szCs w:val="21"/>
                    </w:rPr>
                  </w:pPr>
                  <w:r w:rsidRPr="00890C68">
                    <w:rPr>
                      <w:rFonts w:ascii="Times New Roman" w:hAnsi="Times New Roman"/>
                      <w:spacing w:val="-2"/>
                      <w:sz w:val="21"/>
                      <w:szCs w:val="21"/>
                    </w:rPr>
                    <w:t>Jak również przeznaczaniem odpowiedniej ilości czasu na przystosowanie się do nowych realiów i odnalezienie optymalnego dla siebie sposobu postępowania.</w:t>
                  </w:r>
                </w:p>
                <w:p w:rsidR="0006177E" w:rsidRPr="00890C68" w:rsidRDefault="0006177E" w:rsidP="0006177E">
                  <w:pPr>
                    <w:spacing w:line="240" w:lineRule="auto"/>
                    <w:jc w:val="both"/>
                    <w:rPr>
                      <w:rFonts w:ascii="Times New Roman" w:hAnsi="Times New Roman"/>
                      <w:spacing w:val="-2"/>
                      <w:sz w:val="21"/>
                      <w:szCs w:val="21"/>
                    </w:rPr>
                  </w:pPr>
                  <w:r w:rsidRPr="00890C68">
                    <w:rPr>
                      <w:rFonts w:ascii="Times New Roman" w:hAnsi="Times New Roman"/>
                      <w:spacing w:val="-2"/>
                      <w:sz w:val="21"/>
                      <w:szCs w:val="21"/>
                    </w:rPr>
                    <w:t>Ponadto, wzrost inwestycji w magazyny energii elektrycznej przyczyni się do ograniczenia krótkoterminowych fluktuacji mocy źródeł OZE, zapewnienia wymaganej mocy i pojemności dla stacji ładowania oraz stanowi ekwiwalent rozbudowy sieci.</w:t>
                  </w:r>
                </w:p>
                <w:p w:rsidR="002122B0" w:rsidRPr="00890C68" w:rsidRDefault="0006177E" w:rsidP="002122B0">
                  <w:pPr>
                    <w:spacing w:line="240" w:lineRule="auto"/>
                    <w:jc w:val="both"/>
                    <w:rPr>
                      <w:rFonts w:ascii="Times New Roman" w:hAnsi="Times New Roman"/>
                      <w:spacing w:val="-2"/>
                      <w:sz w:val="21"/>
                      <w:szCs w:val="21"/>
                    </w:rPr>
                  </w:pPr>
                  <w:r w:rsidRPr="00890C68">
                    <w:rPr>
                      <w:rFonts w:ascii="Times New Roman" w:hAnsi="Times New Roman"/>
                      <w:spacing w:val="-2"/>
                      <w:sz w:val="21"/>
                      <w:szCs w:val="21"/>
                    </w:rPr>
                    <w:t xml:space="preserve">Zmiany w pozostałym </w:t>
                  </w:r>
                  <w:r w:rsidR="002122B0" w:rsidRPr="00890C68">
                    <w:rPr>
                      <w:rFonts w:ascii="Times New Roman" w:hAnsi="Times New Roman"/>
                      <w:spacing w:val="-2"/>
                      <w:sz w:val="21"/>
                      <w:szCs w:val="21"/>
                    </w:rPr>
                    <w:t xml:space="preserve">obszarze, w szczególności ułożenie zaś relacji pomiędzy sprzedawcą energii elektrycznej a OSD i OSP na zasadach konkurencji, </w:t>
                  </w:r>
                  <w:r w:rsidRPr="00890C68">
                    <w:rPr>
                      <w:rFonts w:ascii="Times New Roman" w:hAnsi="Times New Roman"/>
                      <w:spacing w:val="-2"/>
                      <w:sz w:val="21"/>
                      <w:szCs w:val="21"/>
                    </w:rPr>
                    <w:t>doprowadzą do zapewnienia</w:t>
                  </w:r>
                  <w:r w:rsidR="002122B0" w:rsidRPr="00890C68">
                    <w:rPr>
                      <w:rFonts w:ascii="Times New Roman" w:hAnsi="Times New Roman"/>
                      <w:spacing w:val="-2"/>
                      <w:sz w:val="21"/>
                      <w:szCs w:val="21"/>
                    </w:rPr>
                    <w:t xml:space="preserve"> przejrzystości cen energii elektrycznej i paliw gazowych dla odbiorców końcowych</w:t>
                  </w:r>
                  <w:r w:rsidR="002122B0" w:rsidRPr="00890C68">
                    <w:rPr>
                      <w:rFonts w:ascii="Times New Roman" w:hAnsi="Times New Roman"/>
                      <w:sz w:val="21"/>
                      <w:szCs w:val="21"/>
                    </w:rPr>
                    <w:t xml:space="preserve"> </w:t>
                  </w:r>
                  <w:r w:rsidR="002122B0" w:rsidRPr="00890C68">
                    <w:rPr>
                      <w:rFonts w:ascii="Times New Roman" w:hAnsi="Times New Roman"/>
                      <w:spacing w:val="-2"/>
                      <w:sz w:val="21"/>
                      <w:szCs w:val="21"/>
                    </w:rPr>
                    <w:t xml:space="preserve">oraz ochrony przed stosowaniem niedozwolonych praktyk. </w:t>
                  </w:r>
                </w:p>
              </w:tc>
            </w:tr>
            <w:tr w:rsidR="002122B0" w:rsidRPr="00890C68" w:rsidTr="006704B3">
              <w:trPr>
                <w:gridAfter w:val="1"/>
                <w:wAfter w:w="16" w:type="dxa"/>
                <w:trHeight w:val="204"/>
              </w:trPr>
              <w:tc>
                <w:tcPr>
                  <w:tcW w:w="1590" w:type="dxa"/>
                  <w:shd w:val="clear" w:color="auto" w:fill="FFFFFF"/>
                </w:tcPr>
                <w:p w:rsidR="002122B0" w:rsidRPr="00890C68" w:rsidRDefault="002122B0" w:rsidP="0006177E">
                  <w:pPr>
                    <w:spacing w:line="240" w:lineRule="auto"/>
                    <w:rPr>
                      <w:rFonts w:ascii="Times New Roman" w:hAnsi="Times New Roman"/>
                    </w:rPr>
                  </w:pPr>
                </w:p>
              </w:tc>
              <w:tc>
                <w:tcPr>
                  <w:tcW w:w="2096" w:type="dxa"/>
                  <w:shd w:val="clear" w:color="auto" w:fill="FFFFFF"/>
                </w:tcPr>
                <w:p w:rsidR="002122B0" w:rsidRPr="00890C68" w:rsidRDefault="002122B0" w:rsidP="00524B67">
                  <w:pPr>
                    <w:tabs>
                      <w:tab w:val="right" w:pos="1936"/>
                    </w:tabs>
                    <w:spacing w:line="240" w:lineRule="auto"/>
                    <w:jc w:val="center"/>
                    <w:rPr>
                      <w:rFonts w:ascii="Times New Roman" w:hAnsi="Times New Roman"/>
                      <w:sz w:val="21"/>
                      <w:szCs w:val="21"/>
                    </w:rPr>
                  </w:pPr>
                  <w:r w:rsidRPr="00890C68">
                    <w:rPr>
                      <w:rFonts w:ascii="Times New Roman" w:hAnsi="Times New Roman"/>
                      <w:sz w:val="21"/>
                      <w:szCs w:val="21"/>
                    </w:rPr>
                    <w:t>sektor mikro-, małych i średnich oraz dużych przedsiębiorstw</w:t>
                  </w:r>
                </w:p>
              </w:tc>
              <w:tc>
                <w:tcPr>
                  <w:tcW w:w="7230" w:type="dxa"/>
                  <w:gridSpan w:val="8"/>
                  <w:shd w:val="clear" w:color="auto" w:fill="FFFFFF"/>
                </w:tcPr>
                <w:p w:rsidR="002122B0" w:rsidRPr="00890C68" w:rsidRDefault="002122B0" w:rsidP="002122B0">
                  <w:pPr>
                    <w:spacing w:line="240" w:lineRule="auto"/>
                    <w:jc w:val="both"/>
                    <w:rPr>
                      <w:rFonts w:ascii="Times New Roman" w:hAnsi="Times New Roman"/>
                      <w:spacing w:val="-2"/>
                      <w:sz w:val="21"/>
                      <w:szCs w:val="21"/>
                    </w:rPr>
                  </w:pPr>
                  <w:r w:rsidRPr="00890C68">
                    <w:rPr>
                      <w:rFonts w:ascii="Times New Roman" w:hAnsi="Times New Roman"/>
                      <w:spacing w:val="-2"/>
                      <w:sz w:val="21"/>
                      <w:szCs w:val="21"/>
                    </w:rPr>
                    <w:t>Zagwarantowanie, że przy pracach nad urządzeniami, instalacjami i sieciami energetycznymi będą pracowały osoby posiadające odpowiednie kwalifikacje sprawdzane regularnie co pięć lat.</w:t>
                  </w:r>
                </w:p>
                <w:p w:rsidR="0090572D" w:rsidRPr="00890C68" w:rsidRDefault="0090572D" w:rsidP="0090572D">
                  <w:pPr>
                    <w:spacing w:line="240" w:lineRule="auto"/>
                    <w:jc w:val="both"/>
                    <w:rPr>
                      <w:rFonts w:ascii="Times New Roman" w:hAnsi="Times New Roman"/>
                      <w:spacing w:val="-2"/>
                      <w:sz w:val="21"/>
                      <w:szCs w:val="21"/>
                    </w:rPr>
                  </w:pPr>
                  <w:r w:rsidRPr="00890C68">
                    <w:rPr>
                      <w:rFonts w:ascii="Times New Roman" w:hAnsi="Times New Roman"/>
                      <w:spacing w:val="-2"/>
                      <w:sz w:val="21"/>
                      <w:szCs w:val="21"/>
                    </w:rPr>
                    <w:t>Niższe zaangażowanie nakładów czasu i zasobów ludzkich niezbędnych do realizacji obowiązków sprawozdawczych.</w:t>
                  </w:r>
                </w:p>
                <w:p w:rsidR="0090572D" w:rsidRPr="00890C68" w:rsidRDefault="0090572D" w:rsidP="0090572D">
                  <w:pPr>
                    <w:spacing w:line="240" w:lineRule="auto"/>
                    <w:jc w:val="both"/>
                    <w:rPr>
                      <w:rFonts w:ascii="Times New Roman" w:hAnsi="Times New Roman"/>
                      <w:spacing w:val="-2"/>
                      <w:sz w:val="21"/>
                      <w:szCs w:val="21"/>
                    </w:rPr>
                  </w:pPr>
                  <w:r w:rsidRPr="00890C68">
                    <w:rPr>
                      <w:rFonts w:ascii="Times New Roman" w:hAnsi="Times New Roman"/>
                      <w:spacing w:val="-2"/>
                      <w:sz w:val="21"/>
                      <w:szCs w:val="21"/>
                    </w:rPr>
                    <w:t>Polepszenie warunków do uczciwej konkurencji na rynku paliw ciekłych poprzez wzmocnienie kompetencji nadzorczych Prezesa URE oraz usuwanie luk prawnych i doprecyzowanie przepisów ustawy – Prawo energetyczne.</w:t>
                  </w:r>
                </w:p>
              </w:tc>
            </w:tr>
            <w:tr w:rsidR="0006177E" w:rsidRPr="00890C68" w:rsidTr="00B77813">
              <w:trPr>
                <w:gridAfter w:val="1"/>
                <w:wAfter w:w="16" w:type="dxa"/>
                <w:trHeight w:val="142"/>
              </w:trPr>
              <w:tc>
                <w:tcPr>
                  <w:tcW w:w="10916" w:type="dxa"/>
                  <w:gridSpan w:val="10"/>
                  <w:shd w:val="clear" w:color="auto" w:fill="FFFFFF"/>
                </w:tcPr>
                <w:p w:rsidR="0006177E" w:rsidRPr="00890C68" w:rsidRDefault="0006177E" w:rsidP="009B232F">
                  <w:pPr>
                    <w:spacing w:line="240" w:lineRule="auto"/>
                    <w:jc w:val="center"/>
                    <w:rPr>
                      <w:rFonts w:ascii="Times New Roman" w:hAnsi="Times New Roman"/>
                      <w:spacing w:val="-2"/>
                      <w:highlight w:val="yellow"/>
                    </w:rPr>
                  </w:pPr>
                  <w:r w:rsidRPr="00890C68">
                    <w:rPr>
                      <w:rFonts w:ascii="Times New Roman" w:hAnsi="Times New Roman"/>
                    </w:rPr>
                    <w:t xml:space="preserve">Korzyści w okresie </w:t>
                  </w:r>
                  <w:r w:rsidR="009B232F" w:rsidRPr="00890C68">
                    <w:rPr>
                      <w:rFonts w:ascii="Times New Roman" w:hAnsi="Times New Roman"/>
                    </w:rPr>
                    <w:t xml:space="preserve">15 </w:t>
                  </w:r>
                  <w:r w:rsidRPr="00890C68">
                    <w:rPr>
                      <w:rFonts w:ascii="Times New Roman" w:hAnsi="Times New Roman"/>
                    </w:rPr>
                    <w:t>lat od wejścia w życie zmiany</w:t>
                  </w:r>
                </w:p>
              </w:tc>
            </w:tr>
            <w:tr w:rsidR="003F5344" w:rsidRPr="00890C68" w:rsidTr="00524B67">
              <w:trPr>
                <w:gridAfter w:val="1"/>
                <w:wAfter w:w="16" w:type="dxa"/>
                <w:trHeight w:val="142"/>
              </w:trPr>
              <w:tc>
                <w:tcPr>
                  <w:tcW w:w="3686" w:type="dxa"/>
                  <w:gridSpan w:val="2"/>
                  <w:shd w:val="clear" w:color="auto" w:fill="FFFFFF"/>
                </w:tcPr>
                <w:p w:rsidR="003F5344" w:rsidRPr="00890C68" w:rsidRDefault="003F5344" w:rsidP="003F5344">
                  <w:pPr>
                    <w:spacing w:line="240" w:lineRule="auto"/>
                    <w:rPr>
                      <w:rFonts w:ascii="Times New Roman" w:hAnsi="Times New Roman"/>
                      <w:highlight w:val="yellow"/>
                    </w:rPr>
                  </w:pPr>
                </w:p>
              </w:tc>
              <w:tc>
                <w:tcPr>
                  <w:tcW w:w="739" w:type="dxa"/>
                  <w:shd w:val="clear" w:color="auto" w:fill="FFFFFF"/>
                  <w:vAlign w:val="center"/>
                </w:tcPr>
                <w:p w:rsidR="003F5344" w:rsidRPr="00890C68" w:rsidRDefault="003F5344" w:rsidP="003F5344">
                  <w:pPr>
                    <w:spacing w:line="240" w:lineRule="auto"/>
                    <w:jc w:val="center"/>
                    <w:rPr>
                      <w:rFonts w:ascii="Times New Roman" w:hAnsi="Times New Roman"/>
                      <w:sz w:val="21"/>
                      <w:szCs w:val="21"/>
                    </w:rPr>
                  </w:pPr>
                  <w:r w:rsidRPr="00890C68">
                    <w:rPr>
                      <w:rFonts w:ascii="Times New Roman" w:hAnsi="Times New Roman"/>
                      <w:color w:val="000000"/>
                      <w:sz w:val="21"/>
                      <w:szCs w:val="21"/>
                    </w:rPr>
                    <w:t>0</w:t>
                  </w:r>
                </w:p>
              </w:tc>
              <w:tc>
                <w:tcPr>
                  <w:tcW w:w="850" w:type="dxa"/>
                  <w:shd w:val="clear" w:color="auto" w:fill="FFFFFF"/>
                  <w:vAlign w:val="center"/>
                </w:tcPr>
                <w:p w:rsidR="003F5344" w:rsidRPr="00890C68" w:rsidRDefault="003F5344" w:rsidP="003F5344">
                  <w:pPr>
                    <w:spacing w:line="240" w:lineRule="auto"/>
                    <w:jc w:val="center"/>
                    <w:rPr>
                      <w:rFonts w:ascii="Times New Roman" w:hAnsi="Times New Roman"/>
                      <w:sz w:val="21"/>
                      <w:szCs w:val="21"/>
                    </w:rPr>
                  </w:pPr>
                  <w:r w:rsidRPr="00890C68">
                    <w:rPr>
                      <w:rFonts w:ascii="Times New Roman" w:hAnsi="Times New Roman"/>
                      <w:color w:val="000000"/>
                      <w:sz w:val="21"/>
                      <w:szCs w:val="21"/>
                    </w:rPr>
                    <w:t>1</w:t>
                  </w:r>
                </w:p>
              </w:tc>
              <w:tc>
                <w:tcPr>
                  <w:tcW w:w="851" w:type="dxa"/>
                  <w:shd w:val="clear" w:color="auto" w:fill="FFFFFF"/>
                  <w:vAlign w:val="center"/>
                </w:tcPr>
                <w:p w:rsidR="003F5344" w:rsidRPr="00890C68" w:rsidRDefault="003F5344" w:rsidP="003F5344">
                  <w:pPr>
                    <w:spacing w:line="240" w:lineRule="auto"/>
                    <w:jc w:val="center"/>
                    <w:rPr>
                      <w:rFonts w:ascii="Times New Roman" w:hAnsi="Times New Roman"/>
                      <w:sz w:val="21"/>
                      <w:szCs w:val="21"/>
                    </w:rPr>
                  </w:pPr>
                  <w:r w:rsidRPr="00890C68">
                    <w:rPr>
                      <w:rFonts w:ascii="Times New Roman" w:hAnsi="Times New Roman"/>
                      <w:color w:val="000000"/>
                      <w:sz w:val="21"/>
                      <w:szCs w:val="21"/>
                    </w:rPr>
                    <w:t>2</w:t>
                  </w:r>
                </w:p>
              </w:tc>
              <w:tc>
                <w:tcPr>
                  <w:tcW w:w="850" w:type="dxa"/>
                  <w:shd w:val="clear" w:color="auto" w:fill="FFFFFF"/>
                  <w:vAlign w:val="center"/>
                </w:tcPr>
                <w:p w:rsidR="003F5344" w:rsidRPr="00890C68" w:rsidRDefault="003F5344" w:rsidP="003F5344">
                  <w:pPr>
                    <w:spacing w:line="240" w:lineRule="auto"/>
                    <w:jc w:val="center"/>
                    <w:rPr>
                      <w:rFonts w:ascii="Times New Roman" w:hAnsi="Times New Roman"/>
                      <w:sz w:val="21"/>
                      <w:szCs w:val="21"/>
                    </w:rPr>
                  </w:pPr>
                  <w:r w:rsidRPr="00890C68">
                    <w:rPr>
                      <w:rFonts w:ascii="Times New Roman" w:hAnsi="Times New Roman"/>
                      <w:color w:val="000000"/>
                      <w:sz w:val="21"/>
                      <w:szCs w:val="21"/>
                    </w:rPr>
                    <w:t>3</w:t>
                  </w:r>
                </w:p>
              </w:tc>
              <w:tc>
                <w:tcPr>
                  <w:tcW w:w="993" w:type="dxa"/>
                  <w:shd w:val="clear" w:color="auto" w:fill="FFFFFF"/>
                  <w:vAlign w:val="center"/>
                </w:tcPr>
                <w:p w:rsidR="003F5344" w:rsidRPr="00890C68" w:rsidRDefault="003F5344" w:rsidP="003F5344">
                  <w:pPr>
                    <w:spacing w:line="240" w:lineRule="auto"/>
                    <w:jc w:val="center"/>
                    <w:rPr>
                      <w:rFonts w:ascii="Times New Roman" w:hAnsi="Times New Roman"/>
                      <w:sz w:val="21"/>
                      <w:szCs w:val="21"/>
                    </w:rPr>
                  </w:pPr>
                  <w:r w:rsidRPr="00890C68">
                    <w:rPr>
                      <w:rFonts w:ascii="Times New Roman" w:hAnsi="Times New Roman"/>
                      <w:color w:val="000000"/>
                      <w:sz w:val="21"/>
                      <w:szCs w:val="21"/>
                    </w:rPr>
                    <w:t>5</w:t>
                  </w:r>
                </w:p>
              </w:tc>
              <w:tc>
                <w:tcPr>
                  <w:tcW w:w="992" w:type="dxa"/>
                  <w:shd w:val="clear" w:color="auto" w:fill="FFFFFF"/>
                  <w:vAlign w:val="center"/>
                </w:tcPr>
                <w:p w:rsidR="003F5344" w:rsidRPr="00890C68" w:rsidRDefault="003F5344" w:rsidP="003F5344">
                  <w:pPr>
                    <w:spacing w:line="240" w:lineRule="auto"/>
                    <w:jc w:val="center"/>
                    <w:rPr>
                      <w:rFonts w:ascii="Times New Roman" w:hAnsi="Times New Roman"/>
                      <w:sz w:val="21"/>
                      <w:szCs w:val="21"/>
                    </w:rPr>
                  </w:pPr>
                  <w:r w:rsidRPr="00890C68">
                    <w:rPr>
                      <w:rFonts w:ascii="Times New Roman" w:hAnsi="Times New Roman"/>
                      <w:color w:val="000000"/>
                      <w:sz w:val="21"/>
                      <w:szCs w:val="21"/>
                    </w:rPr>
                    <w:t>10</w:t>
                  </w:r>
                </w:p>
              </w:tc>
              <w:tc>
                <w:tcPr>
                  <w:tcW w:w="850" w:type="dxa"/>
                  <w:shd w:val="clear" w:color="auto" w:fill="FFFFFF"/>
                  <w:vAlign w:val="center"/>
                </w:tcPr>
                <w:p w:rsidR="003F5344" w:rsidRPr="00890C68" w:rsidRDefault="003F5344" w:rsidP="003F5344">
                  <w:pPr>
                    <w:spacing w:line="240" w:lineRule="auto"/>
                    <w:jc w:val="center"/>
                    <w:rPr>
                      <w:rFonts w:ascii="Times New Roman" w:hAnsi="Times New Roman"/>
                      <w:spacing w:val="-2"/>
                      <w:sz w:val="21"/>
                      <w:szCs w:val="21"/>
                    </w:rPr>
                  </w:pPr>
                  <w:r w:rsidRPr="00890C68">
                    <w:rPr>
                      <w:rFonts w:ascii="Times New Roman" w:hAnsi="Times New Roman"/>
                      <w:color w:val="000000"/>
                      <w:sz w:val="21"/>
                      <w:szCs w:val="21"/>
                    </w:rPr>
                    <w:t>15</w:t>
                  </w:r>
                </w:p>
              </w:tc>
              <w:tc>
                <w:tcPr>
                  <w:tcW w:w="1105" w:type="dxa"/>
                  <w:shd w:val="clear" w:color="auto" w:fill="FFFFFF"/>
                  <w:vAlign w:val="center"/>
                </w:tcPr>
                <w:p w:rsidR="003F5344" w:rsidRPr="00890C68" w:rsidRDefault="003F5344" w:rsidP="003F5344">
                  <w:pPr>
                    <w:spacing w:line="240" w:lineRule="auto"/>
                    <w:jc w:val="center"/>
                    <w:rPr>
                      <w:rFonts w:ascii="Times New Roman" w:hAnsi="Times New Roman"/>
                      <w:b/>
                      <w:i/>
                      <w:spacing w:val="-2"/>
                    </w:rPr>
                  </w:pPr>
                  <w:r w:rsidRPr="00890C68">
                    <w:rPr>
                      <w:rFonts w:ascii="Times New Roman" w:hAnsi="Times New Roman"/>
                      <w:b/>
                      <w:i/>
                      <w:color w:val="000000"/>
                      <w:sz w:val="21"/>
                      <w:szCs w:val="21"/>
                    </w:rPr>
                    <w:t>Łącznie</w:t>
                  </w:r>
                  <w:r w:rsidRPr="00890C68">
                    <w:rPr>
                      <w:rFonts w:ascii="Times New Roman" w:hAnsi="Times New Roman"/>
                      <w:b/>
                      <w:i/>
                      <w:color w:val="000000"/>
                    </w:rPr>
                    <w:t xml:space="preserve"> </w:t>
                  </w:r>
                  <w:r w:rsidRPr="00890C68">
                    <w:rPr>
                      <w:rFonts w:ascii="Times New Roman" w:hAnsi="Times New Roman"/>
                      <w:b/>
                      <w:i/>
                      <w:color w:val="000000"/>
                      <w:sz w:val="21"/>
                      <w:szCs w:val="21"/>
                    </w:rPr>
                    <w:t>(0-15)</w:t>
                  </w:r>
                </w:p>
              </w:tc>
            </w:tr>
            <w:tr w:rsidR="008F5663" w:rsidRPr="00890C68" w:rsidTr="00524B67">
              <w:trPr>
                <w:gridAfter w:val="1"/>
                <w:wAfter w:w="16" w:type="dxa"/>
                <w:trHeight w:val="142"/>
              </w:trPr>
              <w:tc>
                <w:tcPr>
                  <w:tcW w:w="1590" w:type="dxa"/>
                  <w:vMerge w:val="restart"/>
                  <w:shd w:val="clear" w:color="auto" w:fill="FFFFFF"/>
                </w:tcPr>
                <w:p w:rsidR="007A0BFF" w:rsidRPr="00890C68" w:rsidRDefault="008F5663" w:rsidP="00524B67">
                  <w:pPr>
                    <w:spacing w:line="240" w:lineRule="auto"/>
                    <w:jc w:val="center"/>
                    <w:rPr>
                      <w:rFonts w:ascii="Times New Roman" w:hAnsi="Times New Roman"/>
                      <w:sz w:val="21"/>
                      <w:szCs w:val="21"/>
                    </w:rPr>
                  </w:pPr>
                  <w:r w:rsidRPr="00890C68">
                    <w:rPr>
                      <w:rFonts w:ascii="Times New Roman" w:hAnsi="Times New Roman"/>
                      <w:sz w:val="21"/>
                      <w:szCs w:val="21"/>
                    </w:rPr>
                    <w:t>W ujęciu pieniężnym (</w:t>
                  </w:r>
                  <w:r w:rsidR="000840F0" w:rsidRPr="00890C68">
                    <w:rPr>
                      <w:rFonts w:ascii="Times New Roman" w:hAnsi="Times New Roman"/>
                      <w:sz w:val="21"/>
                      <w:szCs w:val="21"/>
                    </w:rPr>
                    <w:br/>
                  </w:r>
                  <w:r w:rsidRPr="00890C68">
                    <w:rPr>
                      <w:rFonts w:ascii="Times New Roman" w:hAnsi="Times New Roman"/>
                      <w:sz w:val="21"/>
                      <w:szCs w:val="21"/>
                    </w:rPr>
                    <w:t xml:space="preserve">w mln zł, ceny </w:t>
                  </w:r>
                  <w:r w:rsidR="000840F0" w:rsidRPr="00890C68">
                    <w:rPr>
                      <w:rFonts w:ascii="Times New Roman" w:hAnsi="Times New Roman"/>
                      <w:sz w:val="21"/>
                      <w:szCs w:val="21"/>
                    </w:rPr>
                    <w:br/>
                    <w:t xml:space="preserve">z 2016 r. </w:t>
                  </w:r>
                  <w:r w:rsidR="000840F0" w:rsidRPr="00890C68">
                    <w:rPr>
                      <w:rFonts w:ascii="Times New Roman" w:hAnsi="Times New Roman"/>
                      <w:sz w:val="21"/>
                      <w:szCs w:val="21"/>
                    </w:rPr>
                    <w:br/>
                    <w:t>zdyskontowane na 1 stycznia 2019 r.</w:t>
                  </w:r>
                  <w:r w:rsidRPr="00890C68">
                    <w:rPr>
                      <w:rFonts w:ascii="Times New Roman" w:hAnsi="Times New Roman"/>
                      <w:sz w:val="21"/>
                      <w:szCs w:val="21"/>
                    </w:rPr>
                    <w:t>)</w:t>
                  </w:r>
                </w:p>
              </w:tc>
              <w:tc>
                <w:tcPr>
                  <w:tcW w:w="2096" w:type="dxa"/>
                  <w:shd w:val="clear" w:color="auto" w:fill="FFFFFF"/>
                </w:tcPr>
                <w:p w:rsidR="008F5663" w:rsidRPr="00890C68" w:rsidRDefault="008F5663" w:rsidP="00524B67">
                  <w:pPr>
                    <w:spacing w:line="240" w:lineRule="auto"/>
                    <w:jc w:val="center"/>
                    <w:rPr>
                      <w:rFonts w:ascii="Times New Roman" w:hAnsi="Times New Roman"/>
                      <w:sz w:val="21"/>
                      <w:szCs w:val="21"/>
                    </w:rPr>
                  </w:pPr>
                  <w:r w:rsidRPr="00890C68">
                    <w:rPr>
                      <w:rFonts w:ascii="Times New Roman" w:hAnsi="Times New Roman"/>
                      <w:sz w:val="21"/>
                      <w:szCs w:val="21"/>
                    </w:rPr>
                    <w:t xml:space="preserve">Przedsiębiorstwa </w:t>
                  </w:r>
                  <w:r w:rsidR="009C31C9" w:rsidRPr="00890C68">
                    <w:rPr>
                      <w:rFonts w:ascii="Times New Roman" w:hAnsi="Times New Roman"/>
                      <w:sz w:val="21"/>
                      <w:szCs w:val="21"/>
                    </w:rPr>
                    <w:br/>
                  </w:r>
                  <w:r w:rsidRPr="00890C68">
                    <w:rPr>
                      <w:rFonts w:ascii="Times New Roman" w:hAnsi="Times New Roman"/>
                      <w:sz w:val="21"/>
                      <w:szCs w:val="21"/>
                    </w:rPr>
                    <w:t>(w tym MŚP)</w:t>
                  </w:r>
                </w:p>
              </w:tc>
              <w:tc>
                <w:tcPr>
                  <w:tcW w:w="739" w:type="dxa"/>
                  <w:shd w:val="clear" w:color="auto" w:fill="FFFFFF"/>
                  <w:vAlign w:val="center"/>
                </w:tcPr>
                <w:p w:rsidR="008F5663" w:rsidRPr="00890C68" w:rsidRDefault="008F5663" w:rsidP="0081730A">
                  <w:pPr>
                    <w:jc w:val="center"/>
                    <w:rPr>
                      <w:rFonts w:ascii="Times New Roman" w:hAnsi="Times New Roman"/>
                      <w:color w:val="000000"/>
                      <w:sz w:val="21"/>
                      <w:szCs w:val="21"/>
                    </w:rPr>
                  </w:pPr>
                  <w:r w:rsidRPr="00890C68">
                    <w:rPr>
                      <w:rFonts w:ascii="Times New Roman" w:hAnsi="Times New Roman"/>
                      <w:color w:val="000000"/>
                      <w:sz w:val="21"/>
                      <w:szCs w:val="21"/>
                    </w:rPr>
                    <w:t>0,0</w:t>
                  </w:r>
                </w:p>
              </w:tc>
              <w:tc>
                <w:tcPr>
                  <w:tcW w:w="850" w:type="dxa"/>
                  <w:shd w:val="clear" w:color="auto" w:fill="FFFFFF"/>
                  <w:vAlign w:val="center"/>
                </w:tcPr>
                <w:p w:rsidR="008F5663" w:rsidRPr="00890C68" w:rsidRDefault="008F5663" w:rsidP="0081730A">
                  <w:pPr>
                    <w:jc w:val="center"/>
                    <w:rPr>
                      <w:rFonts w:ascii="Times New Roman" w:hAnsi="Times New Roman"/>
                      <w:color w:val="000000"/>
                      <w:sz w:val="21"/>
                      <w:szCs w:val="21"/>
                    </w:rPr>
                  </w:pPr>
                  <w:r w:rsidRPr="00890C68">
                    <w:rPr>
                      <w:rFonts w:ascii="Times New Roman" w:hAnsi="Times New Roman"/>
                      <w:color w:val="000000"/>
                      <w:sz w:val="21"/>
                      <w:szCs w:val="21"/>
                    </w:rPr>
                    <w:t>0,0</w:t>
                  </w:r>
                </w:p>
              </w:tc>
              <w:tc>
                <w:tcPr>
                  <w:tcW w:w="851" w:type="dxa"/>
                  <w:shd w:val="clear" w:color="auto" w:fill="FFFFFF"/>
                  <w:vAlign w:val="center"/>
                </w:tcPr>
                <w:p w:rsidR="008F5663" w:rsidRPr="00890C68" w:rsidRDefault="008F5663" w:rsidP="0081730A">
                  <w:pPr>
                    <w:jc w:val="center"/>
                    <w:rPr>
                      <w:rFonts w:ascii="Times New Roman" w:hAnsi="Times New Roman"/>
                      <w:color w:val="000000"/>
                      <w:sz w:val="21"/>
                      <w:szCs w:val="21"/>
                    </w:rPr>
                  </w:pPr>
                  <w:r w:rsidRPr="00890C68">
                    <w:rPr>
                      <w:rFonts w:ascii="Times New Roman" w:hAnsi="Times New Roman"/>
                      <w:color w:val="000000"/>
                      <w:sz w:val="21"/>
                      <w:szCs w:val="21"/>
                    </w:rPr>
                    <w:t>0,0</w:t>
                  </w:r>
                </w:p>
              </w:tc>
              <w:tc>
                <w:tcPr>
                  <w:tcW w:w="850" w:type="dxa"/>
                  <w:shd w:val="clear" w:color="auto" w:fill="FFFFFF"/>
                  <w:vAlign w:val="center"/>
                </w:tcPr>
                <w:p w:rsidR="008F5663" w:rsidRPr="00890C68" w:rsidRDefault="008F5663" w:rsidP="0081730A">
                  <w:pPr>
                    <w:jc w:val="center"/>
                    <w:rPr>
                      <w:rFonts w:ascii="Times New Roman" w:hAnsi="Times New Roman"/>
                      <w:color w:val="000000"/>
                      <w:sz w:val="21"/>
                      <w:szCs w:val="21"/>
                    </w:rPr>
                  </w:pPr>
                  <w:r w:rsidRPr="00890C68">
                    <w:rPr>
                      <w:rFonts w:ascii="Times New Roman" w:hAnsi="Times New Roman"/>
                      <w:color w:val="000000"/>
                      <w:sz w:val="21"/>
                      <w:szCs w:val="21"/>
                    </w:rPr>
                    <w:t>0,0</w:t>
                  </w:r>
                </w:p>
              </w:tc>
              <w:tc>
                <w:tcPr>
                  <w:tcW w:w="993" w:type="dxa"/>
                  <w:shd w:val="clear" w:color="auto" w:fill="FFFFFF"/>
                  <w:vAlign w:val="center"/>
                </w:tcPr>
                <w:p w:rsidR="008F5663" w:rsidRPr="00890C68" w:rsidRDefault="008F5663" w:rsidP="0081730A">
                  <w:pPr>
                    <w:jc w:val="center"/>
                    <w:rPr>
                      <w:rFonts w:ascii="Times New Roman" w:hAnsi="Times New Roman"/>
                      <w:color w:val="000000"/>
                      <w:sz w:val="21"/>
                      <w:szCs w:val="21"/>
                    </w:rPr>
                  </w:pPr>
                  <w:r w:rsidRPr="00890C68">
                    <w:rPr>
                      <w:rFonts w:ascii="Times New Roman" w:hAnsi="Times New Roman"/>
                      <w:color w:val="000000"/>
                      <w:sz w:val="21"/>
                      <w:szCs w:val="21"/>
                    </w:rPr>
                    <w:t>26,4</w:t>
                  </w:r>
                </w:p>
              </w:tc>
              <w:tc>
                <w:tcPr>
                  <w:tcW w:w="992" w:type="dxa"/>
                  <w:shd w:val="clear" w:color="auto" w:fill="FFFFFF"/>
                  <w:vAlign w:val="center"/>
                </w:tcPr>
                <w:p w:rsidR="008F5663" w:rsidRPr="00890C68" w:rsidRDefault="008F5663" w:rsidP="0081730A">
                  <w:pPr>
                    <w:jc w:val="center"/>
                    <w:rPr>
                      <w:rFonts w:ascii="Times New Roman" w:hAnsi="Times New Roman"/>
                      <w:color w:val="000000"/>
                      <w:sz w:val="21"/>
                      <w:szCs w:val="21"/>
                    </w:rPr>
                  </w:pPr>
                  <w:r w:rsidRPr="00890C68">
                    <w:rPr>
                      <w:rFonts w:ascii="Times New Roman" w:hAnsi="Times New Roman"/>
                      <w:color w:val="000000"/>
                      <w:sz w:val="21"/>
                      <w:szCs w:val="21"/>
                    </w:rPr>
                    <w:t>89,2</w:t>
                  </w:r>
                </w:p>
              </w:tc>
              <w:tc>
                <w:tcPr>
                  <w:tcW w:w="850" w:type="dxa"/>
                  <w:shd w:val="clear" w:color="auto" w:fill="FFFFFF"/>
                  <w:vAlign w:val="center"/>
                </w:tcPr>
                <w:p w:rsidR="008F5663" w:rsidRPr="00890C68" w:rsidRDefault="008F5663" w:rsidP="0081730A">
                  <w:pPr>
                    <w:jc w:val="center"/>
                    <w:rPr>
                      <w:rFonts w:ascii="Times New Roman" w:hAnsi="Times New Roman"/>
                      <w:color w:val="000000"/>
                      <w:sz w:val="21"/>
                      <w:szCs w:val="21"/>
                    </w:rPr>
                  </w:pPr>
                  <w:r w:rsidRPr="00890C68">
                    <w:rPr>
                      <w:rFonts w:ascii="Times New Roman" w:hAnsi="Times New Roman"/>
                      <w:color w:val="000000"/>
                      <w:sz w:val="21"/>
                      <w:szCs w:val="21"/>
                    </w:rPr>
                    <w:t>93,7</w:t>
                  </w:r>
                </w:p>
              </w:tc>
              <w:tc>
                <w:tcPr>
                  <w:tcW w:w="1105" w:type="dxa"/>
                  <w:shd w:val="clear" w:color="auto" w:fill="FFFFFF"/>
                  <w:vAlign w:val="center"/>
                </w:tcPr>
                <w:p w:rsidR="008F5663" w:rsidRPr="00890C68" w:rsidRDefault="008F5663" w:rsidP="0081730A">
                  <w:pPr>
                    <w:jc w:val="center"/>
                    <w:rPr>
                      <w:rFonts w:ascii="Times New Roman" w:hAnsi="Times New Roman"/>
                      <w:b/>
                      <w:bCs/>
                      <w:color w:val="000000"/>
                      <w:sz w:val="21"/>
                      <w:szCs w:val="21"/>
                    </w:rPr>
                  </w:pPr>
                  <w:r w:rsidRPr="00890C68">
                    <w:rPr>
                      <w:rFonts w:ascii="Times New Roman" w:hAnsi="Times New Roman"/>
                      <w:b/>
                      <w:bCs/>
                      <w:color w:val="000000"/>
                      <w:sz w:val="21"/>
                      <w:szCs w:val="21"/>
                    </w:rPr>
                    <w:t>841,6</w:t>
                  </w:r>
                </w:p>
              </w:tc>
            </w:tr>
            <w:tr w:rsidR="008F5663" w:rsidRPr="00890C68" w:rsidTr="007A0BFF">
              <w:trPr>
                <w:gridAfter w:val="1"/>
                <w:wAfter w:w="16" w:type="dxa"/>
                <w:trHeight w:val="1188"/>
              </w:trPr>
              <w:tc>
                <w:tcPr>
                  <w:tcW w:w="1590" w:type="dxa"/>
                  <w:vMerge/>
                  <w:shd w:val="clear" w:color="auto" w:fill="FFFFFF"/>
                </w:tcPr>
                <w:p w:rsidR="008F5663" w:rsidRPr="00890C68" w:rsidRDefault="008F5663" w:rsidP="0081730A">
                  <w:pPr>
                    <w:spacing w:line="240" w:lineRule="auto"/>
                    <w:rPr>
                      <w:rFonts w:ascii="Times New Roman" w:hAnsi="Times New Roman"/>
                      <w:sz w:val="21"/>
                      <w:szCs w:val="21"/>
                      <w:highlight w:val="yellow"/>
                    </w:rPr>
                  </w:pPr>
                </w:p>
              </w:tc>
              <w:tc>
                <w:tcPr>
                  <w:tcW w:w="2096" w:type="dxa"/>
                  <w:shd w:val="clear" w:color="auto" w:fill="FFFFFF"/>
                </w:tcPr>
                <w:p w:rsidR="008F5663" w:rsidRPr="00890C68" w:rsidRDefault="008F5663" w:rsidP="00524B67">
                  <w:pPr>
                    <w:spacing w:line="240" w:lineRule="auto"/>
                    <w:jc w:val="center"/>
                    <w:rPr>
                      <w:rFonts w:ascii="Times New Roman" w:hAnsi="Times New Roman"/>
                      <w:sz w:val="21"/>
                      <w:szCs w:val="21"/>
                      <w:highlight w:val="yellow"/>
                    </w:rPr>
                  </w:pPr>
                  <w:r w:rsidRPr="00890C68">
                    <w:rPr>
                      <w:rFonts w:ascii="Times New Roman" w:hAnsi="Times New Roman"/>
                      <w:sz w:val="21"/>
                      <w:szCs w:val="21"/>
                    </w:rPr>
                    <w:t>rodzina, obywatele oraz gospodarstwa domowe</w:t>
                  </w:r>
                </w:p>
              </w:tc>
              <w:tc>
                <w:tcPr>
                  <w:tcW w:w="739" w:type="dxa"/>
                  <w:shd w:val="clear" w:color="auto" w:fill="FFFFFF"/>
                  <w:vAlign w:val="center"/>
                </w:tcPr>
                <w:p w:rsidR="008F5663" w:rsidRPr="00890C68" w:rsidRDefault="008F5663" w:rsidP="0081730A">
                  <w:pPr>
                    <w:jc w:val="center"/>
                    <w:rPr>
                      <w:rFonts w:ascii="Times New Roman" w:hAnsi="Times New Roman"/>
                      <w:color w:val="FF0000"/>
                      <w:sz w:val="21"/>
                      <w:szCs w:val="21"/>
                    </w:rPr>
                  </w:pPr>
                  <w:r w:rsidRPr="00890C68">
                    <w:rPr>
                      <w:rFonts w:ascii="Times New Roman" w:hAnsi="Times New Roman"/>
                      <w:color w:val="000000"/>
                      <w:sz w:val="21"/>
                      <w:szCs w:val="21"/>
                    </w:rPr>
                    <w:t>0,0</w:t>
                  </w:r>
                </w:p>
              </w:tc>
              <w:tc>
                <w:tcPr>
                  <w:tcW w:w="850" w:type="dxa"/>
                  <w:shd w:val="clear" w:color="auto" w:fill="FFFFFF"/>
                  <w:vAlign w:val="center"/>
                </w:tcPr>
                <w:p w:rsidR="008F5663" w:rsidRPr="00890C68" w:rsidRDefault="008F5663" w:rsidP="0081730A">
                  <w:pPr>
                    <w:jc w:val="center"/>
                    <w:rPr>
                      <w:rFonts w:ascii="Times New Roman" w:hAnsi="Times New Roman"/>
                      <w:color w:val="FF0000"/>
                      <w:sz w:val="21"/>
                      <w:szCs w:val="21"/>
                    </w:rPr>
                  </w:pPr>
                  <w:r w:rsidRPr="00890C68">
                    <w:rPr>
                      <w:rFonts w:ascii="Times New Roman" w:hAnsi="Times New Roman"/>
                      <w:color w:val="000000"/>
                      <w:sz w:val="21"/>
                      <w:szCs w:val="21"/>
                    </w:rPr>
                    <w:t>0,0</w:t>
                  </w:r>
                </w:p>
              </w:tc>
              <w:tc>
                <w:tcPr>
                  <w:tcW w:w="851" w:type="dxa"/>
                  <w:shd w:val="clear" w:color="auto" w:fill="FFFFFF"/>
                  <w:vAlign w:val="center"/>
                </w:tcPr>
                <w:p w:rsidR="008F5663" w:rsidRPr="00890C68" w:rsidRDefault="008F5663" w:rsidP="0081730A">
                  <w:pPr>
                    <w:jc w:val="center"/>
                    <w:rPr>
                      <w:rFonts w:ascii="Times New Roman" w:hAnsi="Times New Roman"/>
                      <w:color w:val="FF0000"/>
                      <w:sz w:val="21"/>
                      <w:szCs w:val="21"/>
                    </w:rPr>
                  </w:pPr>
                  <w:r w:rsidRPr="00890C68">
                    <w:rPr>
                      <w:rFonts w:ascii="Times New Roman" w:hAnsi="Times New Roman"/>
                      <w:color w:val="000000"/>
                      <w:sz w:val="21"/>
                      <w:szCs w:val="21"/>
                    </w:rPr>
                    <w:t>0,0</w:t>
                  </w:r>
                </w:p>
              </w:tc>
              <w:tc>
                <w:tcPr>
                  <w:tcW w:w="850" w:type="dxa"/>
                  <w:shd w:val="clear" w:color="auto" w:fill="FFFFFF"/>
                  <w:vAlign w:val="center"/>
                </w:tcPr>
                <w:p w:rsidR="008F5663" w:rsidRPr="00890C68" w:rsidRDefault="008F5663" w:rsidP="0081730A">
                  <w:pPr>
                    <w:jc w:val="center"/>
                    <w:rPr>
                      <w:rFonts w:ascii="Times New Roman" w:hAnsi="Times New Roman"/>
                      <w:color w:val="FF0000"/>
                      <w:sz w:val="21"/>
                      <w:szCs w:val="21"/>
                    </w:rPr>
                  </w:pPr>
                  <w:r w:rsidRPr="00890C68">
                    <w:rPr>
                      <w:rFonts w:ascii="Times New Roman" w:hAnsi="Times New Roman"/>
                      <w:color w:val="000000"/>
                      <w:sz w:val="21"/>
                      <w:szCs w:val="21"/>
                    </w:rPr>
                    <w:t>0,0</w:t>
                  </w:r>
                </w:p>
              </w:tc>
              <w:tc>
                <w:tcPr>
                  <w:tcW w:w="993" w:type="dxa"/>
                  <w:shd w:val="clear" w:color="auto" w:fill="FFFFFF"/>
                  <w:vAlign w:val="center"/>
                </w:tcPr>
                <w:p w:rsidR="008F5663" w:rsidRPr="00890C68" w:rsidRDefault="008F5663" w:rsidP="0081730A">
                  <w:pPr>
                    <w:jc w:val="center"/>
                    <w:rPr>
                      <w:rFonts w:ascii="Times New Roman" w:hAnsi="Times New Roman"/>
                      <w:color w:val="FF0000"/>
                      <w:sz w:val="21"/>
                      <w:szCs w:val="21"/>
                    </w:rPr>
                  </w:pPr>
                  <w:r w:rsidRPr="00890C68">
                    <w:rPr>
                      <w:rFonts w:ascii="Times New Roman" w:hAnsi="Times New Roman"/>
                      <w:color w:val="000000"/>
                      <w:sz w:val="21"/>
                      <w:szCs w:val="21"/>
                    </w:rPr>
                    <w:t>32</w:t>
                  </w:r>
                  <w:r w:rsidR="007762A8" w:rsidRPr="00890C68">
                    <w:rPr>
                      <w:rFonts w:ascii="Times New Roman" w:hAnsi="Times New Roman"/>
                      <w:color w:val="000000"/>
                      <w:sz w:val="21"/>
                      <w:szCs w:val="21"/>
                    </w:rPr>
                    <w:t>9,5</w:t>
                  </w:r>
                </w:p>
              </w:tc>
              <w:tc>
                <w:tcPr>
                  <w:tcW w:w="992" w:type="dxa"/>
                  <w:shd w:val="clear" w:color="auto" w:fill="FFFFFF"/>
                  <w:vAlign w:val="center"/>
                </w:tcPr>
                <w:p w:rsidR="008F5663" w:rsidRPr="00890C68" w:rsidRDefault="008F5663" w:rsidP="0081730A">
                  <w:pPr>
                    <w:jc w:val="center"/>
                    <w:rPr>
                      <w:rFonts w:ascii="Times New Roman" w:hAnsi="Times New Roman"/>
                      <w:color w:val="FF0000"/>
                      <w:sz w:val="21"/>
                      <w:szCs w:val="21"/>
                    </w:rPr>
                  </w:pPr>
                  <w:r w:rsidRPr="00890C68">
                    <w:rPr>
                      <w:rFonts w:ascii="Times New Roman" w:hAnsi="Times New Roman"/>
                      <w:color w:val="000000"/>
                      <w:sz w:val="21"/>
                      <w:szCs w:val="21"/>
                    </w:rPr>
                    <w:t>1</w:t>
                  </w:r>
                  <w:r w:rsidR="007762A8" w:rsidRPr="00890C68">
                    <w:rPr>
                      <w:rFonts w:ascii="Times New Roman" w:hAnsi="Times New Roman"/>
                      <w:color w:val="000000"/>
                      <w:sz w:val="21"/>
                      <w:szCs w:val="21"/>
                    </w:rPr>
                    <w:t>112,5</w:t>
                  </w:r>
                </w:p>
              </w:tc>
              <w:tc>
                <w:tcPr>
                  <w:tcW w:w="850" w:type="dxa"/>
                  <w:shd w:val="clear" w:color="auto" w:fill="FFFFFF"/>
                  <w:vAlign w:val="center"/>
                </w:tcPr>
                <w:p w:rsidR="008F5663" w:rsidRPr="00890C68" w:rsidRDefault="008F5663" w:rsidP="0081730A">
                  <w:pPr>
                    <w:jc w:val="center"/>
                    <w:rPr>
                      <w:rFonts w:ascii="Times New Roman" w:hAnsi="Times New Roman"/>
                      <w:color w:val="FF0000"/>
                      <w:sz w:val="21"/>
                      <w:szCs w:val="21"/>
                    </w:rPr>
                  </w:pPr>
                  <w:r w:rsidRPr="00890C68">
                    <w:rPr>
                      <w:rFonts w:ascii="Times New Roman" w:hAnsi="Times New Roman"/>
                      <w:color w:val="000000"/>
                      <w:sz w:val="21"/>
                      <w:szCs w:val="21"/>
                    </w:rPr>
                    <w:t>1</w:t>
                  </w:r>
                  <w:r w:rsidR="007762A8" w:rsidRPr="00890C68">
                    <w:rPr>
                      <w:rFonts w:ascii="Times New Roman" w:hAnsi="Times New Roman"/>
                      <w:color w:val="000000"/>
                      <w:sz w:val="21"/>
                      <w:szCs w:val="21"/>
                    </w:rPr>
                    <w:t>168,6</w:t>
                  </w:r>
                </w:p>
              </w:tc>
              <w:tc>
                <w:tcPr>
                  <w:tcW w:w="1105" w:type="dxa"/>
                  <w:shd w:val="clear" w:color="auto" w:fill="FFFFFF"/>
                  <w:vAlign w:val="center"/>
                </w:tcPr>
                <w:p w:rsidR="008F5663" w:rsidRPr="00890C68" w:rsidRDefault="007762A8" w:rsidP="0081730A">
                  <w:pPr>
                    <w:jc w:val="center"/>
                    <w:rPr>
                      <w:rFonts w:ascii="Times New Roman" w:hAnsi="Times New Roman"/>
                      <w:color w:val="FF0000"/>
                      <w:sz w:val="21"/>
                      <w:szCs w:val="21"/>
                    </w:rPr>
                  </w:pPr>
                  <w:r w:rsidRPr="00890C68">
                    <w:rPr>
                      <w:rFonts w:ascii="Times New Roman" w:hAnsi="Times New Roman"/>
                      <w:b/>
                      <w:bCs/>
                      <w:color w:val="000000"/>
                      <w:sz w:val="21"/>
                      <w:szCs w:val="21"/>
                    </w:rPr>
                    <w:t>10 496,2</w:t>
                  </w:r>
                </w:p>
              </w:tc>
            </w:tr>
            <w:tr w:rsidR="007A0BFF" w:rsidRPr="00890C68" w:rsidTr="00623560">
              <w:trPr>
                <w:gridAfter w:val="1"/>
                <w:wAfter w:w="16" w:type="dxa"/>
                <w:trHeight w:val="252"/>
              </w:trPr>
              <w:tc>
                <w:tcPr>
                  <w:tcW w:w="10916" w:type="dxa"/>
                  <w:gridSpan w:val="10"/>
                  <w:shd w:val="clear" w:color="auto" w:fill="FFFFFF"/>
                </w:tcPr>
                <w:p w:rsidR="007A0BFF" w:rsidRPr="00890C68" w:rsidRDefault="007A0BFF" w:rsidP="0081730A">
                  <w:pPr>
                    <w:jc w:val="center"/>
                    <w:rPr>
                      <w:rFonts w:ascii="Times New Roman" w:hAnsi="Times New Roman"/>
                      <w:b/>
                      <w:bCs/>
                      <w:color w:val="000000"/>
                      <w:sz w:val="21"/>
                      <w:szCs w:val="21"/>
                    </w:rPr>
                  </w:pPr>
                  <w:r w:rsidRPr="00890C68">
                    <w:rPr>
                      <w:rFonts w:ascii="Times New Roman" w:hAnsi="Times New Roman"/>
                      <w:b/>
                      <w:bCs/>
                      <w:color w:val="000000"/>
                      <w:sz w:val="21"/>
                      <w:szCs w:val="21"/>
                    </w:rPr>
                    <w:t>Saldo</w:t>
                  </w:r>
                  <w:r w:rsidR="000528E6" w:rsidRPr="00890C68">
                    <w:rPr>
                      <w:rFonts w:ascii="Times New Roman" w:hAnsi="Times New Roman"/>
                    </w:rPr>
                    <w:t xml:space="preserve"> </w:t>
                  </w:r>
                  <w:r w:rsidR="000528E6" w:rsidRPr="00890C68">
                    <w:rPr>
                      <w:rFonts w:ascii="Times New Roman" w:hAnsi="Times New Roman"/>
                      <w:b/>
                      <w:bCs/>
                      <w:color w:val="000000"/>
                      <w:sz w:val="21"/>
                      <w:szCs w:val="21"/>
                    </w:rPr>
                    <w:t>w okresie 15 lat od wejścia w życie zmiany</w:t>
                  </w:r>
                </w:p>
              </w:tc>
            </w:tr>
            <w:tr w:rsidR="000528E6" w:rsidRPr="00890C68" w:rsidTr="000528E6">
              <w:trPr>
                <w:gridAfter w:val="1"/>
                <w:wAfter w:w="16" w:type="dxa"/>
                <w:trHeight w:val="208"/>
              </w:trPr>
              <w:tc>
                <w:tcPr>
                  <w:tcW w:w="1590" w:type="dxa"/>
                  <w:shd w:val="clear" w:color="auto" w:fill="FFFFFF"/>
                </w:tcPr>
                <w:p w:rsidR="000528E6" w:rsidRPr="00890C68" w:rsidRDefault="000528E6" w:rsidP="000528E6">
                  <w:pPr>
                    <w:spacing w:line="240" w:lineRule="auto"/>
                    <w:jc w:val="center"/>
                    <w:rPr>
                      <w:rFonts w:ascii="Times New Roman" w:hAnsi="Times New Roman"/>
                      <w:sz w:val="21"/>
                      <w:szCs w:val="21"/>
                      <w:highlight w:val="yellow"/>
                    </w:rPr>
                  </w:pPr>
                </w:p>
              </w:tc>
              <w:tc>
                <w:tcPr>
                  <w:tcW w:w="2096" w:type="dxa"/>
                  <w:shd w:val="clear" w:color="auto" w:fill="FFFFFF"/>
                </w:tcPr>
                <w:p w:rsidR="000528E6" w:rsidRPr="00890C68" w:rsidRDefault="000528E6" w:rsidP="000528E6">
                  <w:pPr>
                    <w:spacing w:line="240" w:lineRule="auto"/>
                    <w:jc w:val="center"/>
                    <w:rPr>
                      <w:rFonts w:ascii="Times New Roman" w:hAnsi="Times New Roman"/>
                      <w:sz w:val="21"/>
                      <w:szCs w:val="21"/>
                    </w:rPr>
                  </w:pPr>
                </w:p>
              </w:tc>
              <w:tc>
                <w:tcPr>
                  <w:tcW w:w="739" w:type="dxa"/>
                  <w:shd w:val="clear" w:color="auto" w:fill="FFFFFF"/>
                  <w:vAlign w:val="center"/>
                </w:tcPr>
                <w:p w:rsidR="000528E6" w:rsidRPr="00890C68" w:rsidRDefault="000528E6" w:rsidP="000528E6">
                  <w:pPr>
                    <w:spacing w:line="240" w:lineRule="auto"/>
                    <w:jc w:val="center"/>
                    <w:rPr>
                      <w:rFonts w:ascii="Times New Roman" w:hAnsi="Times New Roman"/>
                      <w:sz w:val="21"/>
                      <w:szCs w:val="21"/>
                    </w:rPr>
                  </w:pPr>
                  <w:r w:rsidRPr="00890C68">
                    <w:rPr>
                      <w:rFonts w:ascii="Times New Roman" w:hAnsi="Times New Roman"/>
                      <w:color w:val="000000"/>
                      <w:sz w:val="21"/>
                      <w:szCs w:val="21"/>
                    </w:rPr>
                    <w:t>0</w:t>
                  </w:r>
                </w:p>
              </w:tc>
              <w:tc>
                <w:tcPr>
                  <w:tcW w:w="850" w:type="dxa"/>
                  <w:shd w:val="clear" w:color="auto" w:fill="FFFFFF"/>
                  <w:vAlign w:val="center"/>
                </w:tcPr>
                <w:p w:rsidR="000528E6" w:rsidRPr="00890C68" w:rsidRDefault="000528E6" w:rsidP="000528E6">
                  <w:pPr>
                    <w:spacing w:line="240" w:lineRule="auto"/>
                    <w:jc w:val="center"/>
                    <w:rPr>
                      <w:rFonts w:ascii="Times New Roman" w:hAnsi="Times New Roman"/>
                      <w:sz w:val="21"/>
                      <w:szCs w:val="21"/>
                    </w:rPr>
                  </w:pPr>
                  <w:r w:rsidRPr="00890C68">
                    <w:rPr>
                      <w:rFonts w:ascii="Times New Roman" w:hAnsi="Times New Roman"/>
                      <w:color w:val="000000"/>
                      <w:sz w:val="21"/>
                      <w:szCs w:val="21"/>
                    </w:rPr>
                    <w:t>1</w:t>
                  </w:r>
                </w:p>
              </w:tc>
              <w:tc>
                <w:tcPr>
                  <w:tcW w:w="851" w:type="dxa"/>
                  <w:shd w:val="clear" w:color="auto" w:fill="FFFFFF"/>
                  <w:vAlign w:val="center"/>
                </w:tcPr>
                <w:p w:rsidR="000528E6" w:rsidRPr="00890C68" w:rsidRDefault="000528E6" w:rsidP="000528E6">
                  <w:pPr>
                    <w:spacing w:line="240" w:lineRule="auto"/>
                    <w:jc w:val="center"/>
                    <w:rPr>
                      <w:rFonts w:ascii="Times New Roman" w:hAnsi="Times New Roman"/>
                      <w:sz w:val="21"/>
                      <w:szCs w:val="21"/>
                    </w:rPr>
                  </w:pPr>
                  <w:r w:rsidRPr="00890C68">
                    <w:rPr>
                      <w:rFonts w:ascii="Times New Roman" w:hAnsi="Times New Roman"/>
                      <w:color w:val="000000"/>
                      <w:sz w:val="21"/>
                      <w:szCs w:val="21"/>
                    </w:rPr>
                    <w:t>2</w:t>
                  </w:r>
                </w:p>
              </w:tc>
              <w:tc>
                <w:tcPr>
                  <w:tcW w:w="850" w:type="dxa"/>
                  <w:shd w:val="clear" w:color="auto" w:fill="FFFFFF"/>
                  <w:vAlign w:val="center"/>
                </w:tcPr>
                <w:p w:rsidR="000528E6" w:rsidRPr="00890C68" w:rsidRDefault="000528E6" w:rsidP="000528E6">
                  <w:pPr>
                    <w:spacing w:line="240" w:lineRule="auto"/>
                    <w:jc w:val="center"/>
                    <w:rPr>
                      <w:rFonts w:ascii="Times New Roman" w:hAnsi="Times New Roman"/>
                      <w:sz w:val="21"/>
                      <w:szCs w:val="21"/>
                    </w:rPr>
                  </w:pPr>
                  <w:r w:rsidRPr="00890C68">
                    <w:rPr>
                      <w:rFonts w:ascii="Times New Roman" w:hAnsi="Times New Roman"/>
                      <w:color w:val="000000"/>
                      <w:sz w:val="21"/>
                      <w:szCs w:val="21"/>
                    </w:rPr>
                    <w:t>3</w:t>
                  </w:r>
                </w:p>
              </w:tc>
              <w:tc>
                <w:tcPr>
                  <w:tcW w:w="993" w:type="dxa"/>
                  <w:shd w:val="clear" w:color="auto" w:fill="FFFFFF"/>
                  <w:vAlign w:val="center"/>
                </w:tcPr>
                <w:p w:rsidR="000528E6" w:rsidRPr="00890C68" w:rsidRDefault="000528E6" w:rsidP="000528E6">
                  <w:pPr>
                    <w:spacing w:line="240" w:lineRule="auto"/>
                    <w:jc w:val="center"/>
                    <w:rPr>
                      <w:rFonts w:ascii="Times New Roman" w:hAnsi="Times New Roman"/>
                      <w:sz w:val="21"/>
                      <w:szCs w:val="21"/>
                    </w:rPr>
                  </w:pPr>
                  <w:r w:rsidRPr="00890C68">
                    <w:rPr>
                      <w:rFonts w:ascii="Times New Roman" w:hAnsi="Times New Roman"/>
                      <w:color w:val="000000"/>
                      <w:sz w:val="21"/>
                      <w:szCs w:val="21"/>
                    </w:rPr>
                    <w:t>5</w:t>
                  </w:r>
                </w:p>
              </w:tc>
              <w:tc>
                <w:tcPr>
                  <w:tcW w:w="992" w:type="dxa"/>
                  <w:shd w:val="clear" w:color="auto" w:fill="FFFFFF"/>
                  <w:vAlign w:val="center"/>
                </w:tcPr>
                <w:p w:rsidR="000528E6" w:rsidRPr="00890C68" w:rsidRDefault="000528E6" w:rsidP="000528E6">
                  <w:pPr>
                    <w:spacing w:line="240" w:lineRule="auto"/>
                    <w:jc w:val="center"/>
                    <w:rPr>
                      <w:rFonts w:ascii="Times New Roman" w:hAnsi="Times New Roman"/>
                      <w:sz w:val="21"/>
                      <w:szCs w:val="21"/>
                    </w:rPr>
                  </w:pPr>
                  <w:r w:rsidRPr="00890C68">
                    <w:rPr>
                      <w:rFonts w:ascii="Times New Roman" w:hAnsi="Times New Roman"/>
                      <w:color w:val="000000"/>
                      <w:sz w:val="21"/>
                      <w:szCs w:val="21"/>
                    </w:rPr>
                    <w:t>10</w:t>
                  </w:r>
                </w:p>
              </w:tc>
              <w:tc>
                <w:tcPr>
                  <w:tcW w:w="850" w:type="dxa"/>
                  <w:shd w:val="clear" w:color="auto" w:fill="FFFFFF"/>
                  <w:vAlign w:val="center"/>
                </w:tcPr>
                <w:p w:rsidR="000528E6" w:rsidRPr="00890C68" w:rsidRDefault="000528E6" w:rsidP="000528E6">
                  <w:pPr>
                    <w:spacing w:line="240" w:lineRule="auto"/>
                    <w:jc w:val="center"/>
                    <w:rPr>
                      <w:rFonts w:ascii="Times New Roman" w:hAnsi="Times New Roman"/>
                      <w:spacing w:val="-2"/>
                      <w:sz w:val="21"/>
                      <w:szCs w:val="21"/>
                    </w:rPr>
                  </w:pPr>
                  <w:r w:rsidRPr="00890C68">
                    <w:rPr>
                      <w:rFonts w:ascii="Times New Roman" w:hAnsi="Times New Roman"/>
                      <w:color w:val="000000"/>
                      <w:sz w:val="21"/>
                      <w:szCs w:val="21"/>
                    </w:rPr>
                    <w:t>15</w:t>
                  </w:r>
                </w:p>
              </w:tc>
              <w:tc>
                <w:tcPr>
                  <w:tcW w:w="1105" w:type="dxa"/>
                  <w:shd w:val="clear" w:color="auto" w:fill="FFFFFF"/>
                  <w:vAlign w:val="center"/>
                </w:tcPr>
                <w:p w:rsidR="000528E6" w:rsidRPr="00890C68" w:rsidRDefault="000528E6" w:rsidP="000528E6">
                  <w:pPr>
                    <w:spacing w:line="240" w:lineRule="auto"/>
                    <w:jc w:val="center"/>
                    <w:rPr>
                      <w:rFonts w:ascii="Times New Roman" w:hAnsi="Times New Roman"/>
                      <w:b/>
                      <w:i/>
                      <w:spacing w:val="-2"/>
                    </w:rPr>
                  </w:pPr>
                  <w:r w:rsidRPr="00890C68">
                    <w:rPr>
                      <w:rFonts w:ascii="Times New Roman" w:hAnsi="Times New Roman"/>
                      <w:b/>
                      <w:i/>
                      <w:color w:val="000000"/>
                      <w:sz w:val="21"/>
                      <w:szCs w:val="21"/>
                    </w:rPr>
                    <w:t>Łącznie</w:t>
                  </w:r>
                  <w:r w:rsidRPr="00890C68">
                    <w:rPr>
                      <w:rFonts w:ascii="Times New Roman" w:hAnsi="Times New Roman"/>
                      <w:b/>
                      <w:i/>
                      <w:color w:val="000000"/>
                    </w:rPr>
                    <w:t xml:space="preserve"> </w:t>
                  </w:r>
                  <w:r w:rsidRPr="00890C68">
                    <w:rPr>
                      <w:rFonts w:ascii="Times New Roman" w:hAnsi="Times New Roman"/>
                      <w:b/>
                      <w:i/>
                      <w:color w:val="000000"/>
                      <w:sz w:val="21"/>
                      <w:szCs w:val="21"/>
                    </w:rPr>
                    <w:t>(0-15)</w:t>
                  </w:r>
                </w:p>
              </w:tc>
            </w:tr>
            <w:tr w:rsidR="000528E6" w:rsidRPr="00890C68" w:rsidTr="007A0BFF">
              <w:trPr>
                <w:gridAfter w:val="1"/>
                <w:wAfter w:w="16" w:type="dxa"/>
                <w:trHeight w:val="504"/>
              </w:trPr>
              <w:tc>
                <w:tcPr>
                  <w:tcW w:w="1590" w:type="dxa"/>
                  <w:vMerge w:val="restart"/>
                  <w:shd w:val="clear" w:color="auto" w:fill="FFFFFF"/>
                </w:tcPr>
                <w:p w:rsidR="000528E6" w:rsidRPr="00890C68" w:rsidRDefault="000528E6" w:rsidP="000528E6">
                  <w:pPr>
                    <w:spacing w:line="240" w:lineRule="auto"/>
                    <w:jc w:val="center"/>
                    <w:rPr>
                      <w:rFonts w:ascii="Times New Roman" w:hAnsi="Times New Roman"/>
                      <w:sz w:val="21"/>
                      <w:szCs w:val="21"/>
                    </w:rPr>
                  </w:pPr>
                  <w:r w:rsidRPr="00890C68">
                    <w:rPr>
                      <w:rFonts w:ascii="Times New Roman" w:hAnsi="Times New Roman"/>
                      <w:sz w:val="21"/>
                      <w:szCs w:val="21"/>
                    </w:rPr>
                    <w:t>W ujęciu pieniężnym (</w:t>
                  </w:r>
                </w:p>
                <w:p w:rsidR="000528E6" w:rsidRPr="00890C68" w:rsidRDefault="000528E6" w:rsidP="000528E6">
                  <w:pPr>
                    <w:spacing w:line="240" w:lineRule="auto"/>
                    <w:jc w:val="center"/>
                    <w:rPr>
                      <w:rFonts w:ascii="Times New Roman" w:hAnsi="Times New Roman"/>
                      <w:sz w:val="21"/>
                      <w:szCs w:val="21"/>
                    </w:rPr>
                  </w:pPr>
                  <w:r w:rsidRPr="00890C68">
                    <w:rPr>
                      <w:rFonts w:ascii="Times New Roman" w:hAnsi="Times New Roman"/>
                      <w:sz w:val="21"/>
                      <w:szCs w:val="21"/>
                    </w:rPr>
                    <w:t xml:space="preserve">w mln zł, ceny </w:t>
                  </w:r>
                </w:p>
                <w:p w:rsidR="000528E6" w:rsidRPr="00890C68" w:rsidRDefault="000528E6" w:rsidP="000528E6">
                  <w:pPr>
                    <w:spacing w:line="240" w:lineRule="auto"/>
                    <w:jc w:val="center"/>
                    <w:rPr>
                      <w:rFonts w:ascii="Times New Roman" w:hAnsi="Times New Roman"/>
                      <w:sz w:val="21"/>
                      <w:szCs w:val="21"/>
                    </w:rPr>
                  </w:pPr>
                  <w:r w:rsidRPr="00890C68">
                    <w:rPr>
                      <w:rFonts w:ascii="Times New Roman" w:hAnsi="Times New Roman"/>
                      <w:sz w:val="21"/>
                      <w:szCs w:val="21"/>
                    </w:rPr>
                    <w:t xml:space="preserve">z 2016 r. </w:t>
                  </w:r>
                </w:p>
                <w:p w:rsidR="000528E6" w:rsidRPr="00890C68" w:rsidRDefault="000528E6" w:rsidP="000528E6">
                  <w:pPr>
                    <w:spacing w:line="240" w:lineRule="auto"/>
                    <w:jc w:val="center"/>
                    <w:rPr>
                      <w:rFonts w:ascii="Times New Roman" w:hAnsi="Times New Roman"/>
                      <w:sz w:val="21"/>
                      <w:szCs w:val="21"/>
                    </w:rPr>
                  </w:pPr>
                  <w:r w:rsidRPr="00890C68">
                    <w:rPr>
                      <w:rFonts w:ascii="Times New Roman" w:hAnsi="Times New Roman"/>
                      <w:sz w:val="21"/>
                      <w:szCs w:val="21"/>
                    </w:rPr>
                    <w:t>zdyskontowane na 1 stycznia 2019 r.)</w:t>
                  </w:r>
                </w:p>
              </w:tc>
              <w:tc>
                <w:tcPr>
                  <w:tcW w:w="2096" w:type="dxa"/>
                  <w:shd w:val="clear" w:color="auto" w:fill="FFFFFF"/>
                </w:tcPr>
                <w:p w:rsidR="000528E6" w:rsidRPr="00890C68" w:rsidRDefault="000528E6" w:rsidP="000528E6">
                  <w:pPr>
                    <w:spacing w:line="240" w:lineRule="auto"/>
                    <w:jc w:val="center"/>
                    <w:rPr>
                      <w:rFonts w:ascii="Times New Roman" w:hAnsi="Times New Roman"/>
                      <w:sz w:val="21"/>
                      <w:szCs w:val="21"/>
                    </w:rPr>
                  </w:pPr>
                  <w:r w:rsidRPr="00890C68">
                    <w:rPr>
                      <w:rFonts w:ascii="Times New Roman" w:hAnsi="Times New Roman"/>
                      <w:sz w:val="21"/>
                      <w:szCs w:val="21"/>
                    </w:rPr>
                    <w:t xml:space="preserve">Przedsiębiorstwa </w:t>
                  </w:r>
                </w:p>
                <w:p w:rsidR="000528E6" w:rsidRPr="00890C68" w:rsidRDefault="000528E6" w:rsidP="000528E6">
                  <w:pPr>
                    <w:spacing w:line="240" w:lineRule="auto"/>
                    <w:jc w:val="center"/>
                    <w:rPr>
                      <w:rFonts w:ascii="Times New Roman" w:hAnsi="Times New Roman"/>
                      <w:sz w:val="21"/>
                      <w:szCs w:val="21"/>
                    </w:rPr>
                  </w:pPr>
                  <w:r w:rsidRPr="00890C68">
                    <w:rPr>
                      <w:rFonts w:ascii="Times New Roman" w:hAnsi="Times New Roman"/>
                      <w:sz w:val="21"/>
                      <w:szCs w:val="21"/>
                    </w:rPr>
                    <w:t>(w tym MŚP)</w:t>
                  </w:r>
                </w:p>
              </w:tc>
              <w:tc>
                <w:tcPr>
                  <w:tcW w:w="739" w:type="dxa"/>
                  <w:shd w:val="clear" w:color="auto" w:fill="FFFFFF"/>
                  <w:vAlign w:val="center"/>
                </w:tcPr>
                <w:p w:rsidR="000528E6" w:rsidRPr="00890C68" w:rsidRDefault="000528E6" w:rsidP="000528E6">
                  <w:pPr>
                    <w:jc w:val="center"/>
                    <w:rPr>
                      <w:rFonts w:ascii="Times New Roman" w:hAnsi="Times New Roman"/>
                      <w:color w:val="000000"/>
                      <w:sz w:val="21"/>
                      <w:szCs w:val="21"/>
                    </w:rPr>
                  </w:pPr>
                  <w:r w:rsidRPr="00890C68">
                    <w:rPr>
                      <w:rFonts w:ascii="Times New Roman" w:hAnsi="Times New Roman"/>
                      <w:color w:val="000000"/>
                      <w:sz w:val="21"/>
                      <w:szCs w:val="21"/>
                    </w:rPr>
                    <w:t>0,0</w:t>
                  </w:r>
                </w:p>
              </w:tc>
              <w:tc>
                <w:tcPr>
                  <w:tcW w:w="850" w:type="dxa"/>
                  <w:shd w:val="clear" w:color="auto" w:fill="FFFFFF"/>
                  <w:vAlign w:val="center"/>
                </w:tcPr>
                <w:p w:rsidR="000528E6" w:rsidRPr="00890C68" w:rsidRDefault="000528E6" w:rsidP="000528E6">
                  <w:pPr>
                    <w:jc w:val="center"/>
                    <w:rPr>
                      <w:rFonts w:ascii="Times New Roman" w:hAnsi="Times New Roman"/>
                      <w:color w:val="000000"/>
                      <w:sz w:val="21"/>
                      <w:szCs w:val="21"/>
                    </w:rPr>
                  </w:pPr>
                  <w:r w:rsidRPr="00890C68">
                    <w:rPr>
                      <w:rFonts w:ascii="Times New Roman" w:hAnsi="Times New Roman"/>
                      <w:color w:val="000000"/>
                      <w:sz w:val="21"/>
                      <w:szCs w:val="21"/>
                    </w:rPr>
                    <w:t>- 0,5</w:t>
                  </w:r>
                </w:p>
              </w:tc>
              <w:tc>
                <w:tcPr>
                  <w:tcW w:w="851" w:type="dxa"/>
                  <w:shd w:val="clear" w:color="auto" w:fill="FFFFFF"/>
                  <w:vAlign w:val="center"/>
                </w:tcPr>
                <w:p w:rsidR="000528E6" w:rsidRPr="00890C68" w:rsidRDefault="000528E6" w:rsidP="000528E6">
                  <w:pPr>
                    <w:jc w:val="center"/>
                    <w:rPr>
                      <w:rFonts w:ascii="Times New Roman" w:hAnsi="Times New Roman"/>
                      <w:color w:val="000000"/>
                      <w:sz w:val="21"/>
                      <w:szCs w:val="21"/>
                    </w:rPr>
                  </w:pPr>
                  <w:r w:rsidRPr="00890C68">
                    <w:rPr>
                      <w:rFonts w:ascii="Times New Roman" w:hAnsi="Times New Roman"/>
                      <w:color w:val="000000"/>
                      <w:sz w:val="21"/>
                      <w:szCs w:val="21"/>
                    </w:rPr>
                    <w:t>- 0,7</w:t>
                  </w:r>
                </w:p>
              </w:tc>
              <w:tc>
                <w:tcPr>
                  <w:tcW w:w="850" w:type="dxa"/>
                  <w:shd w:val="clear" w:color="auto" w:fill="FFFFFF"/>
                  <w:vAlign w:val="center"/>
                </w:tcPr>
                <w:p w:rsidR="000528E6" w:rsidRPr="00890C68" w:rsidRDefault="000528E6" w:rsidP="000528E6">
                  <w:pPr>
                    <w:rPr>
                      <w:rFonts w:ascii="Times New Roman" w:hAnsi="Times New Roman"/>
                      <w:color w:val="000000"/>
                      <w:sz w:val="21"/>
                      <w:szCs w:val="21"/>
                    </w:rPr>
                  </w:pPr>
                  <w:r w:rsidRPr="00890C68">
                    <w:rPr>
                      <w:rFonts w:ascii="Times New Roman" w:hAnsi="Times New Roman"/>
                      <w:color w:val="000000"/>
                      <w:sz w:val="21"/>
                      <w:szCs w:val="21"/>
                    </w:rPr>
                    <w:t>- 1,1</w:t>
                  </w:r>
                </w:p>
              </w:tc>
              <w:tc>
                <w:tcPr>
                  <w:tcW w:w="993" w:type="dxa"/>
                  <w:shd w:val="clear" w:color="auto" w:fill="FFFFFF"/>
                  <w:vAlign w:val="center"/>
                </w:tcPr>
                <w:p w:rsidR="000528E6" w:rsidRPr="00890C68" w:rsidRDefault="000528E6" w:rsidP="000528E6">
                  <w:pPr>
                    <w:jc w:val="center"/>
                    <w:rPr>
                      <w:rFonts w:ascii="Times New Roman" w:hAnsi="Times New Roman"/>
                      <w:color w:val="000000"/>
                      <w:sz w:val="21"/>
                      <w:szCs w:val="21"/>
                    </w:rPr>
                  </w:pPr>
                  <w:r w:rsidRPr="00890C68">
                    <w:rPr>
                      <w:rFonts w:ascii="Times New Roman" w:hAnsi="Times New Roman"/>
                      <w:color w:val="000000"/>
                      <w:sz w:val="21"/>
                      <w:szCs w:val="21"/>
                    </w:rPr>
                    <w:t>15,1</w:t>
                  </w:r>
                </w:p>
              </w:tc>
              <w:tc>
                <w:tcPr>
                  <w:tcW w:w="992" w:type="dxa"/>
                  <w:shd w:val="clear" w:color="auto" w:fill="FFFFFF"/>
                  <w:vAlign w:val="center"/>
                </w:tcPr>
                <w:p w:rsidR="000528E6" w:rsidRPr="00890C68" w:rsidRDefault="000528E6" w:rsidP="000528E6">
                  <w:pPr>
                    <w:jc w:val="center"/>
                    <w:rPr>
                      <w:rFonts w:ascii="Times New Roman" w:hAnsi="Times New Roman"/>
                      <w:color w:val="000000"/>
                      <w:sz w:val="21"/>
                      <w:szCs w:val="21"/>
                    </w:rPr>
                  </w:pPr>
                  <w:r w:rsidRPr="00890C68">
                    <w:rPr>
                      <w:rFonts w:ascii="Times New Roman" w:hAnsi="Times New Roman"/>
                      <w:color w:val="000000"/>
                      <w:sz w:val="21"/>
                      <w:szCs w:val="21"/>
                    </w:rPr>
                    <w:t>30,2</w:t>
                  </w:r>
                </w:p>
              </w:tc>
              <w:tc>
                <w:tcPr>
                  <w:tcW w:w="850" w:type="dxa"/>
                  <w:shd w:val="clear" w:color="auto" w:fill="FFFFFF"/>
                  <w:vAlign w:val="center"/>
                </w:tcPr>
                <w:p w:rsidR="000528E6" w:rsidRPr="00890C68" w:rsidRDefault="000528E6" w:rsidP="000528E6">
                  <w:pPr>
                    <w:jc w:val="center"/>
                    <w:rPr>
                      <w:rFonts w:ascii="Times New Roman" w:hAnsi="Times New Roman"/>
                      <w:color w:val="000000"/>
                      <w:sz w:val="21"/>
                      <w:szCs w:val="21"/>
                    </w:rPr>
                  </w:pPr>
                  <w:r w:rsidRPr="00890C68">
                    <w:rPr>
                      <w:rFonts w:ascii="Times New Roman" w:hAnsi="Times New Roman"/>
                      <w:color w:val="000000"/>
                      <w:sz w:val="21"/>
                      <w:szCs w:val="21"/>
                    </w:rPr>
                    <w:t>29,8</w:t>
                  </w:r>
                </w:p>
              </w:tc>
              <w:tc>
                <w:tcPr>
                  <w:tcW w:w="1105" w:type="dxa"/>
                  <w:shd w:val="clear" w:color="auto" w:fill="FFFFFF"/>
                  <w:vAlign w:val="center"/>
                </w:tcPr>
                <w:p w:rsidR="000528E6" w:rsidRPr="00890C68" w:rsidRDefault="000528E6" w:rsidP="000528E6">
                  <w:pPr>
                    <w:jc w:val="center"/>
                    <w:rPr>
                      <w:rFonts w:ascii="Times New Roman" w:hAnsi="Times New Roman"/>
                      <w:b/>
                      <w:bCs/>
                      <w:color w:val="000000"/>
                      <w:sz w:val="21"/>
                      <w:szCs w:val="21"/>
                    </w:rPr>
                  </w:pPr>
                  <w:r w:rsidRPr="00890C68">
                    <w:rPr>
                      <w:rFonts w:ascii="Times New Roman" w:hAnsi="Times New Roman"/>
                      <w:b/>
                      <w:bCs/>
                      <w:color w:val="000000"/>
                      <w:sz w:val="21"/>
                      <w:szCs w:val="21"/>
                    </w:rPr>
                    <w:t>305,8</w:t>
                  </w:r>
                </w:p>
              </w:tc>
            </w:tr>
            <w:tr w:rsidR="007A0BFF" w:rsidRPr="00890C68" w:rsidTr="00623560">
              <w:trPr>
                <w:gridAfter w:val="1"/>
                <w:wAfter w:w="16" w:type="dxa"/>
                <w:trHeight w:val="724"/>
              </w:trPr>
              <w:tc>
                <w:tcPr>
                  <w:tcW w:w="1590" w:type="dxa"/>
                  <w:vMerge/>
                  <w:shd w:val="clear" w:color="auto" w:fill="FFFFFF"/>
                </w:tcPr>
                <w:p w:rsidR="007A0BFF" w:rsidRPr="00890C68" w:rsidRDefault="007A0BFF" w:rsidP="007A0BFF">
                  <w:pPr>
                    <w:spacing w:line="240" w:lineRule="auto"/>
                    <w:jc w:val="center"/>
                    <w:rPr>
                      <w:rFonts w:ascii="Times New Roman" w:hAnsi="Times New Roman"/>
                      <w:sz w:val="21"/>
                      <w:szCs w:val="21"/>
                    </w:rPr>
                  </w:pPr>
                </w:p>
              </w:tc>
              <w:tc>
                <w:tcPr>
                  <w:tcW w:w="2096" w:type="dxa"/>
                  <w:shd w:val="clear" w:color="auto" w:fill="FFFFFF"/>
                </w:tcPr>
                <w:p w:rsidR="007A0BFF" w:rsidRPr="00890C68" w:rsidRDefault="007A0BFF" w:rsidP="007A0BFF">
                  <w:pPr>
                    <w:spacing w:line="240" w:lineRule="auto"/>
                    <w:jc w:val="center"/>
                    <w:rPr>
                      <w:rFonts w:ascii="Times New Roman" w:hAnsi="Times New Roman"/>
                      <w:sz w:val="21"/>
                      <w:szCs w:val="21"/>
                    </w:rPr>
                  </w:pPr>
                  <w:r w:rsidRPr="00890C68">
                    <w:rPr>
                      <w:rFonts w:ascii="Times New Roman" w:hAnsi="Times New Roman"/>
                      <w:sz w:val="21"/>
                      <w:szCs w:val="21"/>
                    </w:rPr>
                    <w:t>rodzina, obywatele oraz gospodarstwa domowe</w:t>
                  </w:r>
                </w:p>
              </w:tc>
              <w:tc>
                <w:tcPr>
                  <w:tcW w:w="739" w:type="dxa"/>
                  <w:shd w:val="clear" w:color="auto" w:fill="FFFFFF"/>
                  <w:vAlign w:val="center"/>
                </w:tcPr>
                <w:p w:rsidR="007A0BFF" w:rsidRPr="00890C68" w:rsidRDefault="007A0BFF" w:rsidP="007A0BFF">
                  <w:pPr>
                    <w:jc w:val="center"/>
                    <w:rPr>
                      <w:rFonts w:ascii="Times New Roman" w:hAnsi="Times New Roman"/>
                      <w:color w:val="FF0000"/>
                      <w:sz w:val="21"/>
                      <w:szCs w:val="21"/>
                    </w:rPr>
                  </w:pPr>
                  <w:r w:rsidRPr="00890C68">
                    <w:rPr>
                      <w:rFonts w:ascii="Times New Roman" w:hAnsi="Times New Roman"/>
                      <w:color w:val="000000"/>
                      <w:sz w:val="21"/>
                      <w:szCs w:val="21"/>
                    </w:rPr>
                    <w:t>0,0</w:t>
                  </w:r>
                </w:p>
              </w:tc>
              <w:tc>
                <w:tcPr>
                  <w:tcW w:w="850" w:type="dxa"/>
                  <w:shd w:val="clear" w:color="auto" w:fill="FFFFFF"/>
                  <w:vAlign w:val="center"/>
                </w:tcPr>
                <w:p w:rsidR="007A0BFF" w:rsidRPr="00890C68" w:rsidRDefault="007A0BFF" w:rsidP="007A0BFF">
                  <w:pPr>
                    <w:jc w:val="center"/>
                    <w:rPr>
                      <w:rFonts w:ascii="Times New Roman" w:hAnsi="Times New Roman"/>
                      <w:color w:val="FF0000"/>
                      <w:sz w:val="21"/>
                      <w:szCs w:val="21"/>
                    </w:rPr>
                  </w:pPr>
                  <w:r w:rsidRPr="00890C68">
                    <w:rPr>
                      <w:rFonts w:ascii="Times New Roman" w:hAnsi="Times New Roman"/>
                      <w:color w:val="000000"/>
                      <w:sz w:val="21"/>
                      <w:szCs w:val="21"/>
                    </w:rPr>
                    <w:t>- 6,6</w:t>
                  </w:r>
                </w:p>
              </w:tc>
              <w:tc>
                <w:tcPr>
                  <w:tcW w:w="851" w:type="dxa"/>
                  <w:shd w:val="clear" w:color="auto" w:fill="FFFFFF"/>
                  <w:vAlign w:val="center"/>
                </w:tcPr>
                <w:p w:rsidR="007A0BFF" w:rsidRPr="00890C68" w:rsidRDefault="007A0BFF" w:rsidP="007A0BFF">
                  <w:pPr>
                    <w:jc w:val="center"/>
                    <w:rPr>
                      <w:rFonts w:ascii="Times New Roman" w:hAnsi="Times New Roman"/>
                      <w:color w:val="FF0000"/>
                      <w:sz w:val="21"/>
                      <w:szCs w:val="21"/>
                    </w:rPr>
                  </w:pPr>
                  <w:r w:rsidRPr="00890C68">
                    <w:rPr>
                      <w:rFonts w:ascii="Times New Roman" w:hAnsi="Times New Roman"/>
                      <w:color w:val="000000"/>
                      <w:sz w:val="21"/>
                      <w:szCs w:val="21"/>
                    </w:rPr>
                    <w:t>- 8,6</w:t>
                  </w:r>
                </w:p>
              </w:tc>
              <w:tc>
                <w:tcPr>
                  <w:tcW w:w="850" w:type="dxa"/>
                  <w:shd w:val="clear" w:color="auto" w:fill="FFFFFF"/>
                  <w:vAlign w:val="center"/>
                </w:tcPr>
                <w:p w:rsidR="007A0BFF" w:rsidRPr="00890C68" w:rsidRDefault="007A0BFF" w:rsidP="007A0BFF">
                  <w:pPr>
                    <w:jc w:val="center"/>
                    <w:rPr>
                      <w:rFonts w:ascii="Times New Roman" w:hAnsi="Times New Roman"/>
                      <w:color w:val="FF0000"/>
                      <w:sz w:val="21"/>
                      <w:szCs w:val="21"/>
                    </w:rPr>
                  </w:pPr>
                  <w:r w:rsidRPr="00890C68">
                    <w:rPr>
                      <w:rFonts w:ascii="Times New Roman" w:hAnsi="Times New Roman"/>
                      <w:color w:val="000000"/>
                      <w:sz w:val="21"/>
                      <w:szCs w:val="21"/>
                    </w:rPr>
                    <w:t>- 14,0</w:t>
                  </w:r>
                </w:p>
              </w:tc>
              <w:tc>
                <w:tcPr>
                  <w:tcW w:w="993" w:type="dxa"/>
                  <w:shd w:val="clear" w:color="auto" w:fill="FFFFFF"/>
                  <w:vAlign w:val="center"/>
                </w:tcPr>
                <w:p w:rsidR="007A0BFF" w:rsidRPr="00890C68" w:rsidRDefault="007A0BFF" w:rsidP="007A0BFF">
                  <w:pPr>
                    <w:jc w:val="center"/>
                    <w:rPr>
                      <w:rFonts w:ascii="Times New Roman" w:hAnsi="Times New Roman"/>
                      <w:color w:val="000000"/>
                      <w:sz w:val="21"/>
                      <w:szCs w:val="21"/>
                    </w:rPr>
                  </w:pPr>
                  <w:r w:rsidRPr="00890C68">
                    <w:rPr>
                      <w:rFonts w:ascii="Times New Roman" w:hAnsi="Times New Roman"/>
                      <w:color w:val="000000"/>
                      <w:sz w:val="21"/>
                      <w:szCs w:val="21"/>
                    </w:rPr>
                    <w:t>187,9</w:t>
                  </w:r>
                </w:p>
              </w:tc>
              <w:tc>
                <w:tcPr>
                  <w:tcW w:w="992" w:type="dxa"/>
                  <w:shd w:val="clear" w:color="auto" w:fill="FFFFFF"/>
                  <w:vAlign w:val="center"/>
                </w:tcPr>
                <w:p w:rsidR="007A0BFF" w:rsidRPr="00890C68" w:rsidRDefault="007A0BFF" w:rsidP="007A0BFF">
                  <w:pPr>
                    <w:jc w:val="center"/>
                    <w:rPr>
                      <w:rFonts w:ascii="Times New Roman" w:hAnsi="Times New Roman"/>
                      <w:color w:val="000000"/>
                      <w:sz w:val="21"/>
                      <w:szCs w:val="21"/>
                    </w:rPr>
                  </w:pPr>
                  <w:r w:rsidRPr="00890C68">
                    <w:rPr>
                      <w:rFonts w:ascii="Times New Roman" w:hAnsi="Times New Roman"/>
                      <w:color w:val="000000"/>
                      <w:sz w:val="21"/>
                      <w:szCs w:val="21"/>
                    </w:rPr>
                    <w:t>376,4</w:t>
                  </w:r>
                </w:p>
              </w:tc>
              <w:tc>
                <w:tcPr>
                  <w:tcW w:w="850" w:type="dxa"/>
                  <w:shd w:val="clear" w:color="auto" w:fill="FFFFFF"/>
                  <w:vAlign w:val="center"/>
                </w:tcPr>
                <w:p w:rsidR="007A0BFF" w:rsidRPr="00890C68" w:rsidRDefault="000528E6" w:rsidP="007A0BFF">
                  <w:pPr>
                    <w:jc w:val="center"/>
                    <w:rPr>
                      <w:rFonts w:ascii="Times New Roman" w:hAnsi="Times New Roman"/>
                      <w:color w:val="000000"/>
                      <w:sz w:val="21"/>
                      <w:szCs w:val="21"/>
                    </w:rPr>
                  </w:pPr>
                  <w:r w:rsidRPr="00890C68">
                    <w:rPr>
                      <w:rFonts w:ascii="Times New Roman" w:hAnsi="Times New Roman"/>
                      <w:color w:val="000000"/>
                      <w:sz w:val="21"/>
                      <w:szCs w:val="21"/>
                    </w:rPr>
                    <w:t>372,2</w:t>
                  </w:r>
                </w:p>
              </w:tc>
              <w:tc>
                <w:tcPr>
                  <w:tcW w:w="1105" w:type="dxa"/>
                  <w:shd w:val="clear" w:color="auto" w:fill="FFFFFF"/>
                  <w:vAlign w:val="center"/>
                </w:tcPr>
                <w:p w:rsidR="007A0BFF" w:rsidRPr="00890C68" w:rsidRDefault="000528E6" w:rsidP="007A0BFF">
                  <w:pPr>
                    <w:jc w:val="center"/>
                    <w:rPr>
                      <w:rFonts w:ascii="Times New Roman" w:hAnsi="Times New Roman"/>
                      <w:b/>
                      <w:bCs/>
                      <w:color w:val="000000"/>
                      <w:sz w:val="21"/>
                      <w:szCs w:val="21"/>
                    </w:rPr>
                  </w:pPr>
                  <w:r w:rsidRPr="00890C68">
                    <w:rPr>
                      <w:rFonts w:ascii="Times New Roman" w:hAnsi="Times New Roman"/>
                      <w:b/>
                      <w:bCs/>
                      <w:color w:val="000000"/>
                      <w:sz w:val="21"/>
                      <w:szCs w:val="21"/>
                    </w:rPr>
                    <w:t>3813,4</w:t>
                  </w:r>
                </w:p>
              </w:tc>
            </w:tr>
            <w:tr w:rsidR="0006177E" w:rsidRPr="00890C68" w:rsidTr="00524B67">
              <w:trPr>
                <w:gridAfter w:val="1"/>
                <w:wAfter w:w="16" w:type="dxa"/>
                <w:trHeight w:val="142"/>
              </w:trPr>
              <w:tc>
                <w:tcPr>
                  <w:tcW w:w="1590" w:type="dxa"/>
                  <w:shd w:val="clear" w:color="auto" w:fill="FFFFFF"/>
                </w:tcPr>
                <w:p w:rsidR="0006177E" w:rsidRPr="00890C68" w:rsidRDefault="0006177E" w:rsidP="00524B67">
                  <w:pPr>
                    <w:spacing w:line="240" w:lineRule="auto"/>
                    <w:jc w:val="center"/>
                    <w:rPr>
                      <w:rFonts w:ascii="Times New Roman" w:hAnsi="Times New Roman"/>
                      <w:sz w:val="21"/>
                      <w:szCs w:val="21"/>
                      <w:highlight w:val="yellow"/>
                    </w:rPr>
                  </w:pPr>
                  <w:r w:rsidRPr="00890C68">
                    <w:rPr>
                      <w:rFonts w:ascii="Times New Roman" w:hAnsi="Times New Roman"/>
                      <w:sz w:val="21"/>
                      <w:szCs w:val="21"/>
                    </w:rPr>
                    <w:t>W ujęciu niepieniężnym</w:t>
                  </w:r>
                </w:p>
              </w:tc>
              <w:tc>
                <w:tcPr>
                  <w:tcW w:w="2096" w:type="dxa"/>
                  <w:shd w:val="clear" w:color="auto" w:fill="FFFFFF"/>
                </w:tcPr>
                <w:p w:rsidR="0006177E" w:rsidRPr="00890C68" w:rsidRDefault="0006177E" w:rsidP="00524B67">
                  <w:pPr>
                    <w:tabs>
                      <w:tab w:val="right" w:pos="1936"/>
                    </w:tabs>
                    <w:spacing w:line="240" w:lineRule="auto"/>
                    <w:jc w:val="center"/>
                    <w:rPr>
                      <w:rFonts w:ascii="Times New Roman" w:hAnsi="Times New Roman"/>
                      <w:sz w:val="21"/>
                      <w:szCs w:val="21"/>
                    </w:rPr>
                  </w:pPr>
                  <w:r w:rsidRPr="00890C68">
                    <w:rPr>
                      <w:rFonts w:ascii="Times New Roman" w:hAnsi="Times New Roman"/>
                      <w:sz w:val="21"/>
                      <w:szCs w:val="21"/>
                    </w:rPr>
                    <w:t>Odbiorcy energii elektrycznej - gospodarstwa domowe</w:t>
                  </w:r>
                </w:p>
              </w:tc>
              <w:tc>
                <w:tcPr>
                  <w:tcW w:w="7230" w:type="dxa"/>
                  <w:gridSpan w:val="8"/>
                  <w:shd w:val="clear" w:color="auto" w:fill="FFFFFF"/>
                </w:tcPr>
                <w:p w:rsidR="0006177E" w:rsidRPr="00890C68" w:rsidRDefault="0006177E" w:rsidP="0006177E">
                  <w:pPr>
                    <w:spacing w:line="240" w:lineRule="auto"/>
                    <w:ind w:hanging="99"/>
                    <w:jc w:val="both"/>
                    <w:rPr>
                      <w:rFonts w:ascii="Times New Roman" w:hAnsi="Times New Roman"/>
                      <w:spacing w:val="-2"/>
                      <w:sz w:val="21"/>
                      <w:szCs w:val="21"/>
                    </w:rPr>
                  </w:pPr>
                  <w:r w:rsidRPr="00890C68">
                    <w:rPr>
                      <w:rFonts w:ascii="Times New Roman" w:hAnsi="Times New Roman"/>
                      <w:spacing w:val="-2"/>
                      <w:sz w:val="21"/>
                      <w:szCs w:val="21"/>
                    </w:rPr>
                    <w:t>Do najważniejszych korzyści, jakie osiągnie odbiorca energii elektrycznej należy zaliczyć:</w:t>
                  </w:r>
                </w:p>
                <w:p w:rsidR="0006177E" w:rsidRPr="00890C68" w:rsidRDefault="0006177E" w:rsidP="0006177E">
                  <w:pPr>
                    <w:pStyle w:val="Akapitzlist"/>
                    <w:numPr>
                      <w:ilvl w:val="0"/>
                      <w:numId w:val="23"/>
                    </w:numPr>
                    <w:spacing w:line="240" w:lineRule="auto"/>
                    <w:jc w:val="both"/>
                    <w:rPr>
                      <w:rFonts w:ascii="Times New Roman" w:hAnsi="Times New Roman"/>
                      <w:spacing w:val="-2"/>
                      <w:sz w:val="21"/>
                      <w:szCs w:val="21"/>
                    </w:rPr>
                  </w:pPr>
                  <w:r w:rsidRPr="00890C68">
                    <w:rPr>
                      <w:rFonts w:ascii="Times New Roman" w:hAnsi="Times New Roman"/>
                      <w:spacing w:val="-2"/>
                      <w:sz w:val="21"/>
                      <w:szCs w:val="21"/>
                    </w:rPr>
                    <w:t>Bieżący dostęp do danych o zużyciu energii elektrycznej, co umożliwi:</w:t>
                  </w:r>
                </w:p>
                <w:p w:rsidR="0006177E" w:rsidRPr="00890C68" w:rsidRDefault="0006177E" w:rsidP="0006177E">
                  <w:pPr>
                    <w:pStyle w:val="Akapitzlist"/>
                    <w:numPr>
                      <w:ilvl w:val="0"/>
                      <w:numId w:val="24"/>
                    </w:numPr>
                    <w:spacing w:line="240" w:lineRule="auto"/>
                    <w:jc w:val="both"/>
                    <w:rPr>
                      <w:rFonts w:ascii="Times New Roman" w:hAnsi="Times New Roman"/>
                      <w:spacing w:val="-2"/>
                      <w:sz w:val="21"/>
                      <w:szCs w:val="21"/>
                    </w:rPr>
                  </w:pPr>
                  <w:r w:rsidRPr="00890C68">
                    <w:rPr>
                      <w:rFonts w:ascii="Times New Roman" w:hAnsi="Times New Roman"/>
                      <w:spacing w:val="-2"/>
                      <w:sz w:val="21"/>
                      <w:szCs w:val="21"/>
                    </w:rPr>
                    <w:t>optymalne zarządzanie zużyciem energii elektrycznej,</w:t>
                  </w:r>
                </w:p>
                <w:p w:rsidR="0006177E" w:rsidRPr="00890C68" w:rsidRDefault="0006177E" w:rsidP="0006177E">
                  <w:pPr>
                    <w:pStyle w:val="Akapitzlist"/>
                    <w:numPr>
                      <w:ilvl w:val="0"/>
                      <w:numId w:val="24"/>
                    </w:numPr>
                    <w:spacing w:line="240" w:lineRule="auto"/>
                    <w:jc w:val="both"/>
                    <w:rPr>
                      <w:rFonts w:ascii="Times New Roman" w:hAnsi="Times New Roman"/>
                      <w:spacing w:val="-2"/>
                      <w:sz w:val="21"/>
                      <w:szCs w:val="21"/>
                    </w:rPr>
                  </w:pPr>
                  <w:r w:rsidRPr="00890C68">
                    <w:rPr>
                      <w:rFonts w:ascii="Times New Roman" w:hAnsi="Times New Roman"/>
                      <w:spacing w:val="-2"/>
                      <w:sz w:val="21"/>
                      <w:szCs w:val="21"/>
                    </w:rPr>
                    <w:t>analizę danych i świadome korzystanie z energii elektrycznej,</w:t>
                  </w:r>
                </w:p>
                <w:p w:rsidR="0006177E" w:rsidRPr="00890C68" w:rsidRDefault="0006177E" w:rsidP="0006177E">
                  <w:pPr>
                    <w:pStyle w:val="Akapitzlist"/>
                    <w:numPr>
                      <w:ilvl w:val="0"/>
                      <w:numId w:val="24"/>
                    </w:numPr>
                    <w:spacing w:line="240" w:lineRule="auto"/>
                    <w:jc w:val="both"/>
                    <w:rPr>
                      <w:rFonts w:ascii="Times New Roman" w:hAnsi="Times New Roman"/>
                      <w:spacing w:val="-2"/>
                      <w:sz w:val="21"/>
                      <w:szCs w:val="21"/>
                    </w:rPr>
                  </w:pPr>
                  <w:r w:rsidRPr="00890C68">
                    <w:rPr>
                      <w:rFonts w:ascii="Times New Roman" w:hAnsi="Times New Roman"/>
                      <w:spacing w:val="-2"/>
                      <w:sz w:val="21"/>
                      <w:szCs w:val="21"/>
                    </w:rPr>
                    <w:t>w przypadku odbiorców uboższych lub wrażliwych możliwość elastycznego dostosowania bieżącego zużycia do posiadanych zasobów;</w:t>
                  </w:r>
                </w:p>
                <w:p w:rsidR="0006177E" w:rsidRPr="00890C68" w:rsidRDefault="0006177E" w:rsidP="0006177E">
                  <w:pPr>
                    <w:pStyle w:val="Akapitzlist"/>
                    <w:numPr>
                      <w:ilvl w:val="0"/>
                      <w:numId w:val="23"/>
                    </w:numPr>
                    <w:spacing w:line="240" w:lineRule="auto"/>
                    <w:jc w:val="both"/>
                    <w:rPr>
                      <w:rFonts w:ascii="Times New Roman" w:hAnsi="Times New Roman"/>
                      <w:spacing w:val="-2"/>
                      <w:sz w:val="21"/>
                      <w:szCs w:val="21"/>
                    </w:rPr>
                  </w:pPr>
                  <w:r w:rsidRPr="00890C68">
                    <w:rPr>
                      <w:rFonts w:ascii="Times New Roman" w:hAnsi="Times New Roman"/>
                      <w:spacing w:val="-2"/>
                      <w:sz w:val="21"/>
                      <w:szCs w:val="21"/>
                    </w:rPr>
                    <w:t xml:space="preserve">Odpowiedź na </w:t>
                  </w:r>
                  <w:r w:rsidRPr="00890C68">
                    <w:rPr>
                      <w:rFonts w:ascii="Times New Roman" w:hAnsi="Times New Roman"/>
                      <w:sz w:val="21"/>
                      <w:szCs w:val="21"/>
                    </w:rPr>
                    <w:t xml:space="preserve">indywidualne potrzeby klienta poprzez </w:t>
                  </w:r>
                  <w:r w:rsidR="00930DAD" w:rsidRPr="00890C68">
                    <w:rPr>
                      <w:rFonts w:ascii="Times New Roman" w:hAnsi="Times New Roman"/>
                      <w:sz w:val="21"/>
                      <w:szCs w:val="21"/>
                    </w:rPr>
                    <w:t xml:space="preserve">-wzrost zróżnicowania </w:t>
                  </w:r>
                  <w:r w:rsidRPr="00890C68">
                    <w:rPr>
                      <w:rFonts w:ascii="Times New Roman" w:hAnsi="Times New Roman"/>
                      <w:sz w:val="21"/>
                      <w:szCs w:val="21"/>
                    </w:rPr>
                    <w:t>taryf  a tym samym zapewnienie konsumentowi możliwości aktywnego uczestnictwa w rynku;</w:t>
                  </w:r>
                </w:p>
                <w:p w:rsidR="0006177E" w:rsidRPr="00890C68" w:rsidRDefault="0006177E" w:rsidP="0006177E">
                  <w:pPr>
                    <w:pStyle w:val="Akapitzlist"/>
                    <w:numPr>
                      <w:ilvl w:val="0"/>
                      <w:numId w:val="23"/>
                    </w:numPr>
                    <w:spacing w:line="240" w:lineRule="auto"/>
                    <w:jc w:val="both"/>
                    <w:rPr>
                      <w:rFonts w:ascii="Times New Roman" w:hAnsi="Times New Roman"/>
                      <w:spacing w:val="-2"/>
                      <w:sz w:val="21"/>
                      <w:szCs w:val="21"/>
                    </w:rPr>
                  </w:pPr>
                  <w:r w:rsidRPr="00890C68">
                    <w:rPr>
                      <w:rFonts w:ascii="Times New Roman" w:hAnsi="Times New Roman"/>
                      <w:spacing w:val="-2"/>
                      <w:sz w:val="21"/>
                      <w:szCs w:val="21"/>
                    </w:rPr>
                    <w:t>Poprawa parametrów jakościowych pobieranej energii elektrycznej;</w:t>
                  </w:r>
                </w:p>
                <w:p w:rsidR="0006177E" w:rsidRPr="00890C68" w:rsidRDefault="0006177E" w:rsidP="0006177E">
                  <w:pPr>
                    <w:pStyle w:val="Akapitzlist"/>
                    <w:numPr>
                      <w:ilvl w:val="0"/>
                      <w:numId w:val="23"/>
                    </w:numPr>
                    <w:spacing w:line="240" w:lineRule="auto"/>
                    <w:jc w:val="both"/>
                    <w:rPr>
                      <w:rFonts w:ascii="Times New Roman" w:hAnsi="Times New Roman"/>
                      <w:sz w:val="21"/>
                      <w:szCs w:val="21"/>
                    </w:rPr>
                  </w:pPr>
                  <w:r w:rsidRPr="00890C68">
                    <w:rPr>
                      <w:rFonts w:ascii="Times New Roman" w:hAnsi="Times New Roman"/>
                      <w:spacing w:val="-2"/>
                      <w:sz w:val="21"/>
                      <w:szCs w:val="21"/>
                    </w:rPr>
                    <w:lastRenderedPageBreak/>
                    <w:t>Uproszczenie i skrócenie procedury zmiany sprzedawcy energii elektrycznej</w:t>
                  </w:r>
                  <w:r w:rsidRPr="00890C68">
                    <w:rPr>
                      <w:rFonts w:ascii="Times New Roman" w:hAnsi="Times New Roman"/>
                      <w:sz w:val="21"/>
                      <w:szCs w:val="21"/>
                    </w:rPr>
                    <w:t xml:space="preserve"> - łatwość i krótki czas trwania procedury zmiany sprzedawcy zaktywizuje konsumentów </w:t>
                  </w:r>
                </w:p>
                <w:p w:rsidR="0006177E" w:rsidRPr="00890C68" w:rsidRDefault="0006177E" w:rsidP="0006177E">
                  <w:pPr>
                    <w:numPr>
                      <w:ilvl w:val="0"/>
                      <w:numId w:val="23"/>
                    </w:numPr>
                    <w:spacing w:line="240" w:lineRule="auto"/>
                    <w:jc w:val="both"/>
                    <w:rPr>
                      <w:rFonts w:ascii="Times New Roman" w:hAnsi="Times New Roman"/>
                      <w:color w:val="000000"/>
                      <w:spacing w:val="-2"/>
                      <w:sz w:val="21"/>
                      <w:szCs w:val="21"/>
                    </w:rPr>
                  </w:pPr>
                  <w:r w:rsidRPr="00890C68">
                    <w:rPr>
                      <w:rFonts w:ascii="Times New Roman" w:hAnsi="Times New Roman"/>
                      <w:spacing w:val="-2"/>
                      <w:sz w:val="21"/>
                      <w:szCs w:val="21"/>
                    </w:rPr>
                    <w:t>Stworzenie potencjału do rozwoju mikro-generacji oraz podłączenia do sieci dodatkowych urządzeń.</w:t>
                  </w:r>
                </w:p>
              </w:tc>
            </w:tr>
            <w:tr w:rsidR="0006177E" w:rsidRPr="00890C68" w:rsidTr="00B77813">
              <w:trPr>
                <w:gridAfter w:val="1"/>
                <w:wAfter w:w="16" w:type="dxa"/>
                <w:trHeight w:val="142"/>
              </w:trPr>
              <w:tc>
                <w:tcPr>
                  <w:tcW w:w="10916" w:type="dxa"/>
                  <w:gridSpan w:val="10"/>
                  <w:shd w:val="clear" w:color="auto" w:fill="FFFFFF"/>
                </w:tcPr>
                <w:p w:rsidR="0006177E" w:rsidRPr="00890C68" w:rsidRDefault="0006177E" w:rsidP="00B4404E">
                  <w:pPr>
                    <w:spacing w:line="240" w:lineRule="auto"/>
                    <w:jc w:val="both"/>
                    <w:rPr>
                      <w:rFonts w:ascii="Times New Roman" w:hAnsi="Times New Roman"/>
                      <w:spacing w:val="-2"/>
                      <w:sz w:val="21"/>
                      <w:szCs w:val="21"/>
                    </w:rPr>
                  </w:pPr>
                  <w:r w:rsidRPr="00890C68">
                    <w:rPr>
                      <w:rFonts w:ascii="Times New Roman" w:hAnsi="Times New Roman"/>
                      <w:spacing w:val="-2"/>
                      <w:sz w:val="21"/>
                      <w:szCs w:val="21"/>
                    </w:rPr>
                    <w:lastRenderedPageBreak/>
                    <w:t>Konkludując – podkreślić należy, że zasadniczą korzyścią dla odbiorców końcowych związaną z wdrożeniem systemu inteligentnego opomiarowania będzie</w:t>
                  </w:r>
                  <w:r w:rsidR="009E5225" w:rsidRPr="00890C68">
                    <w:rPr>
                      <w:rFonts w:ascii="Times New Roman" w:hAnsi="Times New Roman"/>
                      <w:spacing w:val="-2"/>
                      <w:sz w:val="21"/>
                      <w:szCs w:val="21"/>
                    </w:rPr>
                    <w:t xml:space="preserve"> wyzwolenie zachowań na rzecz efektywnego wykorzystania energii elektrycznej a co za tym idzie </w:t>
                  </w:r>
                  <w:r w:rsidR="00274F1F" w:rsidRPr="00890C68">
                    <w:rPr>
                      <w:rFonts w:ascii="Times New Roman" w:hAnsi="Times New Roman"/>
                      <w:spacing w:val="-2"/>
                      <w:sz w:val="21"/>
                      <w:szCs w:val="21"/>
                    </w:rPr>
                    <w:t>redukcja</w:t>
                  </w:r>
                  <w:r w:rsidR="009E5225" w:rsidRPr="00890C68">
                    <w:rPr>
                      <w:rFonts w:ascii="Times New Roman" w:hAnsi="Times New Roman"/>
                      <w:spacing w:val="-2"/>
                      <w:sz w:val="21"/>
                      <w:szCs w:val="21"/>
                    </w:rPr>
                    <w:t xml:space="preserve"> jej zużycia</w:t>
                  </w:r>
                  <w:r w:rsidRPr="00890C68">
                    <w:rPr>
                      <w:rFonts w:ascii="Times New Roman" w:hAnsi="Times New Roman"/>
                      <w:spacing w:val="-2"/>
                      <w:sz w:val="21"/>
                      <w:szCs w:val="21"/>
                    </w:rPr>
                    <w:t>.</w:t>
                  </w:r>
                  <w:r w:rsidRPr="00890C68">
                    <w:rPr>
                      <w:rFonts w:ascii="Times New Roman" w:hAnsi="Times New Roman"/>
                      <w:color w:val="FF0000"/>
                      <w:spacing w:val="-2"/>
                      <w:sz w:val="21"/>
                      <w:szCs w:val="21"/>
                    </w:rPr>
                    <w:t xml:space="preserve"> </w:t>
                  </w:r>
                  <w:r w:rsidRPr="00890C68">
                    <w:rPr>
                      <w:rFonts w:ascii="Times New Roman" w:hAnsi="Times New Roman"/>
                      <w:spacing w:val="-2"/>
                      <w:sz w:val="21"/>
                      <w:szCs w:val="21"/>
                    </w:rPr>
                    <w:t xml:space="preserve">Jako koszt zaś należy wskazać zwiększenie wydatków w początkowej fazie wdrożenia wynikające z uwzględnienia nakładów związanych z inwestycją w taryfie. </w:t>
                  </w:r>
                </w:p>
              </w:tc>
            </w:tr>
            <w:tr w:rsidR="00C91432" w:rsidRPr="00890C68" w:rsidTr="00B77813">
              <w:trPr>
                <w:gridAfter w:val="1"/>
                <w:wAfter w:w="16" w:type="dxa"/>
                <w:trHeight w:val="142"/>
              </w:trPr>
              <w:tc>
                <w:tcPr>
                  <w:tcW w:w="10916" w:type="dxa"/>
                  <w:gridSpan w:val="10"/>
                  <w:shd w:val="clear" w:color="auto" w:fill="FFFFFF"/>
                </w:tcPr>
                <w:p w:rsidR="00C91432" w:rsidRPr="00890C68" w:rsidRDefault="00C91432" w:rsidP="0006177E">
                  <w:pPr>
                    <w:spacing w:line="240" w:lineRule="auto"/>
                    <w:jc w:val="both"/>
                    <w:rPr>
                      <w:rFonts w:ascii="Times New Roman" w:hAnsi="Times New Roman"/>
                      <w:b/>
                    </w:rPr>
                  </w:pPr>
                </w:p>
              </w:tc>
            </w:tr>
            <w:tr w:rsidR="0006177E" w:rsidRPr="00890C68" w:rsidTr="00B77813">
              <w:trPr>
                <w:gridAfter w:val="1"/>
                <w:wAfter w:w="16" w:type="dxa"/>
                <w:trHeight w:val="142"/>
              </w:trPr>
              <w:tc>
                <w:tcPr>
                  <w:tcW w:w="10916" w:type="dxa"/>
                  <w:gridSpan w:val="10"/>
                  <w:shd w:val="clear" w:color="auto" w:fill="FFFFFF"/>
                </w:tcPr>
                <w:p w:rsidR="0006177E" w:rsidRPr="00890C68" w:rsidRDefault="0006177E" w:rsidP="0006177E">
                  <w:pPr>
                    <w:spacing w:line="240" w:lineRule="auto"/>
                    <w:jc w:val="both"/>
                    <w:rPr>
                      <w:rFonts w:ascii="Times New Roman" w:hAnsi="Times New Roman"/>
                      <w:b/>
                    </w:rPr>
                  </w:pPr>
                  <w:r w:rsidRPr="00890C68">
                    <w:rPr>
                      <w:rFonts w:ascii="Times New Roman" w:hAnsi="Times New Roman"/>
                      <w:b/>
                    </w:rPr>
                    <w:t>Dodatkowe informacje, w tym wskazanie źródeł danych i przyjętych do obliczeń założeń do pkt 6 i 7:</w:t>
                  </w:r>
                </w:p>
                <w:p w:rsidR="0006177E" w:rsidRPr="00890C68" w:rsidRDefault="0006177E" w:rsidP="0006177E">
                  <w:pPr>
                    <w:spacing w:line="240" w:lineRule="auto"/>
                    <w:jc w:val="both"/>
                    <w:rPr>
                      <w:rFonts w:ascii="Times New Roman" w:hAnsi="Times New Roman"/>
                    </w:rPr>
                  </w:pPr>
                </w:p>
                <w:p w:rsidR="0006177E" w:rsidRPr="00890C68" w:rsidRDefault="0006177E" w:rsidP="0006177E">
                  <w:pPr>
                    <w:spacing w:line="240" w:lineRule="auto"/>
                    <w:jc w:val="both"/>
                    <w:rPr>
                      <w:rFonts w:ascii="Times New Roman" w:hAnsi="Times New Roman"/>
                    </w:rPr>
                  </w:pPr>
                  <w:r w:rsidRPr="00890C68">
                    <w:rPr>
                      <w:rFonts w:ascii="Times New Roman" w:hAnsi="Times New Roman"/>
                    </w:rPr>
                    <w:t>Obliczenia zostały dokonane w oparciu o metodologię i dane zawarte w materiałach przytoczonych w pkt 13.</w:t>
                  </w:r>
                </w:p>
                <w:p w:rsidR="0006177E" w:rsidRPr="00890C68" w:rsidRDefault="0006177E" w:rsidP="0006177E">
                  <w:pPr>
                    <w:spacing w:line="240" w:lineRule="auto"/>
                    <w:jc w:val="both"/>
                    <w:rPr>
                      <w:rFonts w:ascii="Times New Roman" w:hAnsi="Times New Roman"/>
                    </w:rPr>
                  </w:pPr>
                  <w:r w:rsidRPr="00890C68">
                    <w:rPr>
                      <w:rFonts w:ascii="Times New Roman" w:hAnsi="Times New Roman"/>
                    </w:rPr>
                    <w:t>Poszczególne składniki kosztowe związane z instalacją liczników zdalnego odczytu zostały skalkulowane na podstawie danych z faktycznych przetargów organizowanych przez największych OSD i dla założonego tempa instalacji liczników. Dane dotyczące składników kosztowych zidentyfikowanych dla procesu utworzenia OI</w:t>
                  </w:r>
                  <w:r w:rsidR="00893117" w:rsidRPr="00890C68">
                    <w:rPr>
                      <w:rFonts w:ascii="Times New Roman" w:hAnsi="Times New Roman"/>
                    </w:rPr>
                    <w:t>RE</w:t>
                  </w:r>
                  <w:r w:rsidRPr="00890C68">
                    <w:rPr>
                      <w:rFonts w:ascii="Times New Roman" w:hAnsi="Times New Roman"/>
                    </w:rPr>
                    <w:t xml:space="preserve"> pozyskano z PSE S.A. Dokonano wyspecyfikowania możliwych korzyści dla różnych uczestników rynku energii elektrycznej, które następnie wyceniono w oparciu o przyjęte założenia i model finansowy. Do wyceny wartości w cenach stałych przyjęto prognozy MFR dotyczące inflacji (stopa dyskonta równa prognozowanej stopie inflacji).</w:t>
                  </w:r>
                </w:p>
                <w:p w:rsidR="0006177E" w:rsidRPr="00890C68" w:rsidRDefault="0006177E" w:rsidP="0006177E">
                  <w:pPr>
                    <w:spacing w:line="240" w:lineRule="auto"/>
                    <w:jc w:val="both"/>
                    <w:rPr>
                      <w:rFonts w:ascii="Times New Roman" w:hAnsi="Times New Roman"/>
                    </w:rPr>
                  </w:pPr>
                  <w:r w:rsidRPr="00890C68">
                    <w:rPr>
                      <w:rFonts w:ascii="Times New Roman" w:hAnsi="Times New Roman"/>
                    </w:rPr>
                    <w:t xml:space="preserve">Obliczone koszty i korzyści odniesiono do </w:t>
                  </w:r>
                  <w:r w:rsidR="00893117" w:rsidRPr="00890C68">
                    <w:rPr>
                      <w:rFonts w:ascii="Times New Roman" w:hAnsi="Times New Roman"/>
                    </w:rPr>
                    <w:t>odbiorców końcowych</w:t>
                  </w:r>
                  <w:r w:rsidRPr="00890C68">
                    <w:rPr>
                      <w:rFonts w:ascii="Times New Roman" w:hAnsi="Times New Roman"/>
                    </w:rPr>
                    <w:t xml:space="preserve"> (odbiorcy </w:t>
                  </w:r>
                  <w:r w:rsidR="00893117" w:rsidRPr="00890C68">
                    <w:rPr>
                      <w:rFonts w:ascii="Times New Roman" w:hAnsi="Times New Roman"/>
                    </w:rPr>
                    <w:t xml:space="preserve">z grypy taryfowej </w:t>
                  </w:r>
                  <w:r w:rsidRPr="00890C68">
                    <w:rPr>
                      <w:rFonts w:ascii="Times New Roman" w:hAnsi="Times New Roman"/>
                    </w:rPr>
                    <w:t>–G</w:t>
                  </w:r>
                  <w:r w:rsidR="00893117" w:rsidRPr="00890C68">
                    <w:rPr>
                      <w:rFonts w:ascii="Times New Roman" w:hAnsi="Times New Roman"/>
                    </w:rPr>
                    <w:t xml:space="preserve"> oraz C1x  o mocy umownej mniejszej lub równej 16 KW</w:t>
                  </w:r>
                  <w:r w:rsidRPr="00890C68">
                    <w:rPr>
                      <w:rFonts w:ascii="Times New Roman" w:hAnsi="Times New Roman"/>
                    </w:rPr>
                    <w:t>), wykorzystując metodologię przeniesienia kosztów poprzez taryfę. Koszty w stosunku do korzyści przenoszone są z rocznym opóźnieniem, co wynika ze specyfiki kształtowania systemu taryfowego.</w:t>
                  </w:r>
                </w:p>
                <w:p w:rsidR="0006177E" w:rsidRPr="00890C68" w:rsidRDefault="0006177E" w:rsidP="0006177E">
                  <w:pPr>
                    <w:spacing w:line="240" w:lineRule="auto"/>
                    <w:jc w:val="both"/>
                    <w:rPr>
                      <w:rFonts w:ascii="Times New Roman" w:hAnsi="Times New Roman"/>
                    </w:rPr>
                  </w:pPr>
                  <w:r w:rsidRPr="00890C68">
                    <w:rPr>
                      <w:rFonts w:ascii="Times New Roman" w:hAnsi="Times New Roman"/>
                    </w:rPr>
                    <w:t xml:space="preserve">Źródła danych oraz opis metodologii został szczegółowo opisany w materiałach przytoczonych w pkt 13. </w:t>
                  </w:r>
                </w:p>
                <w:p w:rsidR="0006177E" w:rsidRPr="00890C68" w:rsidRDefault="0006177E" w:rsidP="0006177E">
                  <w:pPr>
                    <w:spacing w:line="240" w:lineRule="auto"/>
                    <w:jc w:val="both"/>
                    <w:rPr>
                      <w:rFonts w:ascii="Times New Roman" w:hAnsi="Times New Roman"/>
                    </w:rPr>
                  </w:pPr>
                </w:p>
                <w:p w:rsidR="0006177E" w:rsidRPr="00890C68" w:rsidRDefault="0006177E" w:rsidP="0006177E">
                  <w:pPr>
                    <w:spacing w:line="240" w:lineRule="auto"/>
                    <w:jc w:val="both"/>
                    <w:rPr>
                      <w:rFonts w:ascii="Times New Roman" w:eastAsia="MS Mincho" w:hAnsi="Times New Roman"/>
                      <w:lang w:eastAsia="ja-JP"/>
                    </w:rPr>
                  </w:pPr>
                  <w:r w:rsidRPr="00890C68">
                    <w:rPr>
                      <w:rFonts w:ascii="Times New Roman" w:eastAsia="MS Mincho" w:hAnsi="Times New Roman"/>
                      <w:lang w:eastAsia="ja-JP"/>
                    </w:rPr>
                    <w:t>Przedstawiono informacje szczegółowe dotyczące przewidywanych kosztów i wybranych korzyści, uzyskiwanych dzięki instalacji liczników. Koszty zawarte w poniższych tabelach dotyczą rzeczywistych prognozowanych wartości do poniesienia przez OSD i OI</w:t>
                  </w:r>
                  <w:r w:rsidR="00D35522" w:rsidRPr="00890C68">
                    <w:rPr>
                      <w:rFonts w:ascii="Times New Roman" w:eastAsia="MS Mincho" w:hAnsi="Times New Roman"/>
                      <w:lang w:eastAsia="ja-JP"/>
                    </w:rPr>
                    <w:t>RE</w:t>
                  </w:r>
                  <w:r w:rsidRPr="00890C68">
                    <w:rPr>
                      <w:rFonts w:ascii="Times New Roman" w:eastAsia="MS Mincho" w:hAnsi="Times New Roman"/>
                      <w:lang w:eastAsia="ja-JP"/>
                    </w:rPr>
                    <w:t>, bez uwzględnienia mechanizmu przenoszenia ich poprzez taryfę.</w:t>
                  </w:r>
                </w:p>
                <w:p w:rsidR="0006177E" w:rsidRPr="00890C68" w:rsidRDefault="0006177E" w:rsidP="0006177E">
                  <w:pPr>
                    <w:spacing w:line="240" w:lineRule="auto"/>
                    <w:jc w:val="both"/>
                    <w:rPr>
                      <w:rFonts w:ascii="Times New Roman" w:eastAsia="MS Mincho" w:hAnsi="Times New Roman"/>
                      <w:lang w:eastAsia="ja-JP"/>
                    </w:rPr>
                  </w:pPr>
                </w:p>
                <w:p w:rsidR="0006177E" w:rsidRPr="00890C68" w:rsidRDefault="0006177E" w:rsidP="0006177E">
                  <w:pPr>
                    <w:spacing w:line="240" w:lineRule="auto"/>
                    <w:jc w:val="both"/>
                    <w:rPr>
                      <w:rFonts w:ascii="Times New Roman" w:eastAsia="MS Mincho" w:hAnsi="Times New Roman"/>
                      <w:lang w:eastAsia="ja-JP"/>
                    </w:rPr>
                  </w:pPr>
                  <w:r w:rsidRPr="00890C68">
                    <w:rPr>
                      <w:rFonts w:ascii="Times New Roman" w:eastAsia="MS Mincho" w:hAnsi="Times New Roman"/>
                      <w:lang w:eastAsia="ja-JP"/>
                    </w:rPr>
                    <w:t>1) Koszty funkcjonowania systemu – dane szczegółowe</w:t>
                  </w:r>
                </w:p>
                <w:p w:rsidR="0006177E" w:rsidRPr="00890C68" w:rsidRDefault="0006177E" w:rsidP="0006177E">
                  <w:pPr>
                    <w:spacing w:line="240" w:lineRule="auto"/>
                    <w:jc w:val="both"/>
                    <w:rPr>
                      <w:rFonts w:ascii="Times New Roman" w:eastAsia="MS Mincho" w:hAnsi="Times New Roman"/>
                      <w:lang w:eastAsia="ja-JP"/>
                    </w:rPr>
                  </w:pPr>
                  <w:r w:rsidRPr="00890C68">
                    <w:rPr>
                      <w:rFonts w:ascii="Times New Roman" w:eastAsia="MS Mincho" w:hAnsi="Times New Roman"/>
                      <w:lang w:eastAsia="ja-JP"/>
                    </w:rPr>
                    <w:t>Koszty funkcjonowania systemu obejmują wydatki operacyjne OSD i OI</w:t>
                  </w:r>
                  <w:r w:rsidR="00D35522" w:rsidRPr="00890C68">
                    <w:rPr>
                      <w:rFonts w:ascii="Times New Roman" w:eastAsia="MS Mincho" w:hAnsi="Times New Roman"/>
                      <w:lang w:eastAsia="ja-JP"/>
                    </w:rPr>
                    <w:t>RE</w:t>
                  </w:r>
                  <w:r w:rsidRPr="00890C68">
                    <w:rPr>
                      <w:rFonts w:ascii="Times New Roman" w:eastAsia="MS Mincho" w:hAnsi="Times New Roman"/>
                      <w:lang w:eastAsia="ja-JP"/>
                    </w:rPr>
                    <w:t xml:space="preserve"> w zakresie obsługi systemu liczników zdalnego odczytu. Koszt instalacji liczników ujęty w poniższej tabeli to koszty infrastruktury po stronie OSD, koniecznej do tego by system mógł działać, czyli: liczników, koncentratorów, sieci itd. </w:t>
                  </w:r>
                </w:p>
                <w:p w:rsidR="0006177E" w:rsidRPr="00890C68" w:rsidRDefault="0006177E" w:rsidP="0006177E">
                  <w:pPr>
                    <w:spacing w:line="240" w:lineRule="auto"/>
                    <w:jc w:val="both"/>
                    <w:rPr>
                      <w:rFonts w:ascii="Times New Roman" w:hAnsi="Times New Roman"/>
                    </w:rPr>
                  </w:pPr>
                </w:p>
                <w:p w:rsidR="0006177E" w:rsidRPr="00890C68" w:rsidRDefault="0006177E" w:rsidP="0006177E">
                  <w:pPr>
                    <w:spacing w:line="240" w:lineRule="auto"/>
                    <w:jc w:val="both"/>
                    <w:rPr>
                      <w:rFonts w:ascii="Times New Roman" w:hAnsi="Times New Roman"/>
                    </w:rPr>
                  </w:pPr>
                  <w:r w:rsidRPr="00890C68">
                    <w:rPr>
                      <w:rFonts w:ascii="Times New Roman" w:hAnsi="Times New Roman"/>
                    </w:rPr>
                    <w:t>Tabela. Koszty – dane szczegółowe (</w:t>
                  </w:r>
                  <w:r w:rsidR="00BB5C44" w:rsidRPr="00890C68">
                    <w:rPr>
                      <w:rFonts w:ascii="Times New Roman" w:hAnsi="Times New Roman"/>
                    </w:rPr>
                    <w:t xml:space="preserve">w cenach </w:t>
                  </w:r>
                  <w:r w:rsidR="00F356EF" w:rsidRPr="00890C68">
                    <w:rPr>
                      <w:rFonts w:ascii="Times New Roman" w:hAnsi="Times New Roman"/>
                    </w:rPr>
                    <w:t>z 2016 r. zdyskontowanych na 1 stycznia 2019 r.</w:t>
                  </w:r>
                  <w:r w:rsidRPr="00890C68">
                    <w:rPr>
                      <w:rFonts w:ascii="Times New Roman" w:hAnsi="Times New Roman"/>
                    </w:rPr>
                    <w:t>)</w:t>
                  </w:r>
                </w:p>
                <w:tbl>
                  <w:tblPr>
                    <w:tblW w:w="10932" w:type="dxa"/>
                    <w:tblLayout w:type="fixed"/>
                    <w:tblCellMar>
                      <w:left w:w="70" w:type="dxa"/>
                      <w:right w:w="70" w:type="dxa"/>
                    </w:tblCellMar>
                    <w:tblLook w:val="04A0" w:firstRow="1" w:lastRow="0" w:firstColumn="1" w:lastColumn="0" w:noHBand="0" w:noVBand="1"/>
                  </w:tblPr>
                  <w:tblGrid>
                    <w:gridCol w:w="2469"/>
                    <w:gridCol w:w="998"/>
                    <w:gridCol w:w="998"/>
                    <w:gridCol w:w="998"/>
                    <w:gridCol w:w="998"/>
                    <w:gridCol w:w="998"/>
                    <w:gridCol w:w="998"/>
                    <w:gridCol w:w="998"/>
                    <w:gridCol w:w="1477"/>
                  </w:tblGrid>
                  <w:tr w:rsidR="00A34BA5" w:rsidRPr="00890C68" w:rsidTr="00776BBE">
                    <w:trPr>
                      <w:trHeight w:val="305"/>
                    </w:trPr>
                    <w:tc>
                      <w:tcPr>
                        <w:tcW w:w="23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4BA5" w:rsidRPr="00890C68" w:rsidRDefault="00A34BA5" w:rsidP="0006177E">
                        <w:pPr>
                          <w:spacing w:line="240" w:lineRule="auto"/>
                          <w:rPr>
                            <w:rFonts w:ascii="Times New Roman" w:eastAsia="Times New Roman" w:hAnsi="Times New Roman"/>
                            <w:sz w:val="19"/>
                            <w:szCs w:val="19"/>
                            <w:lang w:eastAsia="pl-PL"/>
                          </w:rPr>
                        </w:pPr>
                        <w:r w:rsidRPr="00890C68">
                          <w:rPr>
                            <w:rFonts w:ascii="Times New Roman" w:eastAsia="Times New Roman" w:hAnsi="Times New Roman"/>
                            <w:sz w:val="19"/>
                            <w:szCs w:val="19"/>
                            <w:lang w:eastAsia="pl-PL"/>
                          </w:rPr>
                          <w:t>dane w tys. zł/rok od wejścia w życie zmiany</w:t>
                        </w:r>
                      </w:p>
                    </w:tc>
                    <w:tc>
                      <w:tcPr>
                        <w:tcW w:w="936" w:type="dxa"/>
                        <w:tcBorders>
                          <w:top w:val="single" w:sz="4" w:space="0" w:color="auto"/>
                          <w:left w:val="nil"/>
                          <w:bottom w:val="single" w:sz="4" w:space="0" w:color="auto"/>
                          <w:right w:val="single" w:sz="4" w:space="0" w:color="auto"/>
                        </w:tcBorders>
                        <w:shd w:val="clear" w:color="000000" w:fill="FFFFFF"/>
                        <w:noWrap/>
                        <w:vAlign w:val="center"/>
                        <w:hideMark/>
                      </w:tcPr>
                      <w:p w:rsidR="00A34BA5" w:rsidRPr="00890C68" w:rsidRDefault="00A34BA5" w:rsidP="0006177E">
                        <w:pPr>
                          <w:jc w:val="center"/>
                          <w:rPr>
                            <w:rFonts w:ascii="Times New Roman" w:hAnsi="Times New Roman"/>
                            <w:b/>
                            <w:sz w:val="19"/>
                            <w:szCs w:val="19"/>
                          </w:rPr>
                        </w:pPr>
                        <w:r w:rsidRPr="00890C68">
                          <w:rPr>
                            <w:rFonts w:ascii="Times New Roman" w:hAnsi="Times New Roman"/>
                            <w:b/>
                            <w:sz w:val="19"/>
                            <w:szCs w:val="19"/>
                          </w:rPr>
                          <w:t>1</w:t>
                        </w:r>
                      </w:p>
                    </w:tc>
                    <w:tc>
                      <w:tcPr>
                        <w:tcW w:w="936" w:type="dxa"/>
                        <w:tcBorders>
                          <w:top w:val="single" w:sz="4" w:space="0" w:color="auto"/>
                          <w:left w:val="nil"/>
                          <w:bottom w:val="single" w:sz="4" w:space="0" w:color="auto"/>
                          <w:right w:val="single" w:sz="4" w:space="0" w:color="auto"/>
                        </w:tcBorders>
                        <w:shd w:val="clear" w:color="000000" w:fill="FFFFFF"/>
                        <w:noWrap/>
                        <w:vAlign w:val="center"/>
                        <w:hideMark/>
                      </w:tcPr>
                      <w:p w:rsidR="00A34BA5" w:rsidRPr="00890C68" w:rsidRDefault="00A34BA5" w:rsidP="0006177E">
                        <w:pPr>
                          <w:jc w:val="center"/>
                          <w:rPr>
                            <w:rFonts w:ascii="Times New Roman" w:hAnsi="Times New Roman"/>
                            <w:b/>
                            <w:sz w:val="19"/>
                            <w:szCs w:val="19"/>
                          </w:rPr>
                        </w:pPr>
                        <w:r w:rsidRPr="00890C68">
                          <w:rPr>
                            <w:rFonts w:ascii="Times New Roman" w:hAnsi="Times New Roman"/>
                            <w:b/>
                            <w:sz w:val="19"/>
                            <w:szCs w:val="19"/>
                          </w:rPr>
                          <w:t>2</w:t>
                        </w:r>
                      </w:p>
                    </w:tc>
                    <w:tc>
                      <w:tcPr>
                        <w:tcW w:w="936" w:type="dxa"/>
                        <w:tcBorders>
                          <w:top w:val="single" w:sz="4" w:space="0" w:color="auto"/>
                          <w:left w:val="nil"/>
                          <w:bottom w:val="single" w:sz="4" w:space="0" w:color="auto"/>
                          <w:right w:val="single" w:sz="4" w:space="0" w:color="auto"/>
                        </w:tcBorders>
                        <w:shd w:val="clear" w:color="000000" w:fill="FFFFFF"/>
                        <w:noWrap/>
                        <w:vAlign w:val="center"/>
                        <w:hideMark/>
                      </w:tcPr>
                      <w:p w:rsidR="00A34BA5" w:rsidRPr="00890C68" w:rsidRDefault="00A34BA5" w:rsidP="0006177E">
                        <w:pPr>
                          <w:jc w:val="center"/>
                          <w:rPr>
                            <w:rFonts w:ascii="Times New Roman" w:hAnsi="Times New Roman"/>
                            <w:b/>
                            <w:sz w:val="19"/>
                            <w:szCs w:val="19"/>
                          </w:rPr>
                        </w:pPr>
                        <w:r w:rsidRPr="00890C68">
                          <w:rPr>
                            <w:rFonts w:ascii="Times New Roman" w:hAnsi="Times New Roman"/>
                            <w:b/>
                            <w:sz w:val="19"/>
                            <w:szCs w:val="19"/>
                          </w:rPr>
                          <w:t>3</w:t>
                        </w:r>
                      </w:p>
                    </w:tc>
                    <w:tc>
                      <w:tcPr>
                        <w:tcW w:w="936" w:type="dxa"/>
                        <w:tcBorders>
                          <w:top w:val="single" w:sz="4" w:space="0" w:color="auto"/>
                          <w:left w:val="nil"/>
                          <w:bottom w:val="single" w:sz="4" w:space="0" w:color="auto"/>
                          <w:right w:val="single" w:sz="4" w:space="0" w:color="auto"/>
                        </w:tcBorders>
                        <w:shd w:val="clear" w:color="000000" w:fill="FFFFFF"/>
                        <w:noWrap/>
                        <w:vAlign w:val="center"/>
                        <w:hideMark/>
                      </w:tcPr>
                      <w:p w:rsidR="00A34BA5" w:rsidRPr="00890C68" w:rsidRDefault="00A34BA5" w:rsidP="0006177E">
                        <w:pPr>
                          <w:jc w:val="center"/>
                          <w:rPr>
                            <w:rFonts w:ascii="Times New Roman" w:hAnsi="Times New Roman"/>
                            <w:b/>
                            <w:sz w:val="19"/>
                            <w:szCs w:val="19"/>
                          </w:rPr>
                        </w:pPr>
                        <w:r w:rsidRPr="00890C68">
                          <w:rPr>
                            <w:rFonts w:ascii="Times New Roman" w:hAnsi="Times New Roman"/>
                            <w:b/>
                            <w:sz w:val="19"/>
                            <w:szCs w:val="19"/>
                          </w:rPr>
                          <w:t>4</w:t>
                        </w:r>
                      </w:p>
                    </w:tc>
                    <w:tc>
                      <w:tcPr>
                        <w:tcW w:w="936" w:type="dxa"/>
                        <w:tcBorders>
                          <w:top w:val="single" w:sz="4" w:space="0" w:color="auto"/>
                          <w:left w:val="nil"/>
                          <w:bottom w:val="single" w:sz="4" w:space="0" w:color="auto"/>
                          <w:right w:val="single" w:sz="4" w:space="0" w:color="auto"/>
                        </w:tcBorders>
                        <w:shd w:val="clear" w:color="000000" w:fill="FFFFFF"/>
                        <w:noWrap/>
                        <w:vAlign w:val="center"/>
                        <w:hideMark/>
                      </w:tcPr>
                      <w:p w:rsidR="00A34BA5" w:rsidRPr="00890C68" w:rsidRDefault="00A34BA5" w:rsidP="0006177E">
                        <w:pPr>
                          <w:jc w:val="center"/>
                          <w:rPr>
                            <w:rFonts w:ascii="Times New Roman" w:hAnsi="Times New Roman"/>
                            <w:b/>
                            <w:sz w:val="19"/>
                            <w:szCs w:val="19"/>
                          </w:rPr>
                        </w:pPr>
                        <w:r w:rsidRPr="00890C68">
                          <w:rPr>
                            <w:rFonts w:ascii="Times New Roman" w:hAnsi="Times New Roman"/>
                            <w:b/>
                            <w:sz w:val="19"/>
                            <w:szCs w:val="19"/>
                          </w:rPr>
                          <w:t>5</w:t>
                        </w:r>
                      </w:p>
                    </w:tc>
                    <w:tc>
                      <w:tcPr>
                        <w:tcW w:w="936" w:type="dxa"/>
                        <w:tcBorders>
                          <w:top w:val="single" w:sz="4" w:space="0" w:color="auto"/>
                          <w:left w:val="nil"/>
                          <w:bottom w:val="single" w:sz="4" w:space="0" w:color="auto"/>
                          <w:right w:val="single" w:sz="4" w:space="0" w:color="auto"/>
                        </w:tcBorders>
                        <w:shd w:val="clear" w:color="000000" w:fill="FFFFFF"/>
                        <w:noWrap/>
                        <w:vAlign w:val="center"/>
                        <w:hideMark/>
                      </w:tcPr>
                      <w:p w:rsidR="00A34BA5" w:rsidRPr="00890C68" w:rsidRDefault="00A34BA5" w:rsidP="0006177E">
                        <w:pPr>
                          <w:jc w:val="center"/>
                          <w:rPr>
                            <w:rFonts w:ascii="Times New Roman" w:hAnsi="Times New Roman"/>
                            <w:b/>
                            <w:sz w:val="19"/>
                            <w:szCs w:val="19"/>
                          </w:rPr>
                        </w:pPr>
                        <w:r w:rsidRPr="00890C68">
                          <w:rPr>
                            <w:rFonts w:ascii="Times New Roman" w:hAnsi="Times New Roman"/>
                            <w:b/>
                            <w:sz w:val="19"/>
                            <w:szCs w:val="19"/>
                          </w:rPr>
                          <w:t>10</w:t>
                        </w:r>
                      </w:p>
                    </w:tc>
                    <w:tc>
                      <w:tcPr>
                        <w:tcW w:w="936" w:type="dxa"/>
                        <w:tcBorders>
                          <w:top w:val="single" w:sz="4" w:space="0" w:color="auto"/>
                          <w:left w:val="nil"/>
                          <w:bottom w:val="single" w:sz="4" w:space="0" w:color="auto"/>
                          <w:right w:val="single" w:sz="4" w:space="0" w:color="auto"/>
                        </w:tcBorders>
                        <w:shd w:val="clear" w:color="000000" w:fill="FFFFFF"/>
                        <w:noWrap/>
                        <w:vAlign w:val="center"/>
                        <w:hideMark/>
                      </w:tcPr>
                      <w:p w:rsidR="00A34BA5" w:rsidRPr="00890C68" w:rsidRDefault="00A34BA5" w:rsidP="0006177E">
                        <w:pPr>
                          <w:jc w:val="center"/>
                          <w:rPr>
                            <w:rFonts w:ascii="Times New Roman" w:hAnsi="Times New Roman"/>
                            <w:b/>
                            <w:sz w:val="19"/>
                            <w:szCs w:val="19"/>
                          </w:rPr>
                        </w:pPr>
                        <w:r w:rsidRPr="00890C68">
                          <w:rPr>
                            <w:rFonts w:ascii="Times New Roman" w:hAnsi="Times New Roman"/>
                            <w:b/>
                            <w:sz w:val="19"/>
                            <w:szCs w:val="19"/>
                          </w:rPr>
                          <w:t>15</w:t>
                        </w:r>
                      </w:p>
                    </w:tc>
                    <w:tc>
                      <w:tcPr>
                        <w:tcW w:w="1385" w:type="dxa"/>
                        <w:tcBorders>
                          <w:top w:val="single" w:sz="4" w:space="0" w:color="auto"/>
                          <w:left w:val="nil"/>
                          <w:bottom w:val="single" w:sz="4" w:space="0" w:color="auto"/>
                          <w:right w:val="single" w:sz="4" w:space="0" w:color="auto"/>
                        </w:tcBorders>
                        <w:shd w:val="clear" w:color="000000" w:fill="FFFFFF"/>
                        <w:noWrap/>
                        <w:vAlign w:val="center"/>
                        <w:hideMark/>
                      </w:tcPr>
                      <w:p w:rsidR="00A34BA5" w:rsidRPr="00890C68" w:rsidRDefault="00A34BA5" w:rsidP="0006177E">
                        <w:pPr>
                          <w:jc w:val="center"/>
                          <w:rPr>
                            <w:rFonts w:ascii="Times New Roman" w:hAnsi="Times New Roman"/>
                            <w:b/>
                            <w:i/>
                            <w:sz w:val="19"/>
                            <w:szCs w:val="19"/>
                          </w:rPr>
                        </w:pPr>
                        <w:r w:rsidRPr="00890C68">
                          <w:rPr>
                            <w:rFonts w:ascii="Times New Roman" w:hAnsi="Times New Roman"/>
                            <w:b/>
                            <w:i/>
                            <w:sz w:val="19"/>
                            <w:szCs w:val="19"/>
                          </w:rPr>
                          <w:t>Łącznie</w:t>
                        </w:r>
                        <w:r w:rsidRPr="00890C68">
                          <w:rPr>
                            <w:rFonts w:ascii="Times New Roman" w:hAnsi="Times New Roman"/>
                            <w:b/>
                            <w:i/>
                            <w:sz w:val="19"/>
                            <w:szCs w:val="19"/>
                          </w:rPr>
                          <w:br/>
                          <w:t>(0-15)</w:t>
                        </w:r>
                      </w:p>
                    </w:tc>
                  </w:tr>
                  <w:tr w:rsidR="00A34BA5" w:rsidRPr="00890C68" w:rsidTr="00776BBE">
                    <w:trPr>
                      <w:trHeight w:val="442"/>
                    </w:trPr>
                    <w:tc>
                      <w:tcPr>
                        <w:tcW w:w="2317" w:type="dxa"/>
                        <w:tcBorders>
                          <w:top w:val="nil"/>
                          <w:left w:val="single" w:sz="4" w:space="0" w:color="auto"/>
                          <w:bottom w:val="single" w:sz="4" w:space="0" w:color="auto"/>
                          <w:right w:val="single" w:sz="4" w:space="0" w:color="auto"/>
                        </w:tcBorders>
                        <w:shd w:val="clear" w:color="000000" w:fill="FFFFFF"/>
                        <w:vAlign w:val="center"/>
                        <w:hideMark/>
                      </w:tcPr>
                      <w:p w:rsidR="00A34BA5" w:rsidRPr="00890C68" w:rsidRDefault="00A34BA5" w:rsidP="0003215D">
                        <w:pPr>
                          <w:spacing w:line="240" w:lineRule="auto"/>
                          <w:jc w:val="center"/>
                          <w:rPr>
                            <w:rFonts w:ascii="Times New Roman" w:eastAsia="Times New Roman" w:hAnsi="Times New Roman"/>
                            <w:sz w:val="19"/>
                            <w:szCs w:val="19"/>
                            <w:lang w:eastAsia="pl-PL"/>
                          </w:rPr>
                        </w:pPr>
                        <w:r w:rsidRPr="00890C68">
                          <w:rPr>
                            <w:rFonts w:ascii="Times New Roman" w:eastAsia="Times New Roman" w:hAnsi="Times New Roman"/>
                            <w:sz w:val="19"/>
                            <w:szCs w:val="19"/>
                            <w:lang w:eastAsia="pl-PL"/>
                          </w:rPr>
                          <w:t>koszty funkcjonowania systemu</w:t>
                        </w:r>
                      </w:p>
                    </w:tc>
                    <w:tc>
                      <w:tcPr>
                        <w:tcW w:w="936" w:type="dxa"/>
                        <w:tcBorders>
                          <w:top w:val="nil"/>
                          <w:left w:val="nil"/>
                          <w:bottom w:val="single" w:sz="4" w:space="0" w:color="auto"/>
                          <w:right w:val="single" w:sz="4" w:space="0" w:color="auto"/>
                        </w:tcBorders>
                        <w:shd w:val="clear" w:color="000000" w:fill="FFFFFF"/>
                        <w:noWrap/>
                        <w:vAlign w:val="center"/>
                      </w:tcPr>
                      <w:p w:rsidR="00A34BA5" w:rsidRPr="00890C68" w:rsidRDefault="00A34BA5" w:rsidP="00916138">
                        <w:pPr>
                          <w:jc w:val="center"/>
                          <w:rPr>
                            <w:rFonts w:ascii="Times New Roman" w:hAnsi="Times New Roman"/>
                            <w:color w:val="FF0000"/>
                            <w:sz w:val="19"/>
                            <w:szCs w:val="19"/>
                          </w:rPr>
                        </w:pPr>
                        <w:r w:rsidRPr="00890C68">
                          <w:rPr>
                            <w:rFonts w:ascii="Times New Roman" w:hAnsi="Times New Roman"/>
                            <w:color w:val="000000"/>
                            <w:sz w:val="19"/>
                            <w:szCs w:val="19"/>
                          </w:rPr>
                          <w:t>5 691</w:t>
                        </w:r>
                      </w:p>
                    </w:tc>
                    <w:tc>
                      <w:tcPr>
                        <w:tcW w:w="936" w:type="dxa"/>
                        <w:tcBorders>
                          <w:top w:val="nil"/>
                          <w:left w:val="nil"/>
                          <w:bottom w:val="single" w:sz="4" w:space="0" w:color="auto"/>
                          <w:right w:val="single" w:sz="4" w:space="0" w:color="auto"/>
                        </w:tcBorders>
                        <w:shd w:val="clear" w:color="000000" w:fill="FFFFFF"/>
                        <w:noWrap/>
                        <w:vAlign w:val="center"/>
                      </w:tcPr>
                      <w:p w:rsidR="00A34BA5" w:rsidRPr="00890C68" w:rsidRDefault="00A34BA5" w:rsidP="00916138">
                        <w:pPr>
                          <w:jc w:val="center"/>
                          <w:rPr>
                            <w:rFonts w:ascii="Times New Roman" w:hAnsi="Times New Roman"/>
                            <w:color w:val="FF0000"/>
                            <w:sz w:val="19"/>
                            <w:szCs w:val="19"/>
                          </w:rPr>
                        </w:pPr>
                        <w:r w:rsidRPr="00890C68">
                          <w:rPr>
                            <w:rFonts w:ascii="Times New Roman" w:hAnsi="Times New Roman"/>
                            <w:color w:val="000000"/>
                            <w:sz w:val="19"/>
                            <w:szCs w:val="19"/>
                          </w:rPr>
                          <w:t>6 734</w:t>
                        </w:r>
                      </w:p>
                    </w:tc>
                    <w:tc>
                      <w:tcPr>
                        <w:tcW w:w="936" w:type="dxa"/>
                        <w:tcBorders>
                          <w:top w:val="nil"/>
                          <w:left w:val="nil"/>
                          <w:bottom w:val="single" w:sz="4" w:space="0" w:color="auto"/>
                          <w:right w:val="single" w:sz="4" w:space="0" w:color="auto"/>
                        </w:tcBorders>
                        <w:shd w:val="clear" w:color="000000" w:fill="FFFFFF"/>
                        <w:noWrap/>
                        <w:vAlign w:val="center"/>
                      </w:tcPr>
                      <w:p w:rsidR="00A34BA5" w:rsidRPr="00890C68" w:rsidRDefault="00A34BA5" w:rsidP="00916138">
                        <w:pPr>
                          <w:jc w:val="center"/>
                          <w:rPr>
                            <w:rFonts w:ascii="Times New Roman" w:hAnsi="Times New Roman"/>
                            <w:color w:val="FF0000"/>
                            <w:sz w:val="19"/>
                            <w:szCs w:val="19"/>
                          </w:rPr>
                        </w:pPr>
                        <w:r w:rsidRPr="00890C68">
                          <w:rPr>
                            <w:rFonts w:ascii="Times New Roman" w:hAnsi="Times New Roman"/>
                            <w:color w:val="000000"/>
                            <w:sz w:val="19"/>
                            <w:szCs w:val="19"/>
                          </w:rPr>
                          <w:t>8 948</w:t>
                        </w:r>
                      </w:p>
                    </w:tc>
                    <w:tc>
                      <w:tcPr>
                        <w:tcW w:w="936" w:type="dxa"/>
                        <w:tcBorders>
                          <w:top w:val="nil"/>
                          <w:left w:val="nil"/>
                          <w:bottom w:val="single" w:sz="4" w:space="0" w:color="auto"/>
                          <w:right w:val="single" w:sz="4" w:space="0" w:color="auto"/>
                        </w:tcBorders>
                        <w:shd w:val="clear" w:color="000000" w:fill="FFFFFF"/>
                        <w:noWrap/>
                        <w:vAlign w:val="center"/>
                      </w:tcPr>
                      <w:p w:rsidR="00A34BA5" w:rsidRPr="00890C68" w:rsidRDefault="00A34BA5" w:rsidP="00916138">
                        <w:pPr>
                          <w:jc w:val="center"/>
                          <w:rPr>
                            <w:rFonts w:ascii="Times New Roman" w:hAnsi="Times New Roman"/>
                            <w:color w:val="FF0000"/>
                            <w:sz w:val="19"/>
                            <w:szCs w:val="19"/>
                          </w:rPr>
                        </w:pPr>
                        <w:r w:rsidRPr="00890C68">
                          <w:rPr>
                            <w:rFonts w:ascii="Times New Roman" w:hAnsi="Times New Roman"/>
                            <w:color w:val="000000"/>
                            <w:sz w:val="19"/>
                            <w:szCs w:val="19"/>
                          </w:rPr>
                          <w:t>2</w:t>
                        </w:r>
                        <w:r w:rsidR="003C7ECC" w:rsidRPr="00890C68">
                          <w:rPr>
                            <w:rFonts w:ascii="Times New Roman" w:hAnsi="Times New Roman"/>
                            <w:color w:val="000000"/>
                            <w:sz w:val="19"/>
                            <w:szCs w:val="19"/>
                          </w:rPr>
                          <w:t>3 618</w:t>
                        </w:r>
                      </w:p>
                    </w:tc>
                    <w:tc>
                      <w:tcPr>
                        <w:tcW w:w="936" w:type="dxa"/>
                        <w:tcBorders>
                          <w:top w:val="nil"/>
                          <w:left w:val="nil"/>
                          <w:bottom w:val="single" w:sz="4" w:space="0" w:color="auto"/>
                          <w:right w:val="single" w:sz="4" w:space="0" w:color="auto"/>
                        </w:tcBorders>
                        <w:shd w:val="clear" w:color="000000" w:fill="FFFFFF"/>
                        <w:noWrap/>
                        <w:vAlign w:val="center"/>
                      </w:tcPr>
                      <w:p w:rsidR="00A34BA5" w:rsidRPr="00890C68" w:rsidRDefault="00A34BA5" w:rsidP="00916138">
                        <w:pPr>
                          <w:jc w:val="center"/>
                          <w:rPr>
                            <w:rFonts w:ascii="Times New Roman" w:hAnsi="Times New Roman"/>
                            <w:color w:val="FF0000"/>
                            <w:sz w:val="19"/>
                            <w:szCs w:val="19"/>
                          </w:rPr>
                        </w:pPr>
                        <w:r w:rsidRPr="00890C68">
                          <w:rPr>
                            <w:rFonts w:ascii="Times New Roman" w:hAnsi="Times New Roman"/>
                            <w:color w:val="000000"/>
                            <w:sz w:val="19"/>
                            <w:szCs w:val="19"/>
                          </w:rPr>
                          <w:t>3</w:t>
                        </w:r>
                        <w:r w:rsidR="003C7ECC" w:rsidRPr="00890C68">
                          <w:rPr>
                            <w:rFonts w:ascii="Times New Roman" w:hAnsi="Times New Roman"/>
                            <w:color w:val="000000"/>
                            <w:sz w:val="19"/>
                            <w:szCs w:val="19"/>
                          </w:rPr>
                          <w:t>4 665</w:t>
                        </w:r>
                      </w:p>
                    </w:tc>
                    <w:tc>
                      <w:tcPr>
                        <w:tcW w:w="936" w:type="dxa"/>
                        <w:tcBorders>
                          <w:top w:val="nil"/>
                          <w:left w:val="nil"/>
                          <w:bottom w:val="single" w:sz="4" w:space="0" w:color="auto"/>
                          <w:right w:val="single" w:sz="4" w:space="0" w:color="auto"/>
                        </w:tcBorders>
                        <w:shd w:val="clear" w:color="000000" w:fill="FFFFFF"/>
                        <w:noWrap/>
                        <w:vAlign w:val="center"/>
                      </w:tcPr>
                      <w:p w:rsidR="00A34BA5" w:rsidRPr="00890C68" w:rsidRDefault="001C52B5" w:rsidP="00916138">
                        <w:pPr>
                          <w:jc w:val="center"/>
                          <w:rPr>
                            <w:rFonts w:ascii="Times New Roman" w:hAnsi="Times New Roman"/>
                            <w:color w:val="FF0000"/>
                            <w:sz w:val="19"/>
                            <w:szCs w:val="19"/>
                          </w:rPr>
                        </w:pPr>
                        <w:r w:rsidRPr="00890C68">
                          <w:rPr>
                            <w:rFonts w:ascii="Times New Roman" w:hAnsi="Times New Roman"/>
                            <w:color w:val="000000"/>
                            <w:sz w:val="19"/>
                            <w:szCs w:val="19"/>
                          </w:rPr>
                          <w:t>92 412</w:t>
                        </w:r>
                      </w:p>
                    </w:tc>
                    <w:tc>
                      <w:tcPr>
                        <w:tcW w:w="936" w:type="dxa"/>
                        <w:tcBorders>
                          <w:top w:val="nil"/>
                          <w:left w:val="nil"/>
                          <w:bottom w:val="single" w:sz="4" w:space="0" w:color="auto"/>
                          <w:right w:val="single" w:sz="4" w:space="0" w:color="auto"/>
                        </w:tcBorders>
                        <w:shd w:val="clear" w:color="000000" w:fill="FFFFFF"/>
                        <w:noWrap/>
                        <w:vAlign w:val="center"/>
                      </w:tcPr>
                      <w:p w:rsidR="00A34BA5" w:rsidRPr="00890C68" w:rsidRDefault="001C52B5" w:rsidP="00916138">
                        <w:pPr>
                          <w:jc w:val="center"/>
                          <w:rPr>
                            <w:rFonts w:ascii="Times New Roman" w:hAnsi="Times New Roman"/>
                            <w:color w:val="FF0000"/>
                            <w:sz w:val="19"/>
                            <w:szCs w:val="19"/>
                          </w:rPr>
                        </w:pPr>
                        <w:r w:rsidRPr="00890C68">
                          <w:rPr>
                            <w:rFonts w:ascii="Times New Roman" w:hAnsi="Times New Roman"/>
                            <w:color w:val="000000"/>
                            <w:sz w:val="19"/>
                            <w:szCs w:val="19"/>
                          </w:rPr>
                          <w:t>92 827</w:t>
                        </w:r>
                      </w:p>
                    </w:tc>
                    <w:tc>
                      <w:tcPr>
                        <w:tcW w:w="1385" w:type="dxa"/>
                        <w:tcBorders>
                          <w:top w:val="nil"/>
                          <w:left w:val="nil"/>
                          <w:bottom w:val="single" w:sz="4" w:space="0" w:color="auto"/>
                          <w:right w:val="single" w:sz="4" w:space="0" w:color="auto"/>
                        </w:tcBorders>
                        <w:shd w:val="clear" w:color="000000" w:fill="FFFFFF"/>
                        <w:noWrap/>
                        <w:vAlign w:val="center"/>
                      </w:tcPr>
                      <w:p w:rsidR="00A34BA5" w:rsidRPr="00890C68" w:rsidRDefault="00627AE8" w:rsidP="00916138">
                        <w:pPr>
                          <w:jc w:val="center"/>
                          <w:rPr>
                            <w:rFonts w:ascii="Times New Roman" w:hAnsi="Times New Roman"/>
                            <w:b/>
                            <w:color w:val="FF0000"/>
                            <w:sz w:val="19"/>
                            <w:szCs w:val="19"/>
                          </w:rPr>
                        </w:pPr>
                        <w:r w:rsidRPr="00890C68">
                          <w:rPr>
                            <w:rFonts w:ascii="Times New Roman" w:hAnsi="Times New Roman"/>
                            <w:b/>
                            <w:color w:val="000000"/>
                            <w:sz w:val="19"/>
                            <w:szCs w:val="19"/>
                          </w:rPr>
                          <w:t>912 713</w:t>
                        </w:r>
                      </w:p>
                    </w:tc>
                  </w:tr>
                  <w:tr w:rsidR="00A34BA5" w:rsidRPr="00890C68" w:rsidTr="00776BBE">
                    <w:trPr>
                      <w:trHeight w:val="442"/>
                    </w:trPr>
                    <w:tc>
                      <w:tcPr>
                        <w:tcW w:w="2317" w:type="dxa"/>
                        <w:tcBorders>
                          <w:top w:val="nil"/>
                          <w:left w:val="single" w:sz="4" w:space="0" w:color="auto"/>
                          <w:bottom w:val="single" w:sz="4" w:space="0" w:color="auto"/>
                          <w:right w:val="single" w:sz="4" w:space="0" w:color="auto"/>
                        </w:tcBorders>
                        <w:shd w:val="clear" w:color="000000" w:fill="FFFFFF"/>
                        <w:vAlign w:val="center"/>
                      </w:tcPr>
                      <w:p w:rsidR="00A34BA5" w:rsidRPr="00890C68" w:rsidRDefault="00A34BA5" w:rsidP="00916138">
                        <w:pPr>
                          <w:spacing w:line="240" w:lineRule="auto"/>
                          <w:jc w:val="center"/>
                          <w:rPr>
                            <w:rFonts w:ascii="Times New Roman" w:eastAsia="Times New Roman" w:hAnsi="Times New Roman"/>
                            <w:sz w:val="19"/>
                            <w:szCs w:val="19"/>
                            <w:lang w:eastAsia="pl-PL"/>
                          </w:rPr>
                        </w:pPr>
                        <w:r w:rsidRPr="00890C68">
                          <w:rPr>
                            <w:rFonts w:ascii="Times New Roman" w:eastAsia="Times New Roman" w:hAnsi="Times New Roman"/>
                            <w:sz w:val="19"/>
                            <w:szCs w:val="19"/>
                            <w:lang w:eastAsia="pl-PL"/>
                          </w:rPr>
                          <w:t>koszty wdrożenia systemu</w:t>
                        </w:r>
                      </w:p>
                    </w:tc>
                    <w:tc>
                      <w:tcPr>
                        <w:tcW w:w="936" w:type="dxa"/>
                        <w:tcBorders>
                          <w:top w:val="nil"/>
                          <w:left w:val="nil"/>
                          <w:bottom w:val="single" w:sz="4" w:space="0" w:color="auto"/>
                          <w:right w:val="single" w:sz="4" w:space="0" w:color="auto"/>
                        </w:tcBorders>
                        <w:shd w:val="clear" w:color="000000" w:fill="FFFFFF"/>
                        <w:noWrap/>
                        <w:vAlign w:val="center"/>
                      </w:tcPr>
                      <w:p w:rsidR="00A34BA5" w:rsidRPr="00890C68" w:rsidRDefault="00A34BA5" w:rsidP="00916138">
                        <w:pPr>
                          <w:jc w:val="center"/>
                          <w:rPr>
                            <w:rFonts w:ascii="Times New Roman" w:hAnsi="Times New Roman"/>
                            <w:b/>
                            <w:color w:val="FF0000"/>
                            <w:sz w:val="19"/>
                            <w:szCs w:val="19"/>
                          </w:rPr>
                        </w:pPr>
                        <w:r w:rsidRPr="00890C68">
                          <w:rPr>
                            <w:rFonts w:ascii="Times New Roman" w:hAnsi="Times New Roman"/>
                            <w:color w:val="000000"/>
                            <w:sz w:val="19"/>
                            <w:szCs w:val="19"/>
                          </w:rPr>
                          <w:t>8 512</w:t>
                        </w:r>
                      </w:p>
                    </w:tc>
                    <w:tc>
                      <w:tcPr>
                        <w:tcW w:w="936" w:type="dxa"/>
                        <w:tcBorders>
                          <w:top w:val="nil"/>
                          <w:left w:val="nil"/>
                          <w:bottom w:val="single" w:sz="4" w:space="0" w:color="auto"/>
                          <w:right w:val="single" w:sz="4" w:space="0" w:color="auto"/>
                        </w:tcBorders>
                        <w:shd w:val="clear" w:color="000000" w:fill="FFFFFF"/>
                        <w:noWrap/>
                        <w:vAlign w:val="center"/>
                      </w:tcPr>
                      <w:p w:rsidR="00A34BA5" w:rsidRPr="00890C68" w:rsidRDefault="00A34BA5" w:rsidP="00916138">
                        <w:pPr>
                          <w:jc w:val="center"/>
                          <w:rPr>
                            <w:rFonts w:ascii="Times New Roman" w:hAnsi="Times New Roman"/>
                            <w:b/>
                            <w:color w:val="FF0000"/>
                            <w:sz w:val="19"/>
                            <w:szCs w:val="19"/>
                          </w:rPr>
                        </w:pPr>
                        <w:r w:rsidRPr="00890C68">
                          <w:rPr>
                            <w:rFonts w:ascii="Times New Roman" w:hAnsi="Times New Roman"/>
                            <w:color w:val="000000"/>
                            <w:sz w:val="19"/>
                            <w:szCs w:val="19"/>
                          </w:rPr>
                          <w:t>16 654</w:t>
                        </w:r>
                      </w:p>
                    </w:tc>
                    <w:tc>
                      <w:tcPr>
                        <w:tcW w:w="936" w:type="dxa"/>
                        <w:tcBorders>
                          <w:top w:val="nil"/>
                          <w:left w:val="nil"/>
                          <w:bottom w:val="single" w:sz="4" w:space="0" w:color="auto"/>
                          <w:right w:val="single" w:sz="4" w:space="0" w:color="auto"/>
                        </w:tcBorders>
                        <w:shd w:val="clear" w:color="000000" w:fill="FFFFFF"/>
                        <w:noWrap/>
                        <w:vAlign w:val="center"/>
                      </w:tcPr>
                      <w:p w:rsidR="00A34BA5" w:rsidRPr="00890C68" w:rsidRDefault="00A34BA5" w:rsidP="00916138">
                        <w:pPr>
                          <w:jc w:val="center"/>
                          <w:rPr>
                            <w:rFonts w:ascii="Times New Roman" w:hAnsi="Times New Roman"/>
                            <w:b/>
                            <w:color w:val="FF0000"/>
                            <w:sz w:val="19"/>
                            <w:szCs w:val="19"/>
                          </w:rPr>
                        </w:pPr>
                        <w:r w:rsidRPr="00890C68">
                          <w:rPr>
                            <w:rFonts w:ascii="Times New Roman" w:hAnsi="Times New Roman"/>
                            <w:color w:val="000000"/>
                            <w:sz w:val="19"/>
                            <w:szCs w:val="19"/>
                          </w:rPr>
                          <w:t>22 557</w:t>
                        </w:r>
                      </w:p>
                    </w:tc>
                    <w:tc>
                      <w:tcPr>
                        <w:tcW w:w="936" w:type="dxa"/>
                        <w:tcBorders>
                          <w:top w:val="nil"/>
                          <w:left w:val="nil"/>
                          <w:bottom w:val="single" w:sz="4" w:space="0" w:color="auto"/>
                          <w:right w:val="single" w:sz="4" w:space="0" w:color="auto"/>
                        </w:tcBorders>
                        <w:shd w:val="clear" w:color="000000" w:fill="FFFFFF"/>
                        <w:noWrap/>
                        <w:vAlign w:val="center"/>
                      </w:tcPr>
                      <w:p w:rsidR="00A34BA5" w:rsidRPr="00890C68" w:rsidRDefault="00A34BA5" w:rsidP="00916138">
                        <w:pPr>
                          <w:jc w:val="center"/>
                          <w:rPr>
                            <w:rFonts w:ascii="Times New Roman" w:hAnsi="Times New Roman"/>
                            <w:b/>
                            <w:color w:val="FF0000"/>
                            <w:sz w:val="19"/>
                            <w:szCs w:val="19"/>
                          </w:rPr>
                        </w:pPr>
                        <w:r w:rsidRPr="00890C68">
                          <w:rPr>
                            <w:rFonts w:ascii="Times New Roman" w:hAnsi="Times New Roman"/>
                            <w:color w:val="000000"/>
                            <w:sz w:val="19"/>
                            <w:szCs w:val="19"/>
                          </w:rPr>
                          <w:t>18 442</w:t>
                        </w:r>
                      </w:p>
                    </w:tc>
                    <w:tc>
                      <w:tcPr>
                        <w:tcW w:w="936" w:type="dxa"/>
                        <w:tcBorders>
                          <w:top w:val="nil"/>
                          <w:left w:val="nil"/>
                          <w:bottom w:val="single" w:sz="4" w:space="0" w:color="auto"/>
                          <w:right w:val="single" w:sz="4" w:space="0" w:color="auto"/>
                        </w:tcBorders>
                        <w:shd w:val="clear" w:color="000000" w:fill="FFFFFF"/>
                        <w:noWrap/>
                        <w:vAlign w:val="center"/>
                      </w:tcPr>
                      <w:p w:rsidR="00A34BA5" w:rsidRPr="00890C68" w:rsidRDefault="00A34BA5" w:rsidP="00916138">
                        <w:pPr>
                          <w:jc w:val="center"/>
                          <w:rPr>
                            <w:rFonts w:ascii="Times New Roman" w:hAnsi="Times New Roman"/>
                            <w:b/>
                            <w:color w:val="FF0000"/>
                            <w:sz w:val="19"/>
                            <w:szCs w:val="19"/>
                          </w:rPr>
                        </w:pPr>
                        <w:r w:rsidRPr="00890C68">
                          <w:rPr>
                            <w:rFonts w:ascii="Times New Roman" w:hAnsi="Times New Roman"/>
                            <w:color w:val="000000"/>
                            <w:sz w:val="19"/>
                            <w:szCs w:val="19"/>
                          </w:rPr>
                          <w:t>4 234</w:t>
                        </w:r>
                      </w:p>
                    </w:tc>
                    <w:tc>
                      <w:tcPr>
                        <w:tcW w:w="936" w:type="dxa"/>
                        <w:tcBorders>
                          <w:top w:val="nil"/>
                          <w:left w:val="nil"/>
                          <w:bottom w:val="single" w:sz="4" w:space="0" w:color="auto"/>
                          <w:right w:val="single" w:sz="4" w:space="0" w:color="auto"/>
                        </w:tcBorders>
                        <w:shd w:val="clear" w:color="000000" w:fill="FFFFFF"/>
                        <w:noWrap/>
                        <w:vAlign w:val="center"/>
                      </w:tcPr>
                      <w:p w:rsidR="00A34BA5" w:rsidRPr="00890C68" w:rsidRDefault="00A34BA5" w:rsidP="00916138">
                        <w:pPr>
                          <w:jc w:val="center"/>
                          <w:rPr>
                            <w:rFonts w:ascii="Times New Roman" w:hAnsi="Times New Roman"/>
                            <w:b/>
                            <w:color w:val="FF0000"/>
                            <w:sz w:val="19"/>
                            <w:szCs w:val="19"/>
                          </w:rPr>
                        </w:pPr>
                        <w:r w:rsidRPr="00890C68">
                          <w:rPr>
                            <w:rFonts w:ascii="Times New Roman" w:hAnsi="Times New Roman"/>
                            <w:color w:val="000000"/>
                            <w:sz w:val="19"/>
                            <w:szCs w:val="19"/>
                          </w:rPr>
                          <w:t xml:space="preserve">1 </w:t>
                        </w:r>
                        <w:r w:rsidR="00764206" w:rsidRPr="00890C68">
                          <w:rPr>
                            <w:rFonts w:ascii="Times New Roman" w:hAnsi="Times New Roman"/>
                            <w:color w:val="000000"/>
                            <w:sz w:val="19"/>
                            <w:szCs w:val="19"/>
                          </w:rPr>
                          <w:t>069</w:t>
                        </w:r>
                      </w:p>
                    </w:tc>
                    <w:tc>
                      <w:tcPr>
                        <w:tcW w:w="936" w:type="dxa"/>
                        <w:tcBorders>
                          <w:top w:val="nil"/>
                          <w:left w:val="nil"/>
                          <w:bottom w:val="single" w:sz="4" w:space="0" w:color="auto"/>
                          <w:right w:val="single" w:sz="4" w:space="0" w:color="auto"/>
                        </w:tcBorders>
                        <w:shd w:val="clear" w:color="000000" w:fill="FFFFFF"/>
                        <w:noWrap/>
                        <w:vAlign w:val="center"/>
                      </w:tcPr>
                      <w:p w:rsidR="00A34BA5" w:rsidRPr="00890C68" w:rsidRDefault="00764206" w:rsidP="00916138">
                        <w:pPr>
                          <w:jc w:val="center"/>
                          <w:rPr>
                            <w:rFonts w:ascii="Times New Roman" w:hAnsi="Times New Roman"/>
                            <w:b/>
                            <w:color w:val="FF0000"/>
                            <w:sz w:val="19"/>
                            <w:szCs w:val="19"/>
                          </w:rPr>
                        </w:pPr>
                        <w:r w:rsidRPr="00890C68">
                          <w:rPr>
                            <w:rFonts w:ascii="Times New Roman" w:hAnsi="Times New Roman"/>
                            <w:color w:val="000000"/>
                            <w:sz w:val="19"/>
                            <w:szCs w:val="19"/>
                          </w:rPr>
                          <w:t>2 025</w:t>
                        </w:r>
                      </w:p>
                    </w:tc>
                    <w:tc>
                      <w:tcPr>
                        <w:tcW w:w="1385" w:type="dxa"/>
                        <w:tcBorders>
                          <w:top w:val="nil"/>
                          <w:left w:val="nil"/>
                          <w:bottom w:val="single" w:sz="4" w:space="0" w:color="auto"/>
                          <w:right w:val="single" w:sz="4" w:space="0" w:color="auto"/>
                        </w:tcBorders>
                        <w:shd w:val="clear" w:color="000000" w:fill="FFFFFF"/>
                        <w:noWrap/>
                        <w:vAlign w:val="center"/>
                      </w:tcPr>
                      <w:p w:rsidR="00A34BA5" w:rsidRPr="00890C68" w:rsidRDefault="00627AE8" w:rsidP="00916138">
                        <w:pPr>
                          <w:jc w:val="center"/>
                          <w:rPr>
                            <w:rFonts w:ascii="Times New Roman" w:hAnsi="Times New Roman"/>
                            <w:b/>
                            <w:color w:val="FF0000"/>
                            <w:sz w:val="19"/>
                            <w:szCs w:val="19"/>
                          </w:rPr>
                        </w:pPr>
                        <w:r w:rsidRPr="00890C68">
                          <w:rPr>
                            <w:rFonts w:ascii="Times New Roman" w:hAnsi="Times New Roman"/>
                            <w:b/>
                            <w:color w:val="000000"/>
                            <w:sz w:val="19"/>
                            <w:szCs w:val="19"/>
                          </w:rPr>
                          <w:t>102 120</w:t>
                        </w:r>
                      </w:p>
                    </w:tc>
                  </w:tr>
                  <w:tr w:rsidR="00A34BA5" w:rsidRPr="00890C68" w:rsidTr="00776BBE">
                    <w:trPr>
                      <w:trHeight w:val="442"/>
                    </w:trPr>
                    <w:tc>
                      <w:tcPr>
                        <w:tcW w:w="2317" w:type="dxa"/>
                        <w:tcBorders>
                          <w:top w:val="nil"/>
                          <w:left w:val="single" w:sz="4" w:space="0" w:color="auto"/>
                          <w:bottom w:val="single" w:sz="4" w:space="0" w:color="auto"/>
                          <w:right w:val="single" w:sz="4" w:space="0" w:color="auto"/>
                        </w:tcBorders>
                        <w:shd w:val="clear" w:color="000000" w:fill="FFFFFF"/>
                        <w:vAlign w:val="center"/>
                        <w:hideMark/>
                      </w:tcPr>
                      <w:p w:rsidR="00A34BA5" w:rsidRPr="00890C68" w:rsidRDefault="00A34BA5" w:rsidP="00916138">
                        <w:pPr>
                          <w:spacing w:line="240" w:lineRule="auto"/>
                          <w:jc w:val="center"/>
                          <w:rPr>
                            <w:rFonts w:ascii="Times New Roman" w:eastAsia="Times New Roman" w:hAnsi="Times New Roman"/>
                            <w:sz w:val="19"/>
                            <w:szCs w:val="19"/>
                            <w:lang w:eastAsia="pl-PL"/>
                          </w:rPr>
                        </w:pPr>
                        <w:r w:rsidRPr="00890C68">
                          <w:rPr>
                            <w:rFonts w:ascii="Times New Roman" w:eastAsia="Times New Roman" w:hAnsi="Times New Roman"/>
                            <w:sz w:val="19"/>
                            <w:szCs w:val="19"/>
                            <w:lang w:eastAsia="pl-PL"/>
                          </w:rPr>
                          <w:t>koszty instalacji liczników</w:t>
                        </w:r>
                      </w:p>
                    </w:tc>
                    <w:tc>
                      <w:tcPr>
                        <w:tcW w:w="936" w:type="dxa"/>
                        <w:tcBorders>
                          <w:top w:val="nil"/>
                          <w:left w:val="nil"/>
                          <w:bottom w:val="single" w:sz="4" w:space="0" w:color="auto"/>
                          <w:right w:val="single" w:sz="4" w:space="0" w:color="auto"/>
                        </w:tcBorders>
                        <w:shd w:val="clear" w:color="000000" w:fill="FFFFFF"/>
                        <w:noWrap/>
                        <w:vAlign w:val="center"/>
                      </w:tcPr>
                      <w:p w:rsidR="00A34BA5" w:rsidRPr="00890C68" w:rsidRDefault="00A34BA5" w:rsidP="00916138">
                        <w:pPr>
                          <w:jc w:val="center"/>
                          <w:rPr>
                            <w:rFonts w:ascii="Times New Roman" w:hAnsi="Times New Roman"/>
                            <w:color w:val="FF0000"/>
                            <w:sz w:val="19"/>
                            <w:szCs w:val="19"/>
                          </w:rPr>
                        </w:pPr>
                        <w:r w:rsidRPr="00890C68">
                          <w:rPr>
                            <w:rFonts w:ascii="Times New Roman" w:hAnsi="Times New Roman"/>
                            <w:color w:val="000000"/>
                            <w:sz w:val="19"/>
                            <w:szCs w:val="19"/>
                          </w:rPr>
                          <w:t>0</w:t>
                        </w:r>
                        <w:r w:rsidR="000A440C" w:rsidRPr="00890C68">
                          <w:rPr>
                            <w:rFonts w:ascii="Times New Roman" w:hAnsi="Times New Roman"/>
                            <w:color w:val="000000"/>
                            <w:sz w:val="19"/>
                            <w:szCs w:val="19"/>
                          </w:rPr>
                          <w:t>,0</w:t>
                        </w:r>
                      </w:p>
                    </w:tc>
                    <w:tc>
                      <w:tcPr>
                        <w:tcW w:w="936" w:type="dxa"/>
                        <w:tcBorders>
                          <w:top w:val="nil"/>
                          <w:left w:val="nil"/>
                          <w:bottom w:val="single" w:sz="4" w:space="0" w:color="auto"/>
                          <w:right w:val="single" w:sz="4" w:space="0" w:color="auto"/>
                        </w:tcBorders>
                        <w:shd w:val="clear" w:color="000000" w:fill="FFFFFF"/>
                        <w:noWrap/>
                        <w:vAlign w:val="center"/>
                      </w:tcPr>
                      <w:p w:rsidR="00A34BA5" w:rsidRPr="00890C68" w:rsidRDefault="00A34BA5" w:rsidP="00916138">
                        <w:pPr>
                          <w:jc w:val="center"/>
                          <w:rPr>
                            <w:rFonts w:ascii="Times New Roman" w:hAnsi="Times New Roman"/>
                            <w:color w:val="FF0000"/>
                            <w:sz w:val="19"/>
                            <w:szCs w:val="19"/>
                          </w:rPr>
                        </w:pPr>
                        <w:r w:rsidRPr="00890C68">
                          <w:rPr>
                            <w:rFonts w:ascii="Times New Roman" w:hAnsi="Times New Roman"/>
                            <w:color w:val="000000"/>
                            <w:sz w:val="19"/>
                            <w:szCs w:val="19"/>
                          </w:rPr>
                          <w:t>0</w:t>
                        </w:r>
                        <w:r w:rsidR="000A440C" w:rsidRPr="00890C68">
                          <w:rPr>
                            <w:rFonts w:ascii="Times New Roman" w:hAnsi="Times New Roman"/>
                            <w:color w:val="000000"/>
                            <w:sz w:val="19"/>
                            <w:szCs w:val="19"/>
                          </w:rPr>
                          <w:t>,0</w:t>
                        </w:r>
                      </w:p>
                    </w:tc>
                    <w:tc>
                      <w:tcPr>
                        <w:tcW w:w="936" w:type="dxa"/>
                        <w:tcBorders>
                          <w:top w:val="nil"/>
                          <w:left w:val="nil"/>
                          <w:bottom w:val="single" w:sz="4" w:space="0" w:color="auto"/>
                          <w:right w:val="single" w:sz="4" w:space="0" w:color="auto"/>
                        </w:tcBorders>
                        <w:shd w:val="clear" w:color="000000" w:fill="FFFFFF"/>
                        <w:noWrap/>
                        <w:vAlign w:val="center"/>
                      </w:tcPr>
                      <w:p w:rsidR="00A34BA5" w:rsidRPr="00890C68" w:rsidRDefault="00A34BA5" w:rsidP="00916138">
                        <w:pPr>
                          <w:jc w:val="center"/>
                          <w:rPr>
                            <w:rFonts w:ascii="Times New Roman" w:hAnsi="Times New Roman"/>
                            <w:color w:val="FF0000"/>
                            <w:sz w:val="19"/>
                            <w:szCs w:val="19"/>
                          </w:rPr>
                        </w:pPr>
                        <w:r w:rsidRPr="00890C68">
                          <w:rPr>
                            <w:rFonts w:ascii="Times New Roman" w:hAnsi="Times New Roman"/>
                            <w:color w:val="000000"/>
                            <w:sz w:val="19"/>
                            <w:szCs w:val="19"/>
                          </w:rPr>
                          <w:t>0</w:t>
                        </w:r>
                        <w:r w:rsidR="000A440C" w:rsidRPr="00890C68">
                          <w:rPr>
                            <w:rFonts w:ascii="Times New Roman" w:hAnsi="Times New Roman"/>
                            <w:color w:val="000000"/>
                            <w:sz w:val="19"/>
                            <w:szCs w:val="19"/>
                          </w:rPr>
                          <w:t>,0</w:t>
                        </w:r>
                      </w:p>
                    </w:tc>
                    <w:tc>
                      <w:tcPr>
                        <w:tcW w:w="936" w:type="dxa"/>
                        <w:tcBorders>
                          <w:top w:val="nil"/>
                          <w:left w:val="nil"/>
                          <w:bottom w:val="single" w:sz="4" w:space="0" w:color="auto"/>
                          <w:right w:val="single" w:sz="4" w:space="0" w:color="auto"/>
                        </w:tcBorders>
                        <w:shd w:val="clear" w:color="000000" w:fill="FFFFFF"/>
                        <w:noWrap/>
                        <w:vAlign w:val="center"/>
                      </w:tcPr>
                      <w:p w:rsidR="00A34BA5" w:rsidRPr="00890C68" w:rsidRDefault="005D7415" w:rsidP="00916138">
                        <w:pPr>
                          <w:jc w:val="center"/>
                          <w:rPr>
                            <w:rFonts w:ascii="Times New Roman" w:hAnsi="Times New Roman"/>
                            <w:color w:val="FF0000"/>
                            <w:sz w:val="19"/>
                            <w:szCs w:val="19"/>
                          </w:rPr>
                        </w:pPr>
                        <w:r w:rsidRPr="00890C68">
                          <w:rPr>
                            <w:rFonts w:ascii="Times New Roman" w:hAnsi="Times New Roman"/>
                            <w:color w:val="000000"/>
                            <w:sz w:val="19"/>
                            <w:szCs w:val="19"/>
                          </w:rPr>
                          <w:t>828 629</w:t>
                        </w:r>
                      </w:p>
                    </w:tc>
                    <w:tc>
                      <w:tcPr>
                        <w:tcW w:w="936" w:type="dxa"/>
                        <w:tcBorders>
                          <w:top w:val="nil"/>
                          <w:left w:val="nil"/>
                          <w:bottom w:val="single" w:sz="4" w:space="0" w:color="auto"/>
                          <w:right w:val="single" w:sz="4" w:space="0" w:color="auto"/>
                        </w:tcBorders>
                        <w:shd w:val="clear" w:color="000000" w:fill="FFFFFF"/>
                        <w:noWrap/>
                        <w:vAlign w:val="center"/>
                      </w:tcPr>
                      <w:p w:rsidR="00A34BA5" w:rsidRPr="00890C68" w:rsidRDefault="005D7415" w:rsidP="00916138">
                        <w:pPr>
                          <w:jc w:val="center"/>
                          <w:rPr>
                            <w:rFonts w:ascii="Times New Roman" w:hAnsi="Times New Roman"/>
                            <w:color w:val="FF0000"/>
                            <w:sz w:val="19"/>
                            <w:szCs w:val="19"/>
                          </w:rPr>
                        </w:pPr>
                        <w:r w:rsidRPr="00890C68">
                          <w:rPr>
                            <w:rFonts w:ascii="Times New Roman" w:hAnsi="Times New Roman"/>
                            <w:color w:val="000000"/>
                            <w:sz w:val="19"/>
                            <w:szCs w:val="19"/>
                          </w:rPr>
                          <w:t>521 520</w:t>
                        </w:r>
                      </w:p>
                    </w:tc>
                    <w:tc>
                      <w:tcPr>
                        <w:tcW w:w="936" w:type="dxa"/>
                        <w:tcBorders>
                          <w:top w:val="nil"/>
                          <w:left w:val="nil"/>
                          <w:bottom w:val="single" w:sz="4" w:space="0" w:color="auto"/>
                          <w:right w:val="single" w:sz="4" w:space="0" w:color="auto"/>
                        </w:tcBorders>
                        <w:shd w:val="clear" w:color="000000" w:fill="FFFFFF"/>
                        <w:noWrap/>
                        <w:vAlign w:val="center"/>
                      </w:tcPr>
                      <w:p w:rsidR="00A34BA5" w:rsidRPr="00890C68" w:rsidRDefault="005D7415" w:rsidP="00916138">
                        <w:pPr>
                          <w:jc w:val="center"/>
                          <w:rPr>
                            <w:rFonts w:ascii="Times New Roman" w:hAnsi="Times New Roman"/>
                            <w:color w:val="FF0000"/>
                            <w:sz w:val="19"/>
                            <w:szCs w:val="19"/>
                          </w:rPr>
                        </w:pPr>
                        <w:r w:rsidRPr="00890C68">
                          <w:rPr>
                            <w:rFonts w:ascii="Times New Roman" w:hAnsi="Times New Roman"/>
                            <w:color w:val="000000"/>
                            <w:sz w:val="19"/>
                            <w:szCs w:val="19"/>
                          </w:rPr>
                          <w:t>31 051</w:t>
                        </w:r>
                      </w:p>
                    </w:tc>
                    <w:tc>
                      <w:tcPr>
                        <w:tcW w:w="936" w:type="dxa"/>
                        <w:tcBorders>
                          <w:top w:val="nil"/>
                          <w:left w:val="nil"/>
                          <w:bottom w:val="single" w:sz="4" w:space="0" w:color="auto"/>
                          <w:right w:val="single" w:sz="4" w:space="0" w:color="auto"/>
                        </w:tcBorders>
                        <w:shd w:val="clear" w:color="000000" w:fill="FFFFFF"/>
                        <w:noWrap/>
                        <w:vAlign w:val="center"/>
                      </w:tcPr>
                      <w:p w:rsidR="00A34BA5" w:rsidRPr="00890C68" w:rsidRDefault="005D7415" w:rsidP="00916138">
                        <w:pPr>
                          <w:jc w:val="center"/>
                          <w:rPr>
                            <w:rFonts w:ascii="Times New Roman" w:hAnsi="Times New Roman"/>
                            <w:color w:val="FF0000"/>
                            <w:sz w:val="19"/>
                            <w:szCs w:val="19"/>
                          </w:rPr>
                        </w:pPr>
                        <w:r w:rsidRPr="00890C68">
                          <w:rPr>
                            <w:rFonts w:ascii="Times New Roman" w:hAnsi="Times New Roman"/>
                            <w:color w:val="000000"/>
                            <w:sz w:val="19"/>
                            <w:szCs w:val="19"/>
                          </w:rPr>
                          <w:t>666 522</w:t>
                        </w:r>
                      </w:p>
                    </w:tc>
                    <w:tc>
                      <w:tcPr>
                        <w:tcW w:w="1385" w:type="dxa"/>
                        <w:tcBorders>
                          <w:top w:val="nil"/>
                          <w:left w:val="nil"/>
                          <w:bottom w:val="single" w:sz="4" w:space="0" w:color="auto"/>
                          <w:right w:val="single" w:sz="4" w:space="0" w:color="auto"/>
                        </w:tcBorders>
                        <w:shd w:val="clear" w:color="000000" w:fill="FFFFFF"/>
                        <w:noWrap/>
                        <w:vAlign w:val="center"/>
                      </w:tcPr>
                      <w:p w:rsidR="00A34BA5" w:rsidRPr="00890C68" w:rsidRDefault="00627AE8" w:rsidP="00916138">
                        <w:pPr>
                          <w:jc w:val="center"/>
                          <w:rPr>
                            <w:rFonts w:ascii="Times New Roman" w:hAnsi="Times New Roman"/>
                            <w:b/>
                            <w:color w:val="FF0000"/>
                            <w:sz w:val="19"/>
                            <w:szCs w:val="19"/>
                          </w:rPr>
                        </w:pPr>
                        <w:r w:rsidRPr="00890C68">
                          <w:rPr>
                            <w:rFonts w:ascii="Times New Roman" w:hAnsi="Times New Roman"/>
                            <w:b/>
                            <w:color w:val="000000"/>
                            <w:sz w:val="19"/>
                            <w:szCs w:val="19"/>
                          </w:rPr>
                          <w:t>6 894 522</w:t>
                        </w:r>
                      </w:p>
                    </w:tc>
                  </w:tr>
                </w:tbl>
                <w:p w:rsidR="0006177E" w:rsidRPr="00890C68" w:rsidRDefault="0006177E" w:rsidP="0006177E">
                  <w:pPr>
                    <w:spacing w:line="240" w:lineRule="auto"/>
                    <w:jc w:val="both"/>
                    <w:rPr>
                      <w:rFonts w:ascii="Times New Roman" w:hAnsi="Times New Roman"/>
                    </w:rPr>
                  </w:pPr>
                </w:p>
                <w:p w:rsidR="0006177E" w:rsidRPr="00890C68" w:rsidRDefault="0006177E" w:rsidP="0006177E">
                  <w:pPr>
                    <w:spacing w:line="240" w:lineRule="auto"/>
                    <w:jc w:val="both"/>
                    <w:rPr>
                      <w:rFonts w:ascii="Times New Roman" w:hAnsi="Times New Roman"/>
                    </w:rPr>
                  </w:pPr>
                </w:p>
                <w:p w:rsidR="0006177E" w:rsidRPr="00890C68" w:rsidRDefault="0006177E" w:rsidP="0006177E">
                  <w:pPr>
                    <w:spacing w:line="240" w:lineRule="auto"/>
                    <w:jc w:val="both"/>
                    <w:rPr>
                      <w:rFonts w:ascii="Times New Roman" w:eastAsia="MS Mincho" w:hAnsi="Times New Roman"/>
                      <w:lang w:eastAsia="ja-JP"/>
                    </w:rPr>
                  </w:pPr>
                  <w:r w:rsidRPr="00890C68">
                    <w:rPr>
                      <w:rFonts w:ascii="Times New Roman" w:eastAsia="MS Mincho" w:hAnsi="Times New Roman"/>
                      <w:lang w:eastAsia="ja-JP"/>
                    </w:rPr>
                    <w:t xml:space="preserve">2) </w:t>
                  </w:r>
                  <w:r w:rsidR="00C62169" w:rsidRPr="00890C68">
                    <w:rPr>
                      <w:rFonts w:ascii="Times New Roman" w:eastAsia="MS Mincho" w:hAnsi="Times New Roman"/>
                      <w:lang w:eastAsia="ja-JP"/>
                    </w:rPr>
                    <w:t>K</w:t>
                  </w:r>
                  <w:r w:rsidRPr="00890C68">
                    <w:rPr>
                      <w:rFonts w:ascii="Times New Roman" w:eastAsia="MS Mincho" w:hAnsi="Times New Roman"/>
                      <w:lang w:eastAsia="ja-JP"/>
                    </w:rPr>
                    <w:t>orzyści - dane szczegółowe</w:t>
                  </w:r>
                </w:p>
                <w:p w:rsidR="0006177E" w:rsidRPr="00890C68" w:rsidRDefault="0006177E" w:rsidP="0006177E">
                  <w:pPr>
                    <w:spacing w:line="240" w:lineRule="auto"/>
                    <w:jc w:val="both"/>
                    <w:rPr>
                      <w:rFonts w:ascii="Times New Roman" w:eastAsia="MS Mincho" w:hAnsi="Times New Roman"/>
                      <w:lang w:eastAsia="ja-JP"/>
                    </w:rPr>
                  </w:pPr>
                  <w:r w:rsidRPr="00890C68">
                    <w:rPr>
                      <w:rFonts w:ascii="Times New Roman" w:eastAsia="MS Mincho" w:hAnsi="Times New Roman"/>
                      <w:lang w:eastAsia="ja-JP"/>
                    </w:rPr>
                    <w:t xml:space="preserve">Korzyści, które przewidywane są do osiągnięcia zawarto w poniższej tabeli. </w:t>
                  </w:r>
                </w:p>
                <w:p w:rsidR="0006177E" w:rsidRPr="00890C68" w:rsidRDefault="0006177E" w:rsidP="0006177E">
                  <w:pPr>
                    <w:spacing w:line="240" w:lineRule="auto"/>
                    <w:jc w:val="both"/>
                    <w:rPr>
                      <w:rFonts w:ascii="Times New Roman" w:eastAsia="MS Mincho" w:hAnsi="Times New Roman"/>
                      <w:sz w:val="24"/>
                      <w:szCs w:val="24"/>
                      <w:lang w:eastAsia="ja-JP"/>
                    </w:rPr>
                  </w:pPr>
                </w:p>
                <w:p w:rsidR="0006177E" w:rsidRPr="00890C68" w:rsidRDefault="0006177E" w:rsidP="0006177E">
                  <w:pPr>
                    <w:spacing w:line="240" w:lineRule="auto"/>
                    <w:jc w:val="both"/>
                    <w:rPr>
                      <w:rFonts w:ascii="Times New Roman" w:hAnsi="Times New Roman"/>
                    </w:rPr>
                  </w:pPr>
                  <w:r w:rsidRPr="00890C68">
                    <w:rPr>
                      <w:rFonts w:ascii="Times New Roman" w:hAnsi="Times New Roman"/>
                    </w:rPr>
                    <w:t>Tabela. korzyści</w:t>
                  </w:r>
                  <w:r w:rsidR="0081730A" w:rsidRPr="00890C68">
                    <w:rPr>
                      <w:rFonts w:ascii="Times New Roman" w:hAnsi="Times New Roman"/>
                    </w:rPr>
                    <w:t xml:space="preserve"> </w:t>
                  </w:r>
                  <w:r w:rsidR="003E7417" w:rsidRPr="00890C68">
                    <w:rPr>
                      <w:rFonts w:ascii="Times New Roman" w:hAnsi="Times New Roman"/>
                    </w:rPr>
                    <w:t xml:space="preserve">odbiorców </w:t>
                  </w:r>
                  <w:r w:rsidR="0081730A" w:rsidRPr="00890C68">
                    <w:rPr>
                      <w:rFonts w:ascii="Times New Roman" w:hAnsi="Times New Roman"/>
                    </w:rPr>
                    <w:t>grup taryfowych G i C1x&lt;16</w:t>
                  </w:r>
                  <w:r w:rsidR="003E7417" w:rsidRPr="00890C68">
                    <w:rPr>
                      <w:rFonts w:ascii="Times New Roman" w:hAnsi="Times New Roman"/>
                    </w:rPr>
                    <w:t xml:space="preserve"> </w:t>
                  </w:r>
                  <w:r w:rsidR="0081730A" w:rsidRPr="00890C68">
                    <w:rPr>
                      <w:rFonts w:ascii="Times New Roman" w:hAnsi="Times New Roman"/>
                    </w:rPr>
                    <w:t>kW</w:t>
                  </w:r>
                  <w:r w:rsidRPr="00890C68">
                    <w:rPr>
                      <w:rFonts w:ascii="Times New Roman" w:hAnsi="Times New Roman"/>
                    </w:rPr>
                    <w:t xml:space="preserve"> – (zdyskontowane na dzień 1 stycznia 201</w:t>
                  </w:r>
                  <w:r w:rsidR="005044C0" w:rsidRPr="00890C68">
                    <w:rPr>
                      <w:rFonts w:ascii="Times New Roman" w:hAnsi="Times New Roman"/>
                    </w:rPr>
                    <w:t>9</w:t>
                  </w:r>
                  <w:r w:rsidRPr="00890C68">
                    <w:rPr>
                      <w:rFonts w:ascii="Times New Roman" w:hAnsi="Times New Roman"/>
                    </w:rPr>
                    <w:t xml:space="preserve"> r, w cenach z 20</w:t>
                  </w:r>
                  <w:r w:rsidR="00D35522" w:rsidRPr="00890C68">
                    <w:rPr>
                      <w:rFonts w:ascii="Times New Roman" w:hAnsi="Times New Roman"/>
                    </w:rPr>
                    <w:t>1</w:t>
                  </w:r>
                  <w:r w:rsidR="00D57DEB" w:rsidRPr="00890C68">
                    <w:rPr>
                      <w:rFonts w:ascii="Times New Roman" w:hAnsi="Times New Roman"/>
                    </w:rPr>
                    <w:t>6</w:t>
                  </w:r>
                  <w:r w:rsidRPr="00890C68">
                    <w:rPr>
                      <w:rFonts w:ascii="Times New Roman" w:hAnsi="Times New Roman"/>
                    </w:rPr>
                    <w:t xml:space="preserve"> roku )</w:t>
                  </w:r>
                </w:p>
                <w:tbl>
                  <w:tblPr>
                    <w:tblW w:w="10932" w:type="dxa"/>
                    <w:tblLayout w:type="fixed"/>
                    <w:tblCellMar>
                      <w:left w:w="70" w:type="dxa"/>
                      <w:right w:w="70" w:type="dxa"/>
                    </w:tblCellMar>
                    <w:tblLook w:val="04A0" w:firstRow="1" w:lastRow="0" w:firstColumn="1" w:lastColumn="0" w:noHBand="0" w:noVBand="1"/>
                  </w:tblPr>
                  <w:tblGrid>
                    <w:gridCol w:w="2469"/>
                    <w:gridCol w:w="998"/>
                    <w:gridCol w:w="998"/>
                    <w:gridCol w:w="998"/>
                    <w:gridCol w:w="998"/>
                    <w:gridCol w:w="998"/>
                    <w:gridCol w:w="998"/>
                    <w:gridCol w:w="998"/>
                    <w:gridCol w:w="1477"/>
                  </w:tblGrid>
                  <w:tr w:rsidR="007D0CE9" w:rsidRPr="00890C68" w:rsidTr="007D0CE9">
                    <w:trPr>
                      <w:trHeight w:val="305"/>
                    </w:trPr>
                    <w:tc>
                      <w:tcPr>
                        <w:tcW w:w="24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D0CE9" w:rsidRPr="00890C68" w:rsidRDefault="007D0CE9" w:rsidP="007D0CE9">
                        <w:pPr>
                          <w:spacing w:line="240" w:lineRule="auto"/>
                          <w:rPr>
                            <w:rFonts w:ascii="Times New Roman" w:eastAsia="Times New Roman" w:hAnsi="Times New Roman"/>
                            <w:sz w:val="19"/>
                            <w:szCs w:val="19"/>
                            <w:lang w:eastAsia="pl-PL"/>
                          </w:rPr>
                        </w:pPr>
                        <w:r w:rsidRPr="00890C68">
                          <w:rPr>
                            <w:rFonts w:ascii="Times New Roman" w:eastAsia="Times New Roman" w:hAnsi="Times New Roman"/>
                            <w:sz w:val="19"/>
                            <w:szCs w:val="19"/>
                            <w:lang w:eastAsia="pl-PL"/>
                          </w:rPr>
                          <w:t>dane w tys. zł/rok od wejścia w życie zmiany</w:t>
                        </w:r>
                      </w:p>
                    </w:tc>
                    <w:tc>
                      <w:tcPr>
                        <w:tcW w:w="998" w:type="dxa"/>
                        <w:tcBorders>
                          <w:top w:val="single" w:sz="4" w:space="0" w:color="auto"/>
                          <w:left w:val="nil"/>
                          <w:bottom w:val="single" w:sz="4" w:space="0" w:color="auto"/>
                          <w:right w:val="single" w:sz="4" w:space="0" w:color="auto"/>
                        </w:tcBorders>
                        <w:shd w:val="clear" w:color="000000" w:fill="FFFFFF"/>
                        <w:noWrap/>
                        <w:vAlign w:val="center"/>
                        <w:hideMark/>
                      </w:tcPr>
                      <w:p w:rsidR="007D0CE9" w:rsidRPr="00890C68" w:rsidRDefault="007D0CE9" w:rsidP="007D0CE9">
                        <w:pPr>
                          <w:jc w:val="center"/>
                          <w:rPr>
                            <w:rFonts w:ascii="Times New Roman" w:hAnsi="Times New Roman"/>
                            <w:b/>
                            <w:sz w:val="19"/>
                            <w:szCs w:val="19"/>
                          </w:rPr>
                        </w:pPr>
                        <w:r w:rsidRPr="00890C68">
                          <w:rPr>
                            <w:rFonts w:ascii="Times New Roman" w:hAnsi="Times New Roman"/>
                            <w:b/>
                            <w:sz w:val="19"/>
                            <w:szCs w:val="19"/>
                          </w:rPr>
                          <w:t>1</w:t>
                        </w:r>
                      </w:p>
                    </w:tc>
                    <w:tc>
                      <w:tcPr>
                        <w:tcW w:w="998" w:type="dxa"/>
                        <w:tcBorders>
                          <w:top w:val="single" w:sz="4" w:space="0" w:color="auto"/>
                          <w:left w:val="nil"/>
                          <w:bottom w:val="single" w:sz="4" w:space="0" w:color="auto"/>
                          <w:right w:val="single" w:sz="4" w:space="0" w:color="auto"/>
                        </w:tcBorders>
                        <w:shd w:val="clear" w:color="000000" w:fill="FFFFFF"/>
                        <w:noWrap/>
                        <w:vAlign w:val="center"/>
                        <w:hideMark/>
                      </w:tcPr>
                      <w:p w:rsidR="007D0CE9" w:rsidRPr="00890C68" w:rsidRDefault="007D0CE9" w:rsidP="007D0CE9">
                        <w:pPr>
                          <w:jc w:val="center"/>
                          <w:rPr>
                            <w:rFonts w:ascii="Times New Roman" w:hAnsi="Times New Roman"/>
                            <w:b/>
                            <w:sz w:val="19"/>
                            <w:szCs w:val="19"/>
                          </w:rPr>
                        </w:pPr>
                        <w:r w:rsidRPr="00890C68">
                          <w:rPr>
                            <w:rFonts w:ascii="Times New Roman" w:hAnsi="Times New Roman"/>
                            <w:b/>
                            <w:sz w:val="19"/>
                            <w:szCs w:val="19"/>
                          </w:rPr>
                          <w:t>2</w:t>
                        </w:r>
                      </w:p>
                    </w:tc>
                    <w:tc>
                      <w:tcPr>
                        <w:tcW w:w="998" w:type="dxa"/>
                        <w:tcBorders>
                          <w:top w:val="single" w:sz="4" w:space="0" w:color="auto"/>
                          <w:left w:val="nil"/>
                          <w:bottom w:val="single" w:sz="4" w:space="0" w:color="auto"/>
                          <w:right w:val="single" w:sz="4" w:space="0" w:color="auto"/>
                        </w:tcBorders>
                        <w:shd w:val="clear" w:color="000000" w:fill="FFFFFF"/>
                        <w:noWrap/>
                        <w:vAlign w:val="center"/>
                        <w:hideMark/>
                      </w:tcPr>
                      <w:p w:rsidR="007D0CE9" w:rsidRPr="00890C68" w:rsidRDefault="007D0CE9" w:rsidP="007D0CE9">
                        <w:pPr>
                          <w:jc w:val="center"/>
                          <w:rPr>
                            <w:rFonts w:ascii="Times New Roman" w:hAnsi="Times New Roman"/>
                            <w:b/>
                            <w:sz w:val="19"/>
                            <w:szCs w:val="19"/>
                          </w:rPr>
                        </w:pPr>
                        <w:r w:rsidRPr="00890C68">
                          <w:rPr>
                            <w:rFonts w:ascii="Times New Roman" w:hAnsi="Times New Roman"/>
                            <w:b/>
                            <w:sz w:val="19"/>
                            <w:szCs w:val="19"/>
                          </w:rPr>
                          <w:t>3</w:t>
                        </w:r>
                      </w:p>
                    </w:tc>
                    <w:tc>
                      <w:tcPr>
                        <w:tcW w:w="998" w:type="dxa"/>
                        <w:tcBorders>
                          <w:top w:val="single" w:sz="4" w:space="0" w:color="auto"/>
                          <w:left w:val="nil"/>
                          <w:bottom w:val="single" w:sz="4" w:space="0" w:color="auto"/>
                          <w:right w:val="single" w:sz="4" w:space="0" w:color="auto"/>
                        </w:tcBorders>
                        <w:shd w:val="clear" w:color="000000" w:fill="FFFFFF"/>
                        <w:noWrap/>
                        <w:vAlign w:val="center"/>
                        <w:hideMark/>
                      </w:tcPr>
                      <w:p w:rsidR="007D0CE9" w:rsidRPr="00890C68" w:rsidRDefault="007D0CE9" w:rsidP="007D0CE9">
                        <w:pPr>
                          <w:jc w:val="center"/>
                          <w:rPr>
                            <w:rFonts w:ascii="Times New Roman" w:hAnsi="Times New Roman"/>
                            <w:b/>
                            <w:sz w:val="19"/>
                            <w:szCs w:val="19"/>
                          </w:rPr>
                        </w:pPr>
                        <w:r w:rsidRPr="00890C68">
                          <w:rPr>
                            <w:rFonts w:ascii="Times New Roman" w:hAnsi="Times New Roman"/>
                            <w:b/>
                            <w:sz w:val="19"/>
                            <w:szCs w:val="19"/>
                          </w:rPr>
                          <w:t>4</w:t>
                        </w:r>
                      </w:p>
                    </w:tc>
                    <w:tc>
                      <w:tcPr>
                        <w:tcW w:w="998" w:type="dxa"/>
                        <w:tcBorders>
                          <w:top w:val="single" w:sz="4" w:space="0" w:color="auto"/>
                          <w:left w:val="nil"/>
                          <w:bottom w:val="single" w:sz="4" w:space="0" w:color="auto"/>
                          <w:right w:val="single" w:sz="4" w:space="0" w:color="auto"/>
                        </w:tcBorders>
                        <w:shd w:val="clear" w:color="000000" w:fill="FFFFFF"/>
                        <w:noWrap/>
                        <w:vAlign w:val="center"/>
                        <w:hideMark/>
                      </w:tcPr>
                      <w:p w:rsidR="007D0CE9" w:rsidRPr="00890C68" w:rsidRDefault="007D0CE9" w:rsidP="007D0CE9">
                        <w:pPr>
                          <w:jc w:val="center"/>
                          <w:rPr>
                            <w:rFonts w:ascii="Times New Roman" w:hAnsi="Times New Roman"/>
                            <w:b/>
                            <w:sz w:val="19"/>
                            <w:szCs w:val="19"/>
                          </w:rPr>
                        </w:pPr>
                        <w:r w:rsidRPr="00890C68">
                          <w:rPr>
                            <w:rFonts w:ascii="Times New Roman" w:hAnsi="Times New Roman"/>
                            <w:b/>
                            <w:sz w:val="19"/>
                            <w:szCs w:val="19"/>
                          </w:rPr>
                          <w:t>5</w:t>
                        </w:r>
                      </w:p>
                    </w:tc>
                    <w:tc>
                      <w:tcPr>
                        <w:tcW w:w="998" w:type="dxa"/>
                        <w:tcBorders>
                          <w:top w:val="single" w:sz="4" w:space="0" w:color="auto"/>
                          <w:left w:val="nil"/>
                          <w:bottom w:val="single" w:sz="4" w:space="0" w:color="auto"/>
                          <w:right w:val="single" w:sz="4" w:space="0" w:color="auto"/>
                        </w:tcBorders>
                        <w:shd w:val="clear" w:color="000000" w:fill="FFFFFF"/>
                        <w:noWrap/>
                        <w:vAlign w:val="center"/>
                        <w:hideMark/>
                      </w:tcPr>
                      <w:p w:rsidR="007D0CE9" w:rsidRPr="00890C68" w:rsidRDefault="007D0CE9" w:rsidP="007D0CE9">
                        <w:pPr>
                          <w:jc w:val="center"/>
                          <w:rPr>
                            <w:rFonts w:ascii="Times New Roman" w:hAnsi="Times New Roman"/>
                            <w:b/>
                            <w:sz w:val="19"/>
                            <w:szCs w:val="19"/>
                          </w:rPr>
                        </w:pPr>
                        <w:r w:rsidRPr="00890C68">
                          <w:rPr>
                            <w:rFonts w:ascii="Times New Roman" w:hAnsi="Times New Roman"/>
                            <w:b/>
                            <w:sz w:val="19"/>
                            <w:szCs w:val="19"/>
                          </w:rPr>
                          <w:t>10</w:t>
                        </w:r>
                      </w:p>
                    </w:tc>
                    <w:tc>
                      <w:tcPr>
                        <w:tcW w:w="998" w:type="dxa"/>
                        <w:tcBorders>
                          <w:top w:val="single" w:sz="4" w:space="0" w:color="auto"/>
                          <w:left w:val="nil"/>
                          <w:bottom w:val="single" w:sz="4" w:space="0" w:color="auto"/>
                          <w:right w:val="single" w:sz="4" w:space="0" w:color="auto"/>
                        </w:tcBorders>
                        <w:shd w:val="clear" w:color="000000" w:fill="FFFFFF"/>
                        <w:noWrap/>
                        <w:vAlign w:val="center"/>
                        <w:hideMark/>
                      </w:tcPr>
                      <w:p w:rsidR="007D0CE9" w:rsidRPr="00890C68" w:rsidRDefault="007D0CE9" w:rsidP="007D0CE9">
                        <w:pPr>
                          <w:jc w:val="center"/>
                          <w:rPr>
                            <w:rFonts w:ascii="Times New Roman" w:hAnsi="Times New Roman"/>
                            <w:b/>
                            <w:sz w:val="19"/>
                            <w:szCs w:val="19"/>
                          </w:rPr>
                        </w:pPr>
                        <w:r w:rsidRPr="00890C68">
                          <w:rPr>
                            <w:rFonts w:ascii="Times New Roman" w:hAnsi="Times New Roman"/>
                            <w:b/>
                            <w:sz w:val="19"/>
                            <w:szCs w:val="19"/>
                          </w:rPr>
                          <w:t>15</w:t>
                        </w:r>
                      </w:p>
                    </w:tc>
                    <w:tc>
                      <w:tcPr>
                        <w:tcW w:w="1477" w:type="dxa"/>
                        <w:tcBorders>
                          <w:top w:val="single" w:sz="4" w:space="0" w:color="auto"/>
                          <w:left w:val="nil"/>
                          <w:bottom w:val="single" w:sz="4" w:space="0" w:color="auto"/>
                          <w:right w:val="single" w:sz="4" w:space="0" w:color="auto"/>
                        </w:tcBorders>
                        <w:shd w:val="clear" w:color="000000" w:fill="FFFFFF"/>
                        <w:noWrap/>
                        <w:vAlign w:val="center"/>
                        <w:hideMark/>
                      </w:tcPr>
                      <w:p w:rsidR="007D0CE9" w:rsidRPr="00890C68" w:rsidRDefault="007D0CE9" w:rsidP="007D0CE9">
                        <w:pPr>
                          <w:jc w:val="center"/>
                          <w:rPr>
                            <w:rFonts w:ascii="Times New Roman" w:hAnsi="Times New Roman"/>
                            <w:b/>
                            <w:i/>
                            <w:sz w:val="19"/>
                            <w:szCs w:val="19"/>
                          </w:rPr>
                        </w:pPr>
                        <w:r w:rsidRPr="00890C68">
                          <w:rPr>
                            <w:rFonts w:ascii="Times New Roman" w:hAnsi="Times New Roman"/>
                            <w:b/>
                            <w:i/>
                            <w:sz w:val="19"/>
                            <w:szCs w:val="19"/>
                          </w:rPr>
                          <w:t>Łącznie</w:t>
                        </w:r>
                        <w:r w:rsidRPr="00890C68">
                          <w:rPr>
                            <w:rFonts w:ascii="Times New Roman" w:hAnsi="Times New Roman"/>
                            <w:b/>
                            <w:i/>
                            <w:sz w:val="19"/>
                            <w:szCs w:val="19"/>
                          </w:rPr>
                          <w:br/>
                          <w:t>(0-15)</w:t>
                        </w:r>
                      </w:p>
                    </w:tc>
                  </w:tr>
                  <w:tr w:rsidR="007D0CE9" w:rsidRPr="00890C68" w:rsidTr="007D0CE9">
                    <w:trPr>
                      <w:trHeight w:val="442"/>
                    </w:trPr>
                    <w:tc>
                      <w:tcPr>
                        <w:tcW w:w="2469" w:type="dxa"/>
                        <w:tcBorders>
                          <w:top w:val="nil"/>
                          <w:left w:val="single" w:sz="4" w:space="0" w:color="auto"/>
                          <w:bottom w:val="single" w:sz="4" w:space="0" w:color="auto"/>
                          <w:right w:val="single" w:sz="4" w:space="0" w:color="auto"/>
                        </w:tcBorders>
                        <w:shd w:val="clear" w:color="000000" w:fill="FFFFFF"/>
                        <w:vAlign w:val="center"/>
                        <w:hideMark/>
                      </w:tcPr>
                      <w:p w:rsidR="007D0CE9" w:rsidRPr="00890C68" w:rsidRDefault="00E06482" w:rsidP="007D0CE9">
                        <w:pPr>
                          <w:spacing w:line="240" w:lineRule="auto"/>
                          <w:jc w:val="center"/>
                          <w:rPr>
                            <w:rFonts w:ascii="Times New Roman" w:eastAsia="Times New Roman" w:hAnsi="Times New Roman"/>
                            <w:sz w:val="19"/>
                            <w:szCs w:val="19"/>
                            <w:lang w:eastAsia="pl-PL"/>
                          </w:rPr>
                        </w:pPr>
                        <w:r w:rsidRPr="00890C68">
                          <w:rPr>
                            <w:rFonts w:ascii="Times New Roman" w:eastAsia="Times New Roman" w:hAnsi="Times New Roman"/>
                            <w:sz w:val="19"/>
                            <w:szCs w:val="19"/>
                            <w:lang w:eastAsia="pl-PL"/>
                          </w:rPr>
                          <w:t>Świadome zużycie energii – wyzwolenie zachowań na rzecz efektywnego wykorzystania energii</w:t>
                        </w:r>
                        <w:r w:rsidR="00586CAB" w:rsidRPr="00890C68">
                          <w:rPr>
                            <w:rFonts w:ascii="Times New Roman" w:eastAsia="Times New Roman" w:hAnsi="Times New Roman"/>
                            <w:sz w:val="19"/>
                            <w:szCs w:val="19"/>
                            <w:lang w:eastAsia="pl-PL"/>
                          </w:rPr>
                          <w:t>: obniżenie zużycia</w:t>
                        </w:r>
                      </w:p>
                    </w:tc>
                    <w:tc>
                      <w:tcPr>
                        <w:tcW w:w="998" w:type="dxa"/>
                        <w:tcBorders>
                          <w:top w:val="nil"/>
                          <w:left w:val="nil"/>
                          <w:bottom w:val="single" w:sz="4" w:space="0" w:color="auto"/>
                          <w:right w:val="single" w:sz="4" w:space="0" w:color="auto"/>
                        </w:tcBorders>
                        <w:shd w:val="clear" w:color="000000" w:fill="FFFFFF"/>
                        <w:noWrap/>
                        <w:vAlign w:val="center"/>
                      </w:tcPr>
                      <w:p w:rsidR="007D0CE9" w:rsidRPr="00890C68" w:rsidRDefault="00706E8E" w:rsidP="007D0CE9">
                        <w:pPr>
                          <w:jc w:val="center"/>
                          <w:rPr>
                            <w:rFonts w:ascii="Times New Roman" w:hAnsi="Times New Roman"/>
                            <w:sz w:val="19"/>
                            <w:szCs w:val="19"/>
                          </w:rPr>
                        </w:pPr>
                        <w:r w:rsidRPr="00890C68">
                          <w:rPr>
                            <w:rFonts w:ascii="Times New Roman" w:hAnsi="Times New Roman"/>
                            <w:sz w:val="19"/>
                            <w:szCs w:val="19"/>
                          </w:rPr>
                          <w:t>0</w:t>
                        </w:r>
                        <w:r w:rsidR="003367D9" w:rsidRPr="00890C68">
                          <w:rPr>
                            <w:rFonts w:ascii="Times New Roman" w:hAnsi="Times New Roman"/>
                            <w:sz w:val="19"/>
                            <w:szCs w:val="19"/>
                          </w:rPr>
                          <w:t>,0</w:t>
                        </w:r>
                      </w:p>
                    </w:tc>
                    <w:tc>
                      <w:tcPr>
                        <w:tcW w:w="998" w:type="dxa"/>
                        <w:tcBorders>
                          <w:top w:val="nil"/>
                          <w:left w:val="nil"/>
                          <w:bottom w:val="single" w:sz="4" w:space="0" w:color="auto"/>
                          <w:right w:val="single" w:sz="4" w:space="0" w:color="auto"/>
                        </w:tcBorders>
                        <w:shd w:val="clear" w:color="000000" w:fill="FFFFFF"/>
                        <w:noWrap/>
                        <w:vAlign w:val="center"/>
                      </w:tcPr>
                      <w:p w:rsidR="007D0CE9" w:rsidRPr="00890C68" w:rsidRDefault="00706E8E" w:rsidP="007D0CE9">
                        <w:pPr>
                          <w:jc w:val="center"/>
                          <w:rPr>
                            <w:rFonts w:ascii="Times New Roman" w:hAnsi="Times New Roman"/>
                            <w:sz w:val="19"/>
                            <w:szCs w:val="19"/>
                          </w:rPr>
                        </w:pPr>
                        <w:r w:rsidRPr="00890C68">
                          <w:rPr>
                            <w:rFonts w:ascii="Times New Roman" w:hAnsi="Times New Roman"/>
                            <w:sz w:val="19"/>
                            <w:szCs w:val="19"/>
                          </w:rPr>
                          <w:t>0</w:t>
                        </w:r>
                        <w:r w:rsidR="003367D9" w:rsidRPr="00890C68">
                          <w:rPr>
                            <w:rFonts w:ascii="Times New Roman" w:hAnsi="Times New Roman"/>
                            <w:sz w:val="19"/>
                            <w:szCs w:val="19"/>
                          </w:rPr>
                          <w:t>,0</w:t>
                        </w:r>
                      </w:p>
                    </w:tc>
                    <w:tc>
                      <w:tcPr>
                        <w:tcW w:w="998" w:type="dxa"/>
                        <w:tcBorders>
                          <w:top w:val="nil"/>
                          <w:left w:val="nil"/>
                          <w:bottom w:val="single" w:sz="4" w:space="0" w:color="auto"/>
                          <w:right w:val="single" w:sz="4" w:space="0" w:color="auto"/>
                        </w:tcBorders>
                        <w:shd w:val="clear" w:color="000000" w:fill="FFFFFF"/>
                        <w:noWrap/>
                        <w:vAlign w:val="center"/>
                      </w:tcPr>
                      <w:p w:rsidR="007D0CE9" w:rsidRPr="00890C68" w:rsidRDefault="00706E8E" w:rsidP="007D0CE9">
                        <w:pPr>
                          <w:jc w:val="center"/>
                          <w:rPr>
                            <w:rFonts w:ascii="Times New Roman" w:hAnsi="Times New Roman"/>
                            <w:sz w:val="19"/>
                            <w:szCs w:val="19"/>
                          </w:rPr>
                        </w:pPr>
                        <w:r w:rsidRPr="00890C68">
                          <w:rPr>
                            <w:rFonts w:ascii="Times New Roman" w:hAnsi="Times New Roman"/>
                            <w:sz w:val="19"/>
                            <w:szCs w:val="19"/>
                          </w:rPr>
                          <w:t>0</w:t>
                        </w:r>
                        <w:r w:rsidR="003367D9" w:rsidRPr="00890C68">
                          <w:rPr>
                            <w:rFonts w:ascii="Times New Roman" w:hAnsi="Times New Roman"/>
                            <w:sz w:val="19"/>
                            <w:szCs w:val="19"/>
                          </w:rPr>
                          <w:t>,0</w:t>
                        </w:r>
                      </w:p>
                    </w:tc>
                    <w:tc>
                      <w:tcPr>
                        <w:tcW w:w="998" w:type="dxa"/>
                        <w:tcBorders>
                          <w:top w:val="nil"/>
                          <w:left w:val="nil"/>
                          <w:bottom w:val="single" w:sz="4" w:space="0" w:color="auto"/>
                          <w:right w:val="single" w:sz="4" w:space="0" w:color="auto"/>
                        </w:tcBorders>
                        <w:shd w:val="clear" w:color="000000" w:fill="FFFFFF"/>
                        <w:noWrap/>
                        <w:vAlign w:val="center"/>
                      </w:tcPr>
                      <w:p w:rsidR="007D0CE9" w:rsidRPr="00890C68" w:rsidRDefault="005B5ECD" w:rsidP="007D0CE9">
                        <w:pPr>
                          <w:jc w:val="center"/>
                          <w:rPr>
                            <w:rFonts w:ascii="Times New Roman" w:hAnsi="Times New Roman"/>
                            <w:sz w:val="19"/>
                            <w:szCs w:val="19"/>
                          </w:rPr>
                        </w:pPr>
                        <w:r w:rsidRPr="00890C68">
                          <w:rPr>
                            <w:rFonts w:ascii="Times New Roman" w:hAnsi="Times New Roman"/>
                            <w:sz w:val="19"/>
                            <w:szCs w:val="19"/>
                          </w:rPr>
                          <w:t>82 379</w:t>
                        </w:r>
                      </w:p>
                    </w:tc>
                    <w:tc>
                      <w:tcPr>
                        <w:tcW w:w="998" w:type="dxa"/>
                        <w:tcBorders>
                          <w:top w:val="nil"/>
                          <w:left w:val="nil"/>
                          <w:bottom w:val="single" w:sz="4" w:space="0" w:color="auto"/>
                          <w:right w:val="single" w:sz="4" w:space="0" w:color="auto"/>
                        </w:tcBorders>
                        <w:shd w:val="clear" w:color="000000" w:fill="FFFFFF"/>
                        <w:noWrap/>
                        <w:vAlign w:val="center"/>
                      </w:tcPr>
                      <w:p w:rsidR="007D0CE9" w:rsidRPr="00890C68" w:rsidRDefault="005B5ECD" w:rsidP="007D0CE9">
                        <w:pPr>
                          <w:jc w:val="center"/>
                          <w:rPr>
                            <w:rFonts w:ascii="Times New Roman" w:hAnsi="Times New Roman"/>
                            <w:sz w:val="19"/>
                            <w:szCs w:val="19"/>
                          </w:rPr>
                        </w:pPr>
                        <w:r w:rsidRPr="00890C68">
                          <w:rPr>
                            <w:rFonts w:ascii="Times New Roman" w:hAnsi="Times New Roman"/>
                            <w:sz w:val="19"/>
                            <w:szCs w:val="19"/>
                          </w:rPr>
                          <w:t>140 310</w:t>
                        </w:r>
                      </w:p>
                    </w:tc>
                    <w:tc>
                      <w:tcPr>
                        <w:tcW w:w="998" w:type="dxa"/>
                        <w:tcBorders>
                          <w:top w:val="nil"/>
                          <w:left w:val="nil"/>
                          <w:bottom w:val="single" w:sz="4" w:space="0" w:color="auto"/>
                          <w:right w:val="single" w:sz="4" w:space="0" w:color="auto"/>
                        </w:tcBorders>
                        <w:shd w:val="clear" w:color="000000" w:fill="FFFFFF"/>
                        <w:noWrap/>
                        <w:vAlign w:val="center"/>
                      </w:tcPr>
                      <w:p w:rsidR="007D0CE9" w:rsidRPr="00890C68" w:rsidRDefault="005B5ECD" w:rsidP="007D0CE9">
                        <w:pPr>
                          <w:jc w:val="center"/>
                          <w:rPr>
                            <w:rFonts w:ascii="Times New Roman" w:hAnsi="Times New Roman"/>
                            <w:sz w:val="19"/>
                            <w:szCs w:val="19"/>
                          </w:rPr>
                        </w:pPr>
                        <w:r w:rsidRPr="00890C68">
                          <w:rPr>
                            <w:rFonts w:ascii="Times New Roman" w:hAnsi="Times New Roman"/>
                            <w:sz w:val="19"/>
                            <w:szCs w:val="19"/>
                          </w:rPr>
                          <w:t>499 399</w:t>
                        </w:r>
                      </w:p>
                    </w:tc>
                    <w:tc>
                      <w:tcPr>
                        <w:tcW w:w="998" w:type="dxa"/>
                        <w:tcBorders>
                          <w:top w:val="nil"/>
                          <w:left w:val="nil"/>
                          <w:bottom w:val="single" w:sz="4" w:space="0" w:color="auto"/>
                          <w:right w:val="single" w:sz="4" w:space="0" w:color="auto"/>
                        </w:tcBorders>
                        <w:shd w:val="clear" w:color="000000" w:fill="FFFFFF"/>
                        <w:noWrap/>
                        <w:vAlign w:val="center"/>
                      </w:tcPr>
                      <w:p w:rsidR="007D0CE9" w:rsidRPr="00890C68" w:rsidRDefault="005B5ECD" w:rsidP="007D0CE9">
                        <w:pPr>
                          <w:jc w:val="center"/>
                          <w:rPr>
                            <w:rFonts w:ascii="Times New Roman" w:hAnsi="Times New Roman"/>
                            <w:sz w:val="19"/>
                            <w:szCs w:val="19"/>
                          </w:rPr>
                        </w:pPr>
                        <w:r w:rsidRPr="00890C68">
                          <w:rPr>
                            <w:rFonts w:ascii="Times New Roman" w:hAnsi="Times New Roman"/>
                            <w:sz w:val="19"/>
                            <w:szCs w:val="19"/>
                          </w:rPr>
                          <w:t>554 953</w:t>
                        </w:r>
                      </w:p>
                    </w:tc>
                    <w:tc>
                      <w:tcPr>
                        <w:tcW w:w="1477" w:type="dxa"/>
                        <w:tcBorders>
                          <w:top w:val="nil"/>
                          <w:left w:val="nil"/>
                          <w:bottom w:val="single" w:sz="4" w:space="0" w:color="auto"/>
                          <w:right w:val="single" w:sz="4" w:space="0" w:color="auto"/>
                        </w:tcBorders>
                        <w:shd w:val="clear" w:color="000000" w:fill="FFFFFF"/>
                        <w:noWrap/>
                        <w:vAlign w:val="center"/>
                      </w:tcPr>
                      <w:p w:rsidR="007D0CE9" w:rsidRPr="00890C68" w:rsidRDefault="0086707C" w:rsidP="007D0CE9">
                        <w:pPr>
                          <w:jc w:val="center"/>
                          <w:rPr>
                            <w:rFonts w:ascii="Times New Roman" w:hAnsi="Times New Roman"/>
                            <w:b/>
                            <w:sz w:val="19"/>
                            <w:szCs w:val="19"/>
                          </w:rPr>
                        </w:pPr>
                        <w:r w:rsidRPr="00890C68">
                          <w:rPr>
                            <w:rFonts w:ascii="Times New Roman" w:hAnsi="Times New Roman"/>
                            <w:b/>
                            <w:sz w:val="19"/>
                            <w:szCs w:val="19"/>
                          </w:rPr>
                          <w:t>4 755 508</w:t>
                        </w:r>
                      </w:p>
                    </w:tc>
                  </w:tr>
                  <w:tr w:rsidR="007D0CE9" w:rsidRPr="00890C68" w:rsidTr="007D0CE9">
                    <w:trPr>
                      <w:trHeight w:val="442"/>
                    </w:trPr>
                    <w:tc>
                      <w:tcPr>
                        <w:tcW w:w="2469" w:type="dxa"/>
                        <w:tcBorders>
                          <w:top w:val="nil"/>
                          <w:left w:val="single" w:sz="4" w:space="0" w:color="auto"/>
                          <w:bottom w:val="single" w:sz="4" w:space="0" w:color="auto"/>
                          <w:right w:val="single" w:sz="4" w:space="0" w:color="auto"/>
                        </w:tcBorders>
                        <w:shd w:val="clear" w:color="000000" w:fill="FFFFFF"/>
                        <w:vAlign w:val="center"/>
                      </w:tcPr>
                      <w:p w:rsidR="007D0CE9" w:rsidRPr="00890C68" w:rsidRDefault="00586CAB" w:rsidP="007D0CE9">
                        <w:pPr>
                          <w:spacing w:line="240" w:lineRule="auto"/>
                          <w:jc w:val="center"/>
                          <w:rPr>
                            <w:rFonts w:ascii="Times New Roman" w:eastAsia="Times New Roman" w:hAnsi="Times New Roman"/>
                            <w:sz w:val="19"/>
                            <w:szCs w:val="19"/>
                            <w:lang w:eastAsia="pl-PL"/>
                          </w:rPr>
                        </w:pPr>
                        <w:r w:rsidRPr="00890C68">
                          <w:rPr>
                            <w:rFonts w:ascii="Times New Roman" w:eastAsia="Times New Roman" w:hAnsi="Times New Roman"/>
                            <w:sz w:val="19"/>
                            <w:szCs w:val="19"/>
                            <w:lang w:eastAsia="pl-PL"/>
                          </w:rPr>
                          <w:t>Zmniejszenie udziału we wsparciu utrzymania i budowy nowych źródeł wytwórczych</w:t>
                        </w:r>
                      </w:p>
                    </w:tc>
                    <w:tc>
                      <w:tcPr>
                        <w:tcW w:w="998" w:type="dxa"/>
                        <w:tcBorders>
                          <w:top w:val="nil"/>
                          <w:left w:val="nil"/>
                          <w:bottom w:val="single" w:sz="4" w:space="0" w:color="auto"/>
                          <w:right w:val="single" w:sz="4" w:space="0" w:color="auto"/>
                        </w:tcBorders>
                        <w:shd w:val="clear" w:color="000000" w:fill="FFFFFF"/>
                        <w:noWrap/>
                        <w:vAlign w:val="center"/>
                      </w:tcPr>
                      <w:p w:rsidR="007D0CE9" w:rsidRPr="00890C68" w:rsidRDefault="003367D9" w:rsidP="007D0CE9">
                        <w:pPr>
                          <w:jc w:val="center"/>
                          <w:rPr>
                            <w:rFonts w:ascii="Times New Roman" w:hAnsi="Times New Roman"/>
                            <w:sz w:val="19"/>
                            <w:szCs w:val="19"/>
                          </w:rPr>
                        </w:pPr>
                        <w:r w:rsidRPr="00890C68">
                          <w:rPr>
                            <w:rFonts w:ascii="Times New Roman" w:hAnsi="Times New Roman"/>
                            <w:sz w:val="19"/>
                            <w:szCs w:val="19"/>
                          </w:rPr>
                          <w:t>0,0</w:t>
                        </w:r>
                      </w:p>
                    </w:tc>
                    <w:tc>
                      <w:tcPr>
                        <w:tcW w:w="998" w:type="dxa"/>
                        <w:tcBorders>
                          <w:top w:val="nil"/>
                          <w:left w:val="nil"/>
                          <w:bottom w:val="single" w:sz="4" w:space="0" w:color="auto"/>
                          <w:right w:val="single" w:sz="4" w:space="0" w:color="auto"/>
                        </w:tcBorders>
                        <w:shd w:val="clear" w:color="000000" w:fill="FFFFFF"/>
                        <w:noWrap/>
                        <w:vAlign w:val="center"/>
                      </w:tcPr>
                      <w:p w:rsidR="007D0CE9" w:rsidRPr="00890C68" w:rsidRDefault="003367D9" w:rsidP="007D0CE9">
                        <w:pPr>
                          <w:jc w:val="center"/>
                          <w:rPr>
                            <w:rFonts w:ascii="Times New Roman" w:hAnsi="Times New Roman"/>
                            <w:sz w:val="19"/>
                            <w:szCs w:val="19"/>
                          </w:rPr>
                        </w:pPr>
                        <w:r w:rsidRPr="00890C68">
                          <w:rPr>
                            <w:rFonts w:ascii="Times New Roman" w:hAnsi="Times New Roman"/>
                            <w:sz w:val="19"/>
                            <w:szCs w:val="19"/>
                          </w:rPr>
                          <w:t>0,0</w:t>
                        </w:r>
                      </w:p>
                    </w:tc>
                    <w:tc>
                      <w:tcPr>
                        <w:tcW w:w="998" w:type="dxa"/>
                        <w:tcBorders>
                          <w:top w:val="nil"/>
                          <w:left w:val="nil"/>
                          <w:bottom w:val="single" w:sz="4" w:space="0" w:color="auto"/>
                          <w:right w:val="single" w:sz="4" w:space="0" w:color="auto"/>
                        </w:tcBorders>
                        <w:shd w:val="clear" w:color="000000" w:fill="FFFFFF"/>
                        <w:noWrap/>
                        <w:vAlign w:val="center"/>
                      </w:tcPr>
                      <w:p w:rsidR="007D0CE9" w:rsidRPr="00890C68" w:rsidRDefault="003367D9" w:rsidP="0003215D">
                        <w:pPr>
                          <w:jc w:val="center"/>
                          <w:rPr>
                            <w:rFonts w:ascii="Times New Roman" w:hAnsi="Times New Roman"/>
                            <w:sz w:val="19"/>
                            <w:szCs w:val="19"/>
                          </w:rPr>
                        </w:pPr>
                        <w:r w:rsidRPr="00890C68">
                          <w:rPr>
                            <w:rFonts w:ascii="Times New Roman" w:hAnsi="Times New Roman"/>
                            <w:sz w:val="19"/>
                            <w:szCs w:val="19"/>
                          </w:rPr>
                          <w:t>0,0</w:t>
                        </w:r>
                      </w:p>
                    </w:tc>
                    <w:tc>
                      <w:tcPr>
                        <w:tcW w:w="998" w:type="dxa"/>
                        <w:tcBorders>
                          <w:top w:val="nil"/>
                          <w:left w:val="nil"/>
                          <w:bottom w:val="single" w:sz="4" w:space="0" w:color="auto"/>
                          <w:right w:val="single" w:sz="4" w:space="0" w:color="auto"/>
                        </w:tcBorders>
                        <w:shd w:val="clear" w:color="000000" w:fill="FFFFFF"/>
                        <w:noWrap/>
                        <w:vAlign w:val="center"/>
                      </w:tcPr>
                      <w:p w:rsidR="007D0CE9" w:rsidRPr="00890C68" w:rsidRDefault="003367D9" w:rsidP="007D0CE9">
                        <w:pPr>
                          <w:jc w:val="center"/>
                          <w:rPr>
                            <w:rFonts w:ascii="Times New Roman" w:hAnsi="Times New Roman"/>
                            <w:sz w:val="19"/>
                            <w:szCs w:val="19"/>
                          </w:rPr>
                        </w:pPr>
                        <w:r w:rsidRPr="00890C68">
                          <w:rPr>
                            <w:rFonts w:ascii="Times New Roman" w:hAnsi="Times New Roman"/>
                            <w:sz w:val="19"/>
                            <w:szCs w:val="19"/>
                          </w:rPr>
                          <w:t>63 462</w:t>
                        </w:r>
                      </w:p>
                    </w:tc>
                    <w:tc>
                      <w:tcPr>
                        <w:tcW w:w="998" w:type="dxa"/>
                        <w:tcBorders>
                          <w:top w:val="nil"/>
                          <w:left w:val="nil"/>
                          <w:bottom w:val="single" w:sz="4" w:space="0" w:color="auto"/>
                          <w:right w:val="single" w:sz="4" w:space="0" w:color="auto"/>
                        </w:tcBorders>
                        <w:shd w:val="clear" w:color="000000" w:fill="FFFFFF"/>
                        <w:noWrap/>
                        <w:vAlign w:val="center"/>
                      </w:tcPr>
                      <w:p w:rsidR="007D0CE9" w:rsidRPr="00890C68" w:rsidRDefault="003367D9" w:rsidP="007D0CE9">
                        <w:pPr>
                          <w:jc w:val="center"/>
                          <w:rPr>
                            <w:rFonts w:ascii="Times New Roman" w:hAnsi="Times New Roman"/>
                            <w:sz w:val="19"/>
                            <w:szCs w:val="19"/>
                          </w:rPr>
                        </w:pPr>
                        <w:r w:rsidRPr="00890C68">
                          <w:rPr>
                            <w:rFonts w:ascii="Times New Roman" w:hAnsi="Times New Roman"/>
                            <w:sz w:val="19"/>
                            <w:szCs w:val="19"/>
                          </w:rPr>
                          <w:t>106 269</w:t>
                        </w:r>
                      </w:p>
                    </w:tc>
                    <w:tc>
                      <w:tcPr>
                        <w:tcW w:w="998" w:type="dxa"/>
                        <w:tcBorders>
                          <w:top w:val="nil"/>
                          <w:left w:val="nil"/>
                          <w:bottom w:val="single" w:sz="4" w:space="0" w:color="auto"/>
                          <w:right w:val="single" w:sz="4" w:space="0" w:color="auto"/>
                        </w:tcBorders>
                        <w:shd w:val="clear" w:color="000000" w:fill="FFFFFF"/>
                        <w:noWrap/>
                        <w:vAlign w:val="center"/>
                      </w:tcPr>
                      <w:p w:rsidR="007D0CE9" w:rsidRPr="00890C68" w:rsidRDefault="003367D9" w:rsidP="007D0CE9">
                        <w:pPr>
                          <w:jc w:val="center"/>
                          <w:rPr>
                            <w:rFonts w:ascii="Times New Roman" w:hAnsi="Times New Roman"/>
                            <w:sz w:val="19"/>
                            <w:szCs w:val="19"/>
                          </w:rPr>
                        </w:pPr>
                        <w:r w:rsidRPr="00890C68">
                          <w:rPr>
                            <w:rFonts w:ascii="Times New Roman" w:hAnsi="Times New Roman"/>
                            <w:sz w:val="19"/>
                            <w:szCs w:val="19"/>
                          </w:rPr>
                          <w:t>345 994</w:t>
                        </w:r>
                      </w:p>
                    </w:tc>
                    <w:tc>
                      <w:tcPr>
                        <w:tcW w:w="998" w:type="dxa"/>
                        <w:tcBorders>
                          <w:top w:val="nil"/>
                          <w:left w:val="nil"/>
                          <w:bottom w:val="single" w:sz="4" w:space="0" w:color="auto"/>
                          <w:right w:val="single" w:sz="4" w:space="0" w:color="auto"/>
                        </w:tcBorders>
                        <w:shd w:val="clear" w:color="000000" w:fill="FFFFFF"/>
                        <w:noWrap/>
                        <w:vAlign w:val="center"/>
                      </w:tcPr>
                      <w:p w:rsidR="007D0CE9" w:rsidRPr="00890C68" w:rsidRDefault="003367D9" w:rsidP="007D0CE9">
                        <w:pPr>
                          <w:jc w:val="center"/>
                          <w:rPr>
                            <w:rFonts w:ascii="Times New Roman" w:hAnsi="Times New Roman"/>
                            <w:sz w:val="19"/>
                            <w:szCs w:val="19"/>
                          </w:rPr>
                        </w:pPr>
                        <w:r w:rsidRPr="00890C68">
                          <w:rPr>
                            <w:rFonts w:ascii="Times New Roman" w:hAnsi="Times New Roman"/>
                            <w:sz w:val="19"/>
                            <w:szCs w:val="19"/>
                          </w:rPr>
                          <w:t>344 270</w:t>
                        </w:r>
                      </w:p>
                    </w:tc>
                    <w:tc>
                      <w:tcPr>
                        <w:tcW w:w="1477" w:type="dxa"/>
                        <w:tcBorders>
                          <w:top w:val="nil"/>
                          <w:left w:val="nil"/>
                          <w:bottom w:val="single" w:sz="4" w:space="0" w:color="auto"/>
                          <w:right w:val="single" w:sz="4" w:space="0" w:color="auto"/>
                        </w:tcBorders>
                        <w:shd w:val="clear" w:color="000000" w:fill="FFFFFF"/>
                        <w:noWrap/>
                        <w:vAlign w:val="center"/>
                      </w:tcPr>
                      <w:p w:rsidR="007D0CE9" w:rsidRPr="00890C68" w:rsidRDefault="003367D9" w:rsidP="007D0CE9">
                        <w:pPr>
                          <w:jc w:val="center"/>
                          <w:rPr>
                            <w:rFonts w:ascii="Times New Roman" w:hAnsi="Times New Roman"/>
                            <w:b/>
                            <w:sz w:val="19"/>
                            <w:szCs w:val="19"/>
                          </w:rPr>
                        </w:pPr>
                        <w:r w:rsidRPr="00890C68">
                          <w:rPr>
                            <w:rFonts w:ascii="Times New Roman" w:hAnsi="Times New Roman"/>
                            <w:b/>
                            <w:sz w:val="19"/>
                            <w:szCs w:val="19"/>
                          </w:rPr>
                          <w:t>3 233 214</w:t>
                        </w:r>
                      </w:p>
                    </w:tc>
                  </w:tr>
                  <w:tr w:rsidR="0080619C" w:rsidRPr="00890C68" w:rsidTr="007D0CE9">
                    <w:trPr>
                      <w:trHeight w:val="442"/>
                    </w:trPr>
                    <w:tc>
                      <w:tcPr>
                        <w:tcW w:w="2469" w:type="dxa"/>
                        <w:tcBorders>
                          <w:top w:val="nil"/>
                          <w:left w:val="single" w:sz="4" w:space="0" w:color="auto"/>
                          <w:bottom w:val="single" w:sz="4" w:space="0" w:color="auto"/>
                          <w:right w:val="single" w:sz="4" w:space="0" w:color="auto"/>
                        </w:tcBorders>
                        <w:shd w:val="clear" w:color="000000" w:fill="FFFFFF"/>
                        <w:vAlign w:val="center"/>
                      </w:tcPr>
                      <w:p w:rsidR="0080619C" w:rsidRPr="00890C68" w:rsidRDefault="0080619C" w:rsidP="007D0CE9">
                        <w:pPr>
                          <w:spacing w:line="240" w:lineRule="auto"/>
                          <w:jc w:val="center"/>
                          <w:rPr>
                            <w:rFonts w:ascii="Times New Roman" w:eastAsia="Times New Roman" w:hAnsi="Times New Roman"/>
                            <w:sz w:val="19"/>
                            <w:szCs w:val="19"/>
                            <w:lang w:eastAsia="pl-PL"/>
                          </w:rPr>
                        </w:pPr>
                        <w:r w:rsidRPr="00890C68">
                          <w:rPr>
                            <w:rFonts w:ascii="Times New Roman" w:eastAsia="Times New Roman" w:hAnsi="Times New Roman"/>
                            <w:sz w:val="19"/>
                            <w:szCs w:val="19"/>
                            <w:lang w:eastAsia="pl-PL"/>
                          </w:rPr>
                          <w:t xml:space="preserve">Korzyść OSD z tytułu ograniczenia liczby odczytów realizowanych w trybie </w:t>
                        </w:r>
                        <w:r w:rsidRPr="00890C68">
                          <w:rPr>
                            <w:rFonts w:ascii="Times New Roman" w:eastAsia="Times New Roman" w:hAnsi="Times New Roman"/>
                            <w:sz w:val="19"/>
                            <w:szCs w:val="19"/>
                            <w:lang w:eastAsia="pl-PL"/>
                          </w:rPr>
                          <w:lastRenderedPageBreak/>
                          <w:t>inkasenckim przeniesiona na odbiorcę końcowego</w:t>
                        </w:r>
                      </w:p>
                    </w:tc>
                    <w:tc>
                      <w:tcPr>
                        <w:tcW w:w="998" w:type="dxa"/>
                        <w:tcBorders>
                          <w:top w:val="nil"/>
                          <w:left w:val="nil"/>
                          <w:bottom w:val="single" w:sz="4" w:space="0" w:color="auto"/>
                          <w:right w:val="single" w:sz="4" w:space="0" w:color="auto"/>
                        </w:tcBorders>
                        <w:shd w:val="clear" w:color="000000" w:fill="FFFFFF"/>
                        <w:noWrap/>
                        <w:vAlign w:val="center"/>
                      </w:tcPr>
                      <w:p w:rsidR="0080619C" w:rsidRPr="00890C68" w:rsidRDefault="00013E95" w:rsidP="007D0CE9">
                        <w:pPr>
                          <w:jc w:val="center"/>
                          <w:rPr>
                            <w:rFonts w:ascii="Times New Roman" w:hAnsi="Times New Roman"/>
                            <w:sz w:val="19"/>
                            <w:szCs w:val="19"/>
                          </w:rPr>
                        </w:pPr>
                        <w:r w:rsidRPr="00890C68">
                          <w:rPr>
                            <w:rFonts w:ascii="Times New Roman" w:hAnsi="Times New Roman"/>
                            <w:sz w:val="19"/>
                            <w:szCs w:val="19"/>
                          </w:rPr>
                          <w:lastRenderedPageBreak/>
                          <w:t>0,0</w:t>
                        </w:r>
                      </w:p>
                    </w:tc>
                    <w:tc>
                      <w:tcPr>
                        <w:tcW w:w="998" w:type="dxa"/>
                        <w:tcBorders>
                          <w:top w:val="nil"/>
                          <w:left w:val="nil"/>
                          <w:bottom w:val="single" w:sz="4" w:space="0" w:color="auto"/>
                          <w:right w:val="single" w:sz="4" w:space="0" w:color="auto"/>
                        </w:tcBorders>
                        <w:shd w:val="clear" w:color="000000" w:fill="FFFFFF"/>
                        <w:noWrap/>
                        <w:vAlign w:val="center"/>
                      </w:tcPr>
                      <w:p w:rsidR="0080619C" w:rsidRPr="00890C68" w:rsidRDefault="00013E95" w:rsidP="007D0CE9">
                        <w:pPr>
                          <w:jc w:val="center"/>
                          <w:rPr>
                            <w:rFonts w:ascii="Times New Roman" w:hAnsi="Times New Roman"/>
                            <w:sz w:val="19"/>
                            <w:szCs w:val="19"/>
                          </w:rPr>
                        </w:pPr>
                        <w:r w:rsidRPr="00890C68">
                          <w:rPr>
                            <w:rFonts w:ascii="Times New Roman" w:hAnsi="Times New Roman"/>
                            <w:sz w:val="19"/>
                            <w:szCs w:val="19"/>
                          </w:rPr>
                          <w:t>0,0</w:t>
                        </w:r>
                      </w:p>
                    </w:tc>
                    <w:tc>
                      <w:tcPr>
                        <w:tcW w:w="998" w:type="dxa"/>
                        <w:tcBorders>
                          <w:top w:val="nil"/>
                          <w:left w:val="nil"/>
                          <w:bottom w:val="single" w:sz="4" w:space="0" w:color="auto"/>
                          <w:right w:val="single" w:sz="4" w:space="0" w:color="auto"/>
                        </w:tcBorders>
                        <w:shd w:val="clear" w:color="000000" w:fill="FFFFFF"/>
                        <w:noWrap/>
                        <w:vAlign w:val="center"/>
                      </w:tcPr>
                      <w:p w:rsidR="0080619C" w:rsidRPr="00890C68" w:rsidRDefault="00013E95" w:rsidP="007D0CE9">
                        <w:pPr>
                          <w:jc w:val="center"/>
                          <w:rPr>
                            <w:rFonts w:ascii="Times New Roman" w:hAnsi="Times New Roman"/>
                            <w:sz w:val="19"/>
                            <w:szCs w:val="19"/>
                          </w:rPr>
                        </w:pPr>
                        <w:r w:rsidRPr="00890C68">
                          <w:rPr>
                            <w:rFonts w:ascii="Times New Roman" w:hAnsi="Times New Roman"/>
                            <w:sz w:val="19"/>
                            <w:szCs w:val="19"/>
                          </w:rPr>
                          <w:t>0,0</w:t>
                        </w:r>
                      </w:p>
                    </w:tc>
                    <w:tc>
                      <w:tcPr>
                        <w:tcW w:w="998" w:type="dxa"/>
                        <w:tcBorders>
                          <w:top w:val="nil"/>
                          <w:left w:val="nil"/>
                          <w:bottom w:val="single" w:sz="4" w:space="0" w:color="auto"/>
                          <w:right w:val="single" w:sz="4" w:space="0" w:color="auto"/>
                        </w:tcBorders>
                        <w:shd w:val="clear" w:color="000000" w:fill="FFFFFF"/>
                        <w:noWrap/>
                        <w:vAlign w:val="center"/>
                      </w:tcPr>
                      <w:p w:rsidR="0080619C" w:rsidRPr="00890C68" w:rsidRDefault="00013E95" w:rsidP="007D0CE9">
                        <w:pPr>
                          <w:jc w:val="center"/>
                          <w:rPr>
                            <w:rFonts w:ascii="Times New Roman" w:hAnsi="Times New Roman"/>
                            <w:sz w:val="19"/>
                            <w:szCs w:val="19"/>
                          </w:rPr>
                        </w:pPr>
                        <w:r w:rsidRPr="00890C68">
                          <w:rPr>
                            <w:rFonts w:ascii="Times New Roman" w:hAnsi="Times New Roman"/>
                            <w:sz w:val="19"/>
                            <w:szCs w:val="19"/>
                          </w:rPr>
                          <w:t>42 560</w:t>
                        </w:r>
                      </w:p>
                    </w:tc>
                    <w:tc>
                      <w:tcPr>
                        <w:tcW w:w="998" w:type="dxa"/>
                        <w:tcBorders>
                          <w:top w:val="nil"/>
                          <w:left w:val="nil"/>
                          <w:bottom w:val="single" w:sz="4" w:space="0" w:color="auto"/>
                          <w:right w:val="single" w:sz="4" w:space="0" w:color="auto"/>
                        </w:tcBorders>
                        <w:shd w:val="clear" w:color="000000" w:fill="FFFFFF"/>
                        <w:noWrap/>
                        <w:vAlign w:val="center"/>
                      </w:tcPr>
                      <w:p w:rsidR="0080619C" w:rsidRPr="00890C68" w:rsidRDefault="00013E95" w:rsidP="007D0CE9">
                        <w:pPr>
                          <w:jc w:val="center"/>
                          <w:rPr>
                            <w:rFonts w:ascii="Times New Roman" w:hAnsi="Times New Roman"/>
                            <w:sz w:val="19"/>
                            <w:szCs w:val="19"/>
                          </w:rPr>
                        </w:pPr>
                        <w:r w:rsidRPr="00890C68">
                          <w:rPr>
                            <w:rFonts w:ascii="Times New Roman" w:hAnsi="Times New Roman"/>
                            <w:sz w:val="19"/>
                            <w:szCs w:val="19"/>
                          </w:rPr>
                          <w:t>71 176</w:t>
                        </w:r>
                      </w:p>
                    </w:tc>
                    <w:tc>
                      <w:tcPr>
                        <w:tcW w:w="998" w:type="dxa"/>
                        <w:tcBorders>
                          <w:top w:val="nil"/>
                          <w:left w:val="nil"/>
                          <w:bottom w:val="single" w:sz="4" w:space="0" w:color="auto"/>
                          <w:right w:val="single" w:sz="4" w:space="0" w:color="auto"/>
                        </w:tcBorders>
                        <w:shd w:val="clear" w:color="000000" w:fill="FFFFFF"/>
                        <w:noWrap/>
                        <w:vAlign w:val="center"/>
                      </w:tcPr>
                      <w:p w:rsidR="0080619C" w:rsidRPr="00890C68" w:rsidRDefault="00013E95" w:rsidP="007D0CE9">
                        <w:pPr>
                          <w:jc w:val="center"/>
                          <w:rPr>
                            <w:rFonts w:ascii="Times New Roman" w:hAnsi="Times New Roman"/>
                            <w:sz w:val="19"/>
                            <w:szCs w:val="19"/>
                          </w:rPr>
                        </w:pPr>
                        <w:r w:rsidRPr="00890C68">
                          <w:rPr>
                            <w:rFonts w:ascii="Times New Roman" w:hAnsi="Times New Roman"/>
                            <w:sz w:val="19"/>
                            <w:szCs w:val="19"/>
                          </w:rPr>
                          <w:t>231 057</w:t>
                        </w:r>
                      </w:p>
                    </w:tc>
                    <w:tc>
                      <w:tcPr>
                        <w:tcW w:w="998" w:type="dxa"/>
                        <w:tcBorders>
                          <w:top w:val="nil"/>
                          <w:left w:val="nil"/>
                          <w:bottom w:val="single" w:sz="4" w:space="0" w:color="auto"/>
                          <w:right w:val="single" w:sz="4" w:space="0" w:color="auto"/>
                        </w:tcBorders>
                        <w:shd w:val="clear" w:color="000000" w:fill="FFFFFF"/>
                        <w:noWrap/>
                        <w:vAlign w:val="center"/>
                      </w:tcPr>
                      <w:p w:rsidR="0080619C" w:rsidRPr="00890C68" w:rsidRDefault="00013E95" w:rsidP="007D0CE9">
                        <w:pPr>
                          <w:jc w:val="center"/>
                          <w:rPr>
                            <w:rFonts w:ascii="Times New Roman" w:hAnsi="Times New Roman"/>
                            <w:sz w:val="19"/>
                            <w:szCs w:val="19"/>
                          </w:rPr>
                        </w:pPr>
                        <w:r w:rsidRPr="00890C68">
                          <w:rPr>
                            <w:rFonts w:ascii="Times New Roman" w:hAnsi="Times New Roman"/>
                            <w:sz w:val="19"/>
                            <w:szCs w:val="19"/>
                          </w:rPr>
                          <w:t>234 074</w:t>
                        </w:r>
                      </w:p>
                    </w:tc>
                    <w:tc>
                      <w:tcPr>
                        <w:tcW w:w="1477" w:type="dxa"/>
                        <w:tcBorders>
                          <w:top w:val="nil"/>
                          <w:left w:val="nil"/>
                          <w:bottom w:val="single" w:sz="4" w:space="0" w:color="auto"/>
                          <w:right w:val="single" w:sz="4" w:space="0" w:color="auto"/>
                        </w:tcBorders>
                        <w:shd w:val="clear" w:color="000000" w:fill="FFFFFF"/>
                        <w:noWrap/>
                        <w:vAlign w:val="center"/>
                      </w:tcPr>
                      <w:p w:rsidR="0080619C" w:rsidRPr="00890C68" w:rsidRDefault="00013E95" w:rsidP="007D0CE9">
                        <w:pPr>
                          <w:jc w:val="center"/>
                          <w:rPr>
                            <w:rFonts w:ascii="Times New Roman" w:hAnsi="Times New Roman"/>
                            <w:b/>
                            <w:sz w:val="19"/>
                            <w:szCs w:val="19"/>
                          </w:rPr>
                        </w:pPr>
                        <w:r w:rsidRPr="00890C68">
                          <w:rPr>
                            <w:rFonts w:ascii="Times New Roman" w:hAnsi="Times New Roman"/>
                            <w:b/>
                            <w:sz w:val="19"/>
                            <w:szCs w:val="19"/>
                          </w:rPr>
                          <w:t>2 169 829</w:t>
                        </w:r>
                      </w:p>
                    </w:tc>
                  </w:tr>
                  <w:tr w:rsidR="00C91432" w:rsidRPr="00890C68" w:rsidTr="007D0CE9">
                    <w:trPr>
                      <w:trHeight w:val="442"/>
                    </w:trPr>
                    <w:tc>
                      <w:tcPr>
                        <w:tcW w:w="2469" w:type="dxa"/>
                        <w:tcBorders>
                          <w:top w:val="nil"/>
                          <w:left w:val="single" w:sz="4" w:space="0" w:color="auto"/>
                          <w:bottom w:val="single" w:sz="4" w:space="0" w:color="auto"/>
                          <w:right w:val="single" w:sz="4" w:space="0" w:color="auto"/>
                        </w:tcBorders>
                        <w:shd w:val="clear" w:color="000000" w:fill="FFFFFF"/>
                        <w:vAlign w:val="center"/>
                      </w:tcPr>
                      <w:p w:rsidR="00C91432" w:rsidRPr="00890C68" w:rsidRDefault="0080619C" w:rsidP="007D0CE9">
                        <w:pPr>
                          <w:spacing w:line="240" w:lineRule="auto"/>
                          <w:jc w:val="center"/>
                          <w:rPr>
                            <w:rFonts w:ascii="Times New Roman" w:eastAsia="Times New Roman" w:hAnsi="Times New Roman"/>
                            <w:sz w:val="19"/>
                            <w:szCs w:val="19"/>
                            <w:lang w:eastAsia="pl-PL"/>
                          </w:rPr>
                        </w:pPr>
                        <w:r w:rsidRPr="00890C68">
                          <w:rPr>
                            <w:rFonts w:ascii="Times New Roman" w:eastAsia="Times New Roman" w:hAnsi="Times New Roman"/>
                            <w:sz w:val="19"/>
                            <w:szCs w:val="19"/>
                            <w:lang w:eastAsia="pl-PL"/>
                          </w:rPr>
                          <w:t xml:space="preserve">Korzyść OSD z tytułu redukcji strat handlowych i technicznych przeniesiona na odbiorcę </w:t>
                        </w:r>
                      </w:p>
                    </w:tc>
                    <w:tc>
                      <w:tcPr>
                        <w:tcW w:w="998" w:type="dxa"/>
                        <w:tcBorders>
                          <w:top w:val="nil"/>
                          <w:left w:val="nil"/>
                          <w:bottom w:val="single" w:sz="4" w:space="0" w:color="auto"/>
                          <w:right w:val="single" w:sz="4" w:space="0" w:color="auto"/>
                        </w:tcBorders>
                        <w:shd w:val="clear" w:color="000000" w:fill="FFFFFF"/>
                        <w:noWrap/>
                        <w:vAlign w:val="center"/>
                      </w:tcPr>
                      <w:p w:rsidR="00C91432" w:rsidRPr="00890C68" w:rsidRDefault="00ED5689" w:rsidP="007D0CE9">
                        <w:pPr>
                          <w:jc w:val="center"/>
                          <w:rPr>
                            <w:rFonts w:ascii="Times New Roman" w:hAnsi="Times New Roman"/>
                            <w:sz w:val="19"/>
                            <w:szCs w:val="19"/>
                          </w:rPr>
                        </w:pPr>
                        <w:r w:rsidRPr="00890C68">
                          <w:rPr>
                            <w:rFonts w:ascii="Times New Roman" w:hAnsi="Times New Roman"/>
                            <w:sz w:val="19"/>
                            <w:szCs w:val="19"/>
                          </w:rPr>
                          <w:t>0,0</w:t>
                        </w:r>
                      </w:p>
                    </w:tc>
                    <w:tc>
                      <w:tcPr>
                        <w:tcW w:w="998" w:type="dxa"/>
                        <w:tcBorders>
                          <w:top w:val="nil"/>
                          <w:left w:val="nil"/>
                          <w:bottom w:val="single" w:sz="4" w:space="0" w:color="auto"/>
                          <w:right w:val="single" w:sz="4" w:space="0" w:color="auto"/>
                        </w:tcBorders>
                        <w:shd w:val="clear" w:color="000000" w:fill="FFFFFF"/>
                        <w:noWrap/>
                        <w:vAlign w:val="center"/>
                      </w:tcPr>
                      <w:p w:rsidR="00C91432" w:rsidRPr="00890C68" w:rsidRDefault="00ED5689" w:rsidP="007D0CE9">
                        <w:pPr>
                          <w:jc w:val="center"/>
                          <w:rPr>
                            <w:rFonts w:ascii="Times New Roman" w:hAnsi="Times New Roman"/>
                            <w:sz w:val="19"/>
                            <w:szCs w:val="19"/>
                          </w:rPr>
                        </w:pPr>
                        <w:r w:rsidRPr="00890C68">
                          <w:rPr>
                            <w:rFonts w:ascii="Times New Roman" w:hAnsi="Times New Roman"/>
                            <w:sz w:val="19"/>
                            <w:szCs w:val="19"/>
                          </w:rPr>
                          <w:t>0,0</w:t>
                        </w:r>
                      </w:p>
                    </w:tc>
                    <w:tc>
                      <w:tcPr>
                        <w:tcW w:w="998" w:type="dxa"/>
                        <w:tcBorders>
                          <w:top w:val="nil"/>
                          <w:left w:val="nil"/>
                          <w:bottom w:val="single" w:sz="4" w:space="0" w:color="auto"/>
                          <w:right w:val="single" w:sz="4" w:space="0" w:color="auto"/>
                        </w:tcBorders>
                        <w:shd w:val="clear" w:color="000000" w:fill="FFFFFF"/>
                        <w:noWrap/>
                        <w:vAlign w:val="center"/>
                      </w:tcPr>
                      <w:p w:rsidR="00C91432" w:rsidRPr="00890C68" w:rsidRDefault="00ED5689" w:rsidP="007D0CE9">
                        <w:pPr>
                          <w:jc w:val="center"/>
                          <w:rPr>
                            <w:rFonts w:ascii="Times New Roman" w:hAnsi="Times New Roman"/>
                            <w:sz w:val="19"/>
                            <w:szCs w:val="19"/>
                          </w:rPr>
                        </w:pPr>
                        <w:r w:rsidRPr="00890C68">
                          <w:rPr>
                            <w:rFonts w:ascii="Times New Roman" w:hAnsi="Times New Roman"/>
                            <w:sz w:val="19"/>
                            <w:szCs w:val="19"/>
                          </w:rPr>
                          <w:t>0,0</w:t>
                        </w:r>
                      </w:p>
                    </w:tc>
                    <w:tc>
                      <w:tcPr>
                        <w:tcW w:w="998" w:type="dxa"/>
                        <w:tcBorders>
                          <w:top w:val="nil"/>
                          <w:left w:val="nil"/>
                          <w:bottom w:val="single" w:sz="4" w:space="0" w:color="auto"/>
                          <w:right w:val="single" w:sz="4" w:space="0" w:color="auto"/>
                        </w:tcBorders>
                        <w:shd w:val="clear" w:color="000000" w:fill="FFFFFF"/>
                        <w:noWrap/>
                        <w:vAlign w:val="center"/>
                      </w:tcPr>
                      <w:p w:rsidR="00C91432" w:rsidRPr="00890C68" w:rsidRDefault="00ED5689" w:rsidP="007D0CE9">
                        <w:pPr>
                          <w:jc w:val="center"/>
                          <w:rPr>
                            <w:rFonts w:ascii="Times New Roman" w:hAnsi="Times New Roman"/>
                            <w:sz w:val="19"/>
                            <w:szCs w:val="19"/>
                          </w:rPr>
                        </w:pPr>
                        <w:r w:rsidRPr="00890C68">
                          <w:rPr>
                            <w:rFonts w:ascii="Times New Roman" w:hAnsi="Times New Roman"/>
                            <w:sz w:val="19"/>
                            <w:szCs w:val="19"/>
                          </w:rPr>
                          <w:t>14 536</w:t>
                        </w:r>
                      </w:p>
                    </w:tc>
                    <w:tc>
                      <w:tcPr>
                        <w:tcW w:w="998" w:type="dxa"/>
                        <w:tcBorders>
                          <w:top w:val="nil"/>
                          <w:left w:val="nil"/>
                          <w:bottom w:val="single" w:sz="4" w:space="0" w:color="auto"/>
                          <w:right w:val="single" w:sz="4" w:space="0" w:color="auto"/>
                        </w:tcBorders>
                        <w:shd w:val="clear" w:color="000000" w:fill="FFFFFF"/>
                        <w:noWrap/>
                        <w:vAlign w:val="center"/>
                      </w:tcPr>
                      <w:p w:rsidR="00C91432" w:rsidRPr="00890C68" w:rsidRDefault="00ED5689" w:rsidP="007D0CE9">
                        <w:pPr>
                          <w:jc w:val="center"/>
                          <w:rPr>
                            <w:rFonts w:ascii="Times New Roman" w:hAnsi="Times New Roman"/>
                            <w:sz w:val="19"/>
                            <w:szCs w:val="19"/>
                          </w:rPr>
                        </w:pPr>
                        <w:r w:rsidRPr="00890C68">
                          <w:rPr>
                            <w:rFonts w:ascii="Times New Roman" w:hAnsi="Times New Roman"/>
                            <w:sz w:val="19"/>
                            <w:szCs w:val="19"/>
                          </w:rPr>
                          <w:t>24 109</w:t>
                        </w:r>
                      </w:p>
                    </w:tc>
                    <w:tc>
                      <w:tcPr>
                        <w:tcW w:w="998" w:type="dxa"/>
                        <w:tcBorders>
                          <w:top w:val="nil"/>
                          <w:left w:val="nil"/>
                          <w:bottom w:val="single" w:sz="4" w:space="0" w:color="auto"/>
                          <w:right w:val="single" w:sz="4" w:space="0" w:color="auto"/>
                        </w:tcBorders>
                        <w:shd w:val="clear" w:color="000000" w:fill="FFFFFF"/>
                        <w:noWrap/>
                        <w:vAlign w:val="center"/>
                      </w:tcPr>
                      <w:p w:rsidR="00C91432" w:rsidRPr="00890C68" w:rsidRDefault="00ED5689" w:rsidP="007D0CE9">
                        <w:pPr>
                          <w:jc w:val="center"/>
                          <w:rPr>
                            <w:rFonts w:ascii="Times New Roman" w:hAnsi="Times New Roman"/>
                            <w:sz w:val="19"/>
                            <w:szCs w:val="19"/>
                          </w:rPr>
                        </w:pPr>
                        <w:r w:rsidRPr="00890C68">
                          <w:rPr>
                            <w:rFonts w:ascii="Times New Roman" w:hAnsi="Times New Roman"/>
                            <w:sz w:val="19"/>
                            <w:szCs w:val="19"/>
                          </w:rPr>
                          <w:t>75 285</w:t>
                        </w:r>
                      </w:p>
                    </w:tc>
                    <w:tc>
                      <w:tcPr>
                        <w:tcW w:w="998" w:type="dxa"/>
                        <w:tcBorders>
                          <w:top w:val="nil"/>
                          <w:left w:val="nil"/>
                          <w:bottom w:val="single" w:sz="4" w:space="0" w:color="auto"/>
                          <w:right w:val="single" w:sz="4" w:space="0" w:color="auto"/>
                        </w:tcBorders>
                        <w:shd w:val="clear" w:color="000000" w:fill="FFFFFF"/>
                        <w:noWrap/>
                        <w:vAlign w:val="center"/>
                      </w:tcPr>
                      <w:p w:rsidR="00C91432" w:rsidRPr="00890C68" w:rsidRDefault="00ED5689" w:rsidP="007D0CE9">
                        <w:pPr>
                          <w:jc w:val="center"/>
                          <w:rPr>
                            <w:rFonts w:ascii="Times New Roman" w:hAnsi="Times New Roman"/>
                            <w:sz w:val="19"/>
                            <w:szCs w:val="19"/>
                          </w:rPr>
                        </w:pPr>
                        <w:r w:rsidRPr="00890C68">
                          <w:rPr>
                            <w:rFonts w:ascii="Times New Roman" w:hAnsi="Times New Roman"/>
                            <w:sz w:val="19"/>
                            <w:szCs w:val="19"/>
                          </w:rPr>
                          <w:t>73 467</w:t>
                        </w:r>
                      </w:p>
                    </w:tc>
                    <w:tc>
                      <w:tcPr>
                        <w:tcW w:w="1477" w:type="dxa"/>
                        <w:tcBorders>
                          <w:top w:val="nil"/>
                          <w:left w:val="nil"/>
                          <w:bottom w:val="single" w:sz="4" w:space="0" w:color="auto"/>
                          <w:right w:val="single" w:sz="4" w:space="0" w:color="auto"/>
                        </w:tcBorders>
                        <w:shd w:val="clear" w:color="000000" w:fill="FFFFFF"/>
                        <w:noWrap/>
                        <w:vAlign w:val="center"/>
                      </w:tcPr>
                      <w:p w:rsidR="00C91432" w:rsidRPr="00890C68" w:rsidRDefault="00ED5689" w:rsidP="007D0CE9">
                        <w:pPr>
                          <w:jc w:val="center"/>
                          <w:rPr>
                            <w:rFonts w:ascii="Times New Roman" w:hAnsi="Times New Roman"/>
                            <w:b/>
                            <w:sz w:val="19"/>
                            <w:szCs w:val="19"/>
                          </w:rPr>
                        </w:pPr>
                        <w:r w:rsidRPr="00890C68">
                          <w:rPr>
                            <w:rFonts w:ascii="Times New Roman" w:hAnsi="Times New Roman"/>
                            <w:b/>
                            <w:sz w:val="19"/>
                            <w:szCs w:val="19"/>
                          </w:rPr>
                          <w:t>703 642</w:t>
                        </w:r>
                      </w:p>
                    </w:tc>
                  </w:tr>
                  <w:tr w:rsidR="007D0CE9" w:rsidRPr="00890C68" w:rsidTr="007D0CE9">
                    <w:trPr>
                      <w:trHeight w:val="442"/>
                    </w:trPr>
                    <w:tc>
                      <w:tcPr>
                        <w:tcW w:w="2469" w:type="dxa"/>
                        <w:tcBorders>
                          <w:top w:val="nil"/>
                          <w:left w:val="single" w:sz="4" w:space="0" w:color="auto"/>
                          <w:bottom w:val="single" w:sz="4" w:space="0" w:color="auto"/>
                          <w:right w:val="single" w:sz="4" w:space="0" w:color="auto"/>
                        </w:tcBorders>
                        <w:shd w:val="clear" w:color="000000" w:fill="FFFFFF"/>
                        <w:vAlign w:val="center"/>
                        <w:hideMark/>
                      </w:tcPr>
                      <w:p w:rsidR="007D0CE9" w:rsidRPr="00890C68" w:rsidRDefault="00382A9F" w:rsidP="00C91432">
                        <w:pPr>
                          <w:spacing w:line="240" w:lineRule="auto"/>
                          <w:jc w:val="center"/>
                          <w:rPr>
                            <w:rFonts w:ascii="Times New Roman" w:eastAsia="Times New Roman" w:hAnsi="Times New Roman"/>
                            <w:sz w:val="19"/>
                            <w:szCs w:val="19"/>
                            <w:lang w:eastAsia="pl-PL"/>
                          </w:rPr>
                        </w:pPr>
                        <w:r w:rsidRPr="00890C68">
                          <w:rPr>
                            <w:rFonts w:ascii="Times New Roman" w:eastAsia="Times New Roman" w:hAnsi="Times New Roman"/>
                            <w:sz w:val="19"/>
                            <w:szCs w:val="19"/>
                            <w:lang w:eastAsia="pl-PL"/>
                          </w:rPr>
                          <w:t>Możliwość zmiany sprzedawcy</w:t>
                        </w:r>
                      </w:p>
                    </w:tc>
                    <w:tc>
                      <w:tcPr>
                        <w:tcW w:w="998" w:type="dxa"/>
                        <w:tcBorders>
                          <w:top w:val="nil"/>
                          <w:left w:val="nil"/>
                          <w:bottom w:val="single" w:sz="4" w:space="0" w:color="auto"/>
                          <w:right w:val="single" w:sz="4" w:space="0" w:color="auto"/>
                        </w:tcBorders>
                        <w:shd w:val="clear" w:color="000000" w:fill="FFFFFF"/>
                        <w:noWrap/>
                        <w:vAlign w:val="center"/>
                      </w:tcPr>
                      <w:p w:rsidR="007D0CE9" w:rsidRPr="00890C68" w:rsidRDefault="00ED5689" w:rsidP="007D0CE9">
                        <w:pPr>
                          <w:jc w:val="center"/>
                          <w:rPr>
                            <w:rFonts w:ascii="Times New Roman" w:hAnsi="Times New Roman"/>
                            <w:sz w:val="19"/>
                            <w:szCs w:val="19"/>
                          </w:rPr>
                        </w:pPr>
                        <w:r w:rsidRPr="00890C68">
                          <w:rPr>
                            <w:rFonts w:ascii="Times New Roman" w:hAnsi="Times New Roman"/>
                            <w:sz w:val="19"/>
                            <w:szCs w:val="19"/>
                          </w:rPr>
                          <w:t>0,0</w:t>
                        </w:r>
                      </w:p>
                    </w:tc>
                    <w:tc>
                      <w:tcPr>
                        <w:tcW w:w="998" w:type="dxa"/>
                        <w:tcBorders>
                          <w:top w:val="nil"/>
                          <w:left w:val="nil"/>
                          <w:bottom w:val="single" w:sz="4" w:space="0" w:color="auto"/>
                          <w:right w:val="single" w:sz="4" w:space="0" w:color="auto"/>
                        </w:tcBorders>
                        <w:shd w:val="clear" w:color="000000" w:fill="FFFFFF"/>
                        <w:noWrap/>
                        <w:vAlign w:val="center"/>
                      </w:tcPr>
                      <w:p w:rsidR="007D0CE9" w:rsidRPr="00890C68" w:rsidRDefault="00ED5689" w:rsidP="007D0CE9">
                        <w:pPr>
                          <w:jc w:val="center"/>
                          <w:rPr>
                            <w:rFonts w:ascii="Times New Roman" w:hAnsi="Times New Roman"/>
                            <w:sz w:val="19"/>
                            <w:szCs w:val="19"/>
                          </w:rPr>
                        </w:pPr>
                        <w:r w:rsidRPr="00890C68">
                          <w:rPr>
                            <w:rFonts w:ascii="Times New Roman" w:hAnsi="Times New Roman"/>
                            <w:sz w:val="19"/>
                            <w:szCs w:val="19"/>
                          </w:rPr>
                          <w:t>0,0</w:t>
                        </w:r>
                      </w:p>
                    </w:tc>
                    <w:tc>
                      <w:tcPr>
                        <w:tcW w:w="998" w:type="dxa"/>
                        <w:tcBorders>
                          <w:top w:val="nil"/>
                          <w:left w:val="nil"/>
                          <w:bottom w:val="single" w:sz="4" w:space="0" w:color="auto"/>
                          <w:right w:val="single" w:sz="4" w:space="0" w:color="auto"/>
                        </w:tcBorders>
                        <w:shd w:val="clear" w:color="000000" w:fill="FFFFFF"/>
                        <w:noWrap/>
                        <w:vAlign w:val="center"/>
                      </w:tcPr>
                      <w:p w:rsidR="007D0CE9" w:rsidRPr="00890C68" w:rsidRDefault="00ED5689" w:rsidP="007D0CE9">
                        <w:pPr>
                          <w:jc w:val="center"/>
                          <w:rPr>
                            <w:rFonts w:ascii="Times New Roman" w:hAnsi="Times New Roman"/>
                            <w:sz w:val="19"/>
                            <w:szCs w:val="19"/>
                          </w:rPr>
                        </w:pPr>
                        <w:r w:rsidRPr="00890C68">
                          <w:rPr>
                            <w:rFonts w:ascii="Times New Roman" w:hAnsi="Times New Roman"/>
                            <w:sz w:val="19"/>
                            <w:szCs w:val="19"/>
                          </w:rPr>
                          <w:t>0,0</w:t>
                        </w:r>
                      </w:p>
                    </w:tc>
                    <w:tc>
                      <w:tcPr>
                        <w:tcW w:w="998" w:type="dxa"/>
                        <w:tcBorders>
                          <w:top w:val="nil"/>
                          <w:left w:val="nil"/>
                          <w:bottom w:val="single" w:sz="4" w:space="0" w:color="auto"/>
                          <w:right w:val="single" w:sz="4" w:space="0" w:color="auto"/>
                        </w:tcBorders>
                        <w:shd w:val="clear" w:color="000000" w:fill="FFFFFF"/>
                        <w:noWrap/>
                        <w:vAlign w:val="center"/>
                      </w:tcPr>
                      <w:p w:rsidR="007D0CE9" w:rsidRPr="00890C68" w:rsidRDefault="00ED5689" w:rsidP="007D0CE9">
                        <w:pPr>
                          <w:jc w:val="center"/>
                          <w:rPr>
                            <w:rFonts w:ascii="Times New Roman" w:hAnsi="Times New Roman"/>
                            <w:sz w:val="19"/>
                            <w:szCs w:val="19"/>
                          </w:rPr>
                        </w:pPr>
                        <w:r w:rsidRPr="00890C68">
                          <w:rPr>
                            <w:rFonts w:ascii="Times New Roman" w:hAnsi="Times New Roman"/>
                            <w:sz w:val="19"/>
                            <w:szCs w:val="19"/>
                          </w:rPr>
                          <w:t>8 238</w:t>
                        </w:r>
                      </w:p>
                    </w:tc>
                    <w:tc>
                      <w:tcPr>
                        <w:tcW w:w="998" w:type="dxa"/>
                        <w:tcBorders>
                          <w:top w:val="nil"/>
                          <w:left w:val="nil"/>
                          <w:bottom w:val="single" w:sz="4" w:space="0" w:color="auto"/>
                          <w:right w:val="single" w:sz="4" w:space="0" w:color="auto"/>
                        </w:tcBorders>
                        <w:shd w:val="clear" w:color="000000" w:fill="FFFFFF"/>
                        <w:noWrap/>
                        <w:vAlign w:val="center"/>
                      </w:tcPr>
                      <w:p w:rsidR="007D0CE9" w:rsidRPr="00890C68" w:rsidRDefault="00ED5689" w:rsidP="007D0CE9">
                        <w:pPr>
                          <w:jc w:val="center"/>
                          <w:rPr>
                            <w:rFonts w:ascii="Times New Roman" w:hAnsi="Times New Roman"/>
                            <w:sz w:val="19"/>
                            <w:szCs w:val="19"/>
                          </w:rPr>
                        </w:pPr>
                        <w:r w:rsidRPr="00890C68">
                          <w:rPr>
                            <w:rFonts w:ascii="Times New Roman" w:hAnsi="Times New Roman"/>
                            <w:sz w:val="19"/>
                            <w:szCs w:val="19"/>
                          </w:rPr>
                          <w:t>14 031</w:t>
                        </w:r>
                      </w:p>
                    </w:tc>
                    <w:tc>
                      <w:tcPr>
                        <w:tcW w:w="998" w:type="dxa"/>
                        <w:tcBorders>
                          <w:top w:val="nil"/>
                          <w:left w:val="nil"/>
                          <w:bottom w:val="single" w:sz="4" w:space="0" w:color="auto"/>
                          <w:right w:val="single" w:sz="4" w:space="0" w:color="auto"/>
                        </w:tcBorders>
                        <w:shd w:val="clear" w:color="000000" w:fill="FFFFFF"/>
                        <w:noWrap/>
                        <w:vAlign w:val="center"/>
                      </w:tcPr>
                      <w:p w:rsidR="007D0CE9" w:rsidRPr="00890C68" w:rsidRDefault="00ED5689" w:rsidP="007D0CE9">
                        <w:pPr>
                          <w:jc w:val="center"/>
                          <w:rPr>
                            <w:rFonts w:ascii="Times New Roman" w:hAnsi="Times New Roman"/>
                            <w:sz w:val="19"/>
                            <w:szCs w:val="19"/>
                          </w:rPr>
                        </w:pPr>
                        <w:r w:rsidRPr="00890C68">
                          <w:rPr>
                            <w:rFonts w:ascii="Times New Roman" w:hAnsi="Times New Roman"/>
                            <w:sz w:val="19"/>
                            <w:szCs w:val="19"/>
                          </w:rPr>
                          <w:t>49 940</w:t>
                        </w:r>
                      </w:p>
                    </w:tc>
                    <w:tc>
                      <w:tcPr>
                        <w:tcW w:w="998" w:type="dxa"/>
                        <w:tcBorders>
                          <w:top w:val="nil"/>
                          <w:left w:val="nil"/>
                          <w:bottom w:val="single" w:sz="4" w:space="0" w:color="auto"/>
                          <w:right w:val="single" w:sz="4" w:space="0" w:color="auto"/>
                        </w:tcBorders>
                        <w:shd w:val="clear" w:color="000000" w:fill="FFFFFF"/>
                        <w:noWrap/>
                        <w:vAlign w:val="center"/>
                      </w:tcPr>
                      <w:p w:rsidR="007D0CE9" w:rsidRPr="00890C68" w:rsidRDefault="00ED5689" w:rsidP="007D0CE9">
                        <w:pPr>
                          <w:jc w:val="center"/>
                          <w:rPr>
                            <w:rFonts w:ascii="Times New Roman" w:hAnsi="Times New Roman"/>
                            <w:sz w:val="19"/>
                            <w:szCs w:val="19"/>
                          </w:rPr>
                        </w:pPr>
                        <w:r w:rsidRPr="00890C68">
                          <w:rPr>
                            <w:rFonts w:ascii="Times New Roman" w:hAnsi="Times New Roman"/>
                            <w:sz w:val="19"/>
                            <w:szCs w:val="19"/>
                          </w:rPr>
                          <w:t>55 495</w:t>
                        </w:r>
                      </w:p>
                    </w:tc>
                    <w:tc>
                      <w:tcPr>
                        <w:tcW w:w="1477" w:type="dxa"/>
                        <w:tcBorders>
                          <w:top w:val="nil"/>
                          <w:left w:val="nil"/>
                          <w:bottom w:val="single" w:sz="4" w:space="0" w:color="auto"/>
                          <w:right w:val="single" w:sz="4" w:space="0" w:color="auto"/>
                        </w:tcBorders>
                        <w:shd w:val="clear" w:color="000000" w:fill="FFFFFF"/>
                        <w:noWrap/>
                        <w:vAlign w:val="center"/>
                      </w:tcPr>
                      <w:p w:rsidR="007D0CE9" w:rsidRPr="00890C68" w:rsidRDefault="00ED5689" w:rsidP="007D0CE9">
                        <w:pPr>
                          <w:jc w:val="center"/>
                          <w:rPr>
                            <w:rFonts w:ascii="Times New Roman" w:hAnsi="Times New Roman"/>
                            <w:b/>
                            <w:sz w:val="19"/>
                            <w:szCs w:val="19"/>
                          </w:rPr>
                        </w:pPr>
                        <w:r w:rsidRPr="00890C68">
                          <w:rPr>
                            <w:rFonts w:ascii="Times New Roman" w:hAnsi="Times New Roman"/>
                            <w:b/>
                            <w:sz w:val="19"/>
                            <w:szCs w:val="19"/>
                          </w:rPr>
                          <w:t>475 551</w:t>
                        </w:r>
                      </w:p>
                    </w:tc>
                  </w:tr>
                </w:tbl>
                <w:p w:rsidR="0006177E" w:rsidRPr="00890C68" w:rsidRDefault="0006177E" w:rsidP="0006177E">
                  <w:pPr>
                    <w:spacing w:line="240" w:lineRule="auto"/>
                    <w:jc w:val="both"/>
                    <w:rPr>
                      <w:rFonts w:ascii="Times New Roman" w:hAnsi="Times New Roman"/>
                    </w:rPr>
                  </w:pPr>
                </w:p>
                <w:p w:rsidR="0006177E" w:rsidRPr="00890C68" w:rsidRDefault="0006177E" w:rsidP="0006177E">
                  <w:pPr>
                    <w:spacing w:line="240" w:lineRule="auto"/>
                    <w:jc w:val="both"/>
                    <w:rPr>
                      <w:rFonts w:ascii="Times New Roman" w:hAnsi="Times New Roman"/>
                    </w:rPr>
                  </w:pPr>
                </w:p>
                <w:p w:rsidR="0006177E" w:rsidRPr="00890C68" w:rsidRDefault="0006177E" w:rsidP="0006177E">
                  <w:pPr>
                    <w:spacing w:line="240" w:lineRule="auto"/>
                    <w:jc w:val="both"/>
                    <w:rPr>
                      <w:rFonts w:ascii="Times New Roman" w:hAnsi="Times New Roman"/>
                    </w:rPr>
                  </w:pPr>
                  <w:r w:rsidRPr="00890C68">
                    <w:rPr>
                      <w:rFonts w:ascii="Times New Roman" w:hAnsi="Times New Roman"/>
                    </w:rPr>
                    <w:t xml:space="preserve">3) Korzyści uzyskiwane w ramach wdrożenia systemu liczników zdalnego odczytu w przeliczeniu na 1 </w:t>
                  </w:r>
                  <w:r w:rsidR="00AD0115" w:rsidRPr="00890C68">
                    <w:rPr>
                      <w:rFonts w:ascii="Times New Roman" w:hAnsi="Times New Roman"/>
                    </w:rPr>
                    <w:t>odbiorcę końcowego</w:t>
                  </w:r>
                </w:p>
                <w:p w:rsidR="0006177E" w:rsidRPr="00890C68" w:rsidRDefault="0006177E" w:rsidP="0006177E">
                  <w:pPr>
                    <w:spacing w:line="240" w:lineRule="auto"/>
                    <w:jc w:val="both"/>
                    <w:rPr>
                      <w:rFonts w:ascii="Times New Roman" w:hAnsi="Times New Roman"/>
                    </w:rPr>
                  </w:pPr>
                </w:p>
                <w:p w:rsidR="0006177E" w:rsidRPr="00890C68" w:rsidRDefault="0006177E" w:rsidP="0006177E">
                  <w:pPr>
                    <w:spacing w:line="240" w:lineRule="auto"/>
                    <w:jc w:val="both"/>
                    <w:rPr>
                      <w:rFonts w:ascii="Times New Roman" w:hAnsi="Times New Roman"/>
                    </w:rPr>
                  </w:pPr>
                  <w:r w:rsidRPr="00890C68">
                    <w:rPr>
                      <w:rFonts w:ascii="Times New Roman" w:hAnsi="Times New Roman"/>
                    </w:rPr>
                    <w:t xml:space="preserve">Tabela. Korzyści odbiorców </w:t>
                  </w:r>
                  <w:r w:rsidR="00BC5109" w:rsidRPr="00890C68">
                    <w:rPr>
                      <w:rFonts w:ascii="Times New Roman" w:hAnsi="Times New Roman"/>
                    </w:rPr>
                    <w:t xml:space="preserve">końcowych </w:t>
                  </w:r>
                  <w:r w:rsidRPr="00890C68">
                    <w:rPr>
                      <w:rFonts w:ascii="Times New Roman" w:hAnsi="Times New Roman"/>
                    </w:rPr>
                    <w:t xml:space="preserve">(z uwzględnieniem mechanizmu przełożenia korzyści przez taryfę) w przeliczeniu na 1 </w:t>
                  </w:r>
                  <w:r w:rsidR="003E7417" w:rsidRPr="00890C68">
                    <w:rPr>
                      <w:rFonts w:ascii="Times New Roman" w:hAnsi="Times New Roman"/>
                    </w:rPr>
                    <w:t xml:space="preserve">odbiorcę </w:t>
                  </w:r>
                  <w:r w:rsidRPr="00890C68">
                    <w:rPr>
                      <w:rFonts w:ascii="Times New Roman" w:hAnsi="Times New Roman"/>
                    </w:rPr>
                    <w:t>(zdyskontowane na dzień 1 stycznia 201</w:t>
                  </w:r>
                  <w:r w:rsidR="005044C0" w:rsidRPr="00890C68">
                    <w:rPr>
                      <w:rFonts w:ascii="Times New Roman" w:hAnsi="Times New Roman"/>
                    </w:rPr>
                    <w:t>9</w:t>
                  </w:r>
                  <w:r w:rsidRPr="00890C68">
                    <w:rPr>
                      <w:rFonts w:ascii="Times New Roman" w:hAnsi="Times New Roman"/>
                    </w:rPr>
                    <w:t xml:space="preserve"> r, w cenach z 201</w:t>
                  </w:r>
                  <w:r w:rsidR="0056333E" w:rsidRPr="00890C68">
                    <w:rPr>
                      <w:rFonts w:ascii="Times New Roman" w:hAnsi="Times New Roman"/>
                    </w:rPr>
                    <w:t>6</w:t>
                  </w:r>
                  <w:r w:rsidRPr="00890C68">
                    <w:rPr>
                      <w:rFonts w:ascii="Times New Roman" w:hAnsi="Times New Roman"/>
                    </w:rPr>
                    <w:t xml:space="preserve"> roku )</w:t>
                  </w:r>
                </w:p>
                <w:tbl>
                  <w:tblPr>
                    <w:tblW w:w="10932" w:type="dxa"/>
                    <w:tblLayout w:type="fixed"/>
                    <w:tblCellMar>
                      <w:left w:w="70" w:type="dxa"/>
                      <w:right w:w="70" w:type="dxa"/>
                    </w:tblCellMar>
                    <w:tblLook w:val="04A0" w:firstRow="1" w:lastRow="0" w:firstColumn="1" w:lastColumn="0" w:noHBand="0" w:noVBand="1"/>
                  </w:tblPr>
                  <w:tblGrid>
                    <w:gridCol w:w="2469"/>
                    <w:gridCol w:w="998"/>
                    <w:gridCol w:w="998"/>
                    <w:gridCol w:w="998"/>
                    <w:gridCol w:w="998"/>
                    <w:gridCol w:w="998"/>
                    <w:gridCol w:w="998"/>
                    <w:gridCol w:w="998"/>
                    <w:gridCol w:w="1477"/>
                  </w:tblGrid>
                  <w:tr w:rsidR="00EB66C1" w:rsidRPr="00890C68" w:rsidTr="00EB66C1">
                    <w:trPr>
                      <w:trHeight w:val="305"/>
                    </w:trPr>
                    <w:tc>
                      <w:tcPr>
                        <w:tcW w:w="24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66C1" w:rsidRPr="00890C68" w:rsidRDefault="00EB66C1" w:rsidP="00EB66C1">
                        <w:pPr>
                          <w:spacing w:line="240" w:lineRule="auto"/>
                          <w:rPr>
                            <w:rFonts w:ascii="Times New Roman" w:eastAsia="Times New Roman" w:hAnsi="Times New Roman"/>
                            <w:sz w:val="19"/>
                            <w:szCs w:val="19"/>
                            <w:lang w:eastAsia="pl-PL"/>
                          </w:rPr>
                        </w:pPr>
                      </w:p>
                    </w:tc>
                    <w:tc>
                      <w:tcPr>
                        <w:tcW w:w="998" w:type="dxa"/>
                        <w:tcBorders>
                          <w:top w:val="single" w:sz="4" w:space="0" w:color="auto"/>
                          <w:left w:val="nil"/>
                          <w:bottom w:val="single" w:sz="4" w:space="0" w:color="auto"/>
                          <w:right w:val="single" w:sz="4" w:space="0" w:color="auto"/>
                        </w:tcBorders>
                        <w:shd w:val="clear" w:color="000000" w:fill="FFFFFF"/>
                        <w:noWrap/>
                        <w:vAlign w:val="center"/>
                        <w:hideMark/>
                      </w:tcPr>
                      <w:p w:rsidR="00EB66C1" w:rsidRPr="00890C68" w:rsidRDefault="00EB66C1" w:rsidP="00EB66C1">
                        <w:pPr>
                          <w:jc w:val="center"/>
                          <w:rPr>
                            <w:rFonts w:ascii="Times New Roman" w:hAnsi="Times New Roman"/>
                            <w:b/>
                            <w:sz w:val="19"/>
                            <w:szCs w:val="19"/>
                          </w:rPr>
                        </w:pPr>
                        <w:r w:rsidRPr="00890C68">
                          <w:rPr>
                            <w:rFonts w:ascii="Times New Roman" w:hAnsi="Times New Roman"/>
                            <w:b/>
                            <w:sz w:val="19"/>
                            <w:szCs w:val="19"/>
                          </w:rPr>
                          <w:t>1</w:t>
                        </w:r>
                      </w:p>
                    </w:tc>
                    <w:tc>
                      <w:tcPr>
                        <w:tcW w:w="998" w:type="dxa"/>
                        <w:tcBorders>
                          <w:top w:val="single" w:sz="4" w:space="0" w:color="auto"/>
                          <w:left w:val="nil"/>
                          <w:bottom w:val="single" w:sz="4" w:space="0" w:color="auto"/>
                          <w:right w:val="single" w:sz="4" w:space="0" w:color="auto"/>
                        </w:tcBorders>
                        <w:shd w:val="clear" w:color="000000" w:fill="FFFFFF"/>
                        <w:noWrap/>
                        <w:vAlign w:val="center"/>
                        <w:hideMark/>
                      </w:tcPr>
                      <w:p w:rsidR="00EB66C1" w:rsidRPr="00890C68" w:rsidRDefault="00EB66C1" w:rsidP="00EB66C1">
                        <w:pPr>
                          <w:jc w:val="center"/>
                          <w:rPr>
                            <w:rFonts w:ascii="Times New Roman" w:hAnsi="Times New Roman"/>
                            <w:b/>
                            <w:sz w:val="19"/>
                            <w:szCs w:val="19"/>
                          </w:rPr>
                        </w:pPr>
                        <w:r w:rsidRPr="00890C68">
                          <w:rPr>
                            <w:rFonts w:ascii="Times New Roman" w:hAnsi="Times New Roman"/>
                            <w:b/>
                            <w:sz w:val="19"/>
                            <w:szCs w:val="19"/>
                          </w:rPr>
                          <w:t>2</w:t>
                        </w:r>
                      </w:p>
                    </w:tc>
                    <w:tc>
                      <w:tcPr>
                        <w:tcW w:w="998" w:type="dxa"/>
                        <w:tcBorders>
                          <w:top w:val="single" w:sz="4" w:space="0" w:color="auto"/>
                          <w:left w:val="nil"/>
                          <w:bottom w:val="single" w:sz="4" w:space="0" w:color="auto"/>
                          <w:right w:val="single" w:sz="4" w:space="0" w:color="auto"/>
                        </w:tcBorders>
                        <w:shd w:val="clear" w:color="000000" w:fill="FFFFFF"/>
                        <w:noWrap/>
                        <w:vAlign w:val="center"/>
                        <w:hideMark/>
                      </w:tcPr>
                      <w:p w:rsidR="00EB66C1" w:rsidRPr="00890C68" w:rsidRDefault="00EB66C1" w:rsidP="00EB66C1">
                        <w:pPr>
                          <w:jc w:val="center"/>
                          <w:rPr>
                            <w:rFonts w:ascii="Times New Roman" w:hAnsi="Times New Roman"/>
                            <w:b/>
                            <w:sz w:val="19"/>
                            <w:szCs w:val="19"/>
                          </w:rPr>
                        </w:pPr>
                        <w:r w:rsidRPr="00890C68">
                          <w:rPr>
                            <w:rFonts w:ascii="Times New Roman" w:hAnsi="Times New Roman"/>
                            <w:b/>
                            <w:sz w:val="19"/>
                            <w:szCs w:val="19"/>
                          </w:rPr>
                          <w:t>3</w:t>
                        </w:r>
                      </w:p>
                    </w:tc>
                    <w:tc>
                      <w:tcPr>
                        <w:tcW w:w="998" w:type="dxa"/>
                        <w:tcBorders>
                          <w:top w:val="single" w:sz="4" w:space="0" w:color="auto"/>
                          <w:left w:val="nil"/>
                          <w:bottom w:val="single" w:sz="4" w:space="0" w:color="auto"/>
                          <w:right w:val="single" w:sz="4" w:space="0" w:color="auto"/>
                        </w:tcBorders>
                        <w:shd w:val="clear" w:color="000000" w:fill="FFFFFF"/>
                        <w:noWrap/>
                        <w:vAlign w:val="center"/>
                        <w:hideMark/>
                      </w:tcPr>
                      <w:p w:rsidR="00EB66C1" w:rsidRPr="00890C68" w:rsidRDefault="00EB66C1" w:rsidP="00EB66C1">
                        <w:pPr>
                          <w:jc w:val="center"/>
                          <w:rPr>
                            <w:rFonts w:ascii="Times New Roman" w:hAnsi="Times New Roman"/>
                            <w:b/>
                            <w:sz w:val="19"/>
                            <w:szCs w:val="19"/>
                          </w:rPr>
                        </w:pPr>
                        <w:r w:rsidRPr="00890C68">
                          <w:rPr>
                            <w:rFonts w:ascii="Times New Roman" w:hAnsi="Times New Roman"/>
                            <w:b/>
                            <w:sz w:val="19"/>
                            <w:szCs w:val="19"/>
                          </w:rPr>
                          <w:t>4</w:t>
                        </w:r>
                      </w:p>
                    </w:tc>
                    <w:tc>
                      <w:tcPr>
                        <w:tcW w:w="998" w:type="dxa"/>
                        <w:tcBorders>
                          <w:top w:val="single" w:sz="4" w:space="0" w:color="auto"/>
                          <w:left w:val="nil"/>
                          <w:bottom w:val="single" w:sz="4" w:space="0" w:color="auto"/>
                          <w:right w:val="single" w:sz="4" w:space="0" w:color="auto"/>
                        </w:tcBorders>
                        <w:shd w:val="clear" w:color="000000" w:fill="FFFFFF"/>
                        <w:noWrap/>
                        <w:vAlign w:val="center"/>
                        <w:hideMark/>
                      </w:tcPr>
                      <w:p w:rsidR="00EB66C1" w:rsidRPr="00890C68" w:rsidRDefault="00EB66C1" w:rsidP="00EB66C1">
                        <w:pPr>
                          <w:jc w:val="center"/>
                          <w:rPr>
                            <w:rFonts w:ascii="Times New Roman" w:hAnsi="Times New Roman"/>
                            <w:b/>
                            <w:sz w:val="19"/>
                            <w:szCs w:val="19"/>
                          </w:rPr>
                        </w:pPr>
                        <w:r w:rsidRPr="00890C68">
                          <w:rPr>
                            <w:rFonts w:ascii="Times New Roman" w:hAnsi="Times New Roman"/>
                            <w:b/>
                            <w:sz w:val="19"/>
                            <w:szCs w:val="19"/>
                          </w:rPr>
                          <w:t>5</w:t>
                        </w:r>
                      </w:p>
                    </w:tc>
                    <w:tc>
                      <w:tcPr>
                        <w:tcW w:w="998" w:type="dxa"/>
                        <w:tcBorders>
                          <w:top w:val="single" w:sz="4" w:space="0" w:color="auto"/>
                          <w:left w:val="nil"/>
                          <w:bottom w:val="single" w:sz="4" w:space="0" w:color="auto"/>
                          <w:right w:val="single" w:sz="4" w:space="0" w:color="auto"/>
                        </w:tcBorders>
                        <w:shd w:val="clear" w:color="000000" w:fill="FFFFFF"/>
                        <w:noWrap/>
                        <w:vAlign w:val="center"/>
                        <w:hideMark/>
                      </w:tcPr>
                      <w:p w:rsidR="00EB66C1" w:rsidRPr="00890C68" w:rsidRDefault="00EB66C1" w:rsidP="00EB66C1">
                        <w:pPr>
                          <w:jc w:val="center"/>
                          <w:rPr>
                            <w:rFonts w:ascii="Times New Roman" w:hAnsi="Times New Roman"/>
                            <w:b/>
                            <w:sz w:val="19"/>
                            <w:szCs w:val="19"/>
                          </w:rPr>
                        </w:pPr>
                        <w:r w:rsidRPr="00890C68">
                          <w:rPr>
                            <w:rFonts w:ascii="Times New Roman" w:hAnsi="Times New Roman"/>
                            <w:b/>
                            <w:sz w:val="19"/>
                            <w:szCs w:val="19"/>
                          </w:rPr>
                          <w:t>10</w:t>
                        </w:r>
                      </w:p>
                    </w:tc>
                    <w:tc>
                      <w:tcPr>
                        <w:tcW w:w="998" w:type="dxa"/>
                        <w:tcBorders>
                          <w:top w:val="single" w:sz="4" w:space="0" w:color="auto"/>
                          <w:left w:val="nil"/>
                          <w:bottom w:val="single" w:sz="4" w:space="0" w:color="auto"/>
                          <w:right w:val="single" w:sz="4" w:space="0" w:color="auto"/>
                        </w:tcBorders>
                        <w:shd w:val="clear" w:color="000000" w:fill="FFFFFF"/>
                        <w:noWrap/>
                        <w:vAlign w:val="center"/>
                        <w:hideMark/>
                      </w:tcPr>
                      <w:p w:rsidR="00EB66C1" w:rsidRPr="00890C68" w:rsidRDefault="00EB66C1" w:rsidP="00EB66C1">
                        <w:pPr>
                          <w:jc w:val="center"/>
                          <w:rPr>
                            <w:rFonts w:ascii="Times New Roman" w:hAnsi="Times New Roman"/>
                            <w:b/>
                            <w:sz w:val="19"/>
                            <w:szCs w:val="19"/>
                          </w:rPr>
                        </w:pPr>
                        <w:r w:rsidRPr="00890C68">
                          <w:rPr>
                            <w:rFonts w:ascii="Times New Roman" w:hAnsi="Times New Roman"/>
                            <w:b/>
                            <w:sz w:val="19"/>
                            <w:szCs w:val="19"/>
                          </w:rPr>
                          <w:t>15</w:t>
                        </w:r>
                      </w:p>
                    </w:tc>
                    <w:tc>
                      <w:tcPr>
                        <w:tcW w:w="1477" w:type="dxa"/>
                        <w:tcBorders>
                          <w:top w:val="single" w:sz="4" w:space="0" w:color="auto"/>
                          <w:left w:val="nil"/>
                          <w:bottom w:val="single" w:sz="4" w:space="0" w:color="auto"/>
                          <w:right w:val="single" w:sz="4" w:space="0" w:color="auto"/>
                        </w:tcBorders>
                        <w:shd w:val="clear" w:color="000000" w:fill="FFFFFF"/>
                        <w:noWrap/>
                        <w:vAlign w:val="center"/>
                        <w:hideMark/>
                      </w:tcPr>
                      <w:p w:rsidR="00EB66C1" w:rsidRPr="00890C68" w:rsidRDefault="00EB66C1" w:rsidP="00EB66C1">
                        <w:pPr>
                          <w:jc w:val="center"/>
                          <w:rPr>
                            <w:rFonts w:ascii="Times New Roman" w:hAnsi="Times New Roman"/>
                            <w:b/>
                            <w:i/>
                            <w:sz w:val="19"/>
                            <w:szCs w:val="19"/>
                          </w:rPr>
                        </w:pPr>
                        <w:r w:rsidRPr="00890C68">
                          <w:rPr>
                            <w:rFonts w:ascii="Times New Roman" w:hAnsi="Times New Roman"/>
                            <w:b/>
                            <w:i/>
                            <w:sz w:val="19"/>
                            <w:szCs w:val="19"/>
                          </w:rPr>
                          <w:t>Łącznie</w:t>
                        </w:r>
                        <w:r w:rsidRPr="00890C68">
                          <w:rPr>
                            <w:rFonts w:ascii="Times New Roman" w:hAnsi="Times New Roman"/>
                            <w:b/>
                            <w:i/>
                            <w:sz w:val="19"/>
                            <w:szCs w:val="19"/>
                          </w:rPr>
                          <w:br/>
                          <w:t>(0-15)</w:t>
                        </w:r>
                      </w:p>
                    </w:tc>
                  </w:tr>
                  <w:tr w:rsidR="00EB66C1" w:rsidRPr="00890C68" w:rsidTr="00524B67">
                    <w:trPr>
                      <w:trHeight w:val="368"/>
                    </w:trPr>
                    <w:tc>
                      <w:tcPr>
                        <w:tcW w:w="2469" w:type="dxa"/>
                        <w:tcBorders>
                          <w:top w:val="nil"/>
                          <w:left w:val="single" w:sz="4" w:space="0" w:color="auto"/>
                          <w:bottom w:val="single" w:sz="4" w:space="0" w:color="auto"/>
                          <w:right w:val="single" w:sz="4" w:space="0" w:color="auto"/>
                        </w:tcBorders>
                        <w:shd w:val="clear" w:color="000000" w:fill="FFFFFF"/>
                        <w:vAlign w:val="center"/>
                      </w:tcPr>
                      <w:p w:rsidR="00EB66C1" w:rsidRPr="00890C68" w:rsidRDefault="003F3B09" w:rsidP="00EB66C1">
                        <w:pPr>
                          <w:spacing w:line="240" w:lineRule="auto"/>
                          <w:jc w:val="center"/>
                          <w:rPr>
                            <w:rFonts w:ascii="Times New Roman" w:eastAsia="Times New Roman" w:hAnsi="Times New Roman"/>
                            <w:sz w:val="19"/>
                            <w:szCs w:val="19"/>
                            <w:lang w:eastAsia="pl-PL"/>
                          </w:rPr>
                        </w:pPr>
                        <w:r w:rsidRPr="00890C68">
                          <w:rPr>
                            <w:rFonts w:ascii="Times New Roman" w:eastAsia="Times New Roman" w:hAnsi="Times New Roman"/>
                            <w:sz w:val="19"/>
                            <w:szCs w:val="19"/>
                            <w:lang w:eastAsia="pl-PL"/>
                          </w:rPr>
                          <w:t>Korzyści w mln zł</w:t>
                        </w:r>
                      </w:p>
                    </w:tc>
                    <w:tc>
                      <w:tcPr>
                        <w:tcW w:w="998" w:type="dxa"/>
                        <w:tcBorders>
                          <w:top w:val="nil"/>
                          <w:left w:val="nil"/>
                          <w:bottom w:val="single" w:sz="4" w:space="0" w:color="auto"/>
                          <w:right w:val="single" w:sz="4" w:space="0" w:color="auto"/>
                        </w:tcBorders>
                        <w:shd w:val="clear" w:color="000000" w:fill="FFFFFF"/>
                        <w:noWrap/>
                        <w:vAlign w:val="center"/>
                      </w:tcPr>
                      <w:p w:rsidR="00EB66C1" w:rsidRPr="00890C68" w:rsidRDefault="00A10B95" w:rsidP="00EB66C1">
                        <w:pPr>
                          <w:jc w:val="center"/>
                          <w:rPr>
                            <w:rFonts w:ascii="Times New Roman" w:hAnsi="Times New Roman"/>
                            <w:sz w:val="19"/>
                            <w:szCs w:val="19"/>
                          </w:rPr>
                        </w:pPr>
                        <w:r w:rsidRPr="00890C68">
                          <w:rPr>
                            <w:rFonts w:ascii="Times New Roman" w:hAnsi="Times New Roman"/>
                            <w:sz w:val="19"/>
                            <w:szCs w:val="19"/>
                          </w:rPr>
                          <w:t>0,0</w:t>
                        </w:r>
                      </w:p>
                    </w:tc>
                    <w:tc>
                      <w:tcPr>
                        <w:tcW w:w="998" w:type="dxa"/>
                        <w:tcBorders>
                          <w:top w:val="nil"/>
                          <w:left w:val="nil"/>
                          <w:bottom w:val="single" w:sz="4" w:space="0" w:color="auto"/>
                          <w:right w:val="single" w:sz="4" w:space="0" w:color="auto"/>
                        </w:tcBorders>
                        <w:shd w:val="clear" w:color="000000" w:fill="FFFFFF"/>
                        <w:noWrap/>
                        <w:vAlign w:val="center"/>
                      </w:tcPr>
                      <w:p w:rsidR="00EB66C1" w:rsidRPr="00890C68" w:rsidRDefault="00A10B95" w:rsidP="00EB66C1">
                        <w:pPr>
                          <w:jc w:val="center"/>
                          <w:rPr>
                            <w:rFonts w:ascii="Times New Roman" w:hAnsi="Times New Roman"/>
                            <w:sz w:val="19"/>
                            <w:szCs w:val="19"/>
                          </w:rPr>
                        </w:pPr>
                        <w:r w:rsidRPr="00890C68">
                          <w:rPr>
                            <w:rFonts w:ascii="Times New Roman" w:hAnsi="Times New Roman"/>
                            <w:sz w:val="19"/>
                            <w:szCs w:val="19"/>
                          </w:rPr>
                          <w:t>0,0</w:t>
                        </w:r>
                      </w:p>
                    </w:tc>
                    <w:tc>
                      <w:tcPr>
                        <w:tcW w:w="998" w:type="dxa"/>
                        <w:tcBorders>
                          <w:top w:val="nil"/>
                          <w:left w:val="nil"/>
                          <w:bottom w:val="single" w:sz="4" w:space="0" w:color="auto"/>
                          <w:right w:val="single" w:sz="4" w:space="0" w:color="auto"/>
                        </w:tcBorders>
                        <w:shd w:val="clear" w:color="000000" w:fill="FFFFFF"/>
                        <w:noWrap/>
                        <w:vAlign w:val="center"/>
                      </w:tcPr>
                      <w:p w:rsidR="00EB66C1" w:rsidRPr="00890C68" w:rsidRDefault="00A10B95" w:rsidP="00EB66C1">
                        <w:pPr>
                          <w:jc w:val="center"/>
                          <w:rPr>
                            <w:rFonts w:ascii="Times New Roman" w:hAnsi="Times New Roman"/>
                            <w:sz w:val="19"/>
                            <w:szCs w:val="19"/>
                          </w:rPr>
                        </w:pPr>
                        <w:r w:rsidRPr="00890C68">
                          <w:rPr>
                            <w:rFonts w:ascii="Times New Roman" w:hAnsi="Times New Roman"/>
                            <w:sz w:val="19"/>
                            <w:szCs w:val="19"/>
                          </w:rPr>
                          <w:t>0,0</w:t>
                        </w:r>
                      </w:p>
                    </w:tc>
                    <w:tc>
                      <w:tcPr>
                        <w:tcW w:w="998" w:type="dxa"/>
                        <w:tcBorders>
                          <w:top w:val="nil"/>
                          <w:left w:val="nil"/>
                          <w:bottom w:val="single" w:sz="4" w:space="0" w:color="auto"/>
                          <w:right w:val="single" w:sz="4" w:space="0" w:color="auto"/>
                        </w:tcBorders>
                        <w:shd w:val="clear" w:color="000000" w:fill="FFFFFF"/>
                        <w:noWrap/>
                        <w:vAlign w:val="center"/>
                      </w:tcPr>
                      <w:p w:rsidR="00EB66C1" w:rsidRPr="00890C68" w:rsidRDefault="00A10B95" w:rsidP="00EB66C1">
                        <w:pPr>
                          <w:jc w:val="center"/>
                          <w:rPr>
                            <w:rFonts w:ascii="Times New Roman" w:hAnsi="Times New Roman"/>
                            <w:sz w:val="19"/>
                            <w:szCs w:val="19"/>
                          </w:rPr>
                        </w:pPr>
                        <w:r w:rsidRPr="00890C68">
                          <w:rPr>
                            <w:rFonts w:ascii="Times New Roman" w:hAnsi="Times New Roman"/>
                            <w:sz w:val="19"/>
                            <w:szCs w:val="19"/>
                          </w:rPr>
                          <w:t>211</w:t>
                        </w:r>
                      </w:p>
                    </w:tc>
                    <w:tc>
                      <w:tcPr>
                        <w:tcW w:w="998" w:type="dxa"/>
                        <w:tcBorders>
                          <w:top w:val="nil"/>
                          <w:left w:val="nil"/>
                          <w:bottom w:val="single" w:sz="4" w:space="0" w:color="auto"/>
                          <w:right w:val="single" w:sz="4" w:space="0" w:color="auto"/>
                        </w:tcBorders>
                        <w:shd w:val="clear" w:color="000000" w:fill="FFFFFF"/>
                        <w:noWrap/>
                        <w:vAlign w:val="center"/>
                      </w:tcPr>
                      <w:p w:rsidR="00EB66C1" w:rsidRPr="00890C68" w:rsidRDefault="00A10B95" w:rsidP="00EB66C1">
                        <w:pPr>
                          <w:jc w:val="center"/>
                          <w:rPr>
                            <w:rFonts w:ascii="Times New Roman" w:hAnsi="Times New Roman"/>
                            <w:sz w:val="19"/>
                            <w:szCs w:val="19"/>
                          </w:rPr>
                        </w:pPr>
                        <w:r w:rsidRPr="00890C68">
                          <w:rPr>
                            <w:rFonts w:ascii="Times New Roman" w:hAnsi="Times New Roman"/>
                            <w:sz w:val="19"/>
                            <w:szCs w:val="19"/>
                          </w:rPr>
                          <w:t>356</w:t>
                        </w:r>
                      </w:p>
                    </w:tc>
                    <w:tc>
                      <w:tcPr>
                        <w:tcW w:w="998" w:type="dxa"/>
                        <w:tcBorders>
                          <w:top w:val="nil"/>
                          <w:left w:val="nil"/>
                          <w:bottom w:val="single" w:sz="4" w:space="0" w:color="auto"/>
                          <w:right w:val="single" w:sz="4" w:space="0" w:color="auto"/>
                        </w:tcBorders>
                        <w:shd w:val="clear" w:color="000000" w:fill="FFFFFF"/>
                        <w:noWrap/>
                        <w:vAlign w:val="center"/>
                      </w:tcPr>
                      <w:p w:rsidR="00EB66C1" w:rsidRPr="00890C68" w:rsidRDefault="00A10B95" w:rsidP="00EB66C1">
                        <w:pPr>
                          <w:jc w:val="center"/>
                          <w:rPr>
                            <w:rFonts w:ascii="Times New Roman" w:hAnsi="Times New Roman"/>
                            <w:sz w:val="19"/>
                            <w:szCs w:val="19"/>
                          </w:rPr>
                        </w:pPr>
                        <w:r w:rsidRPr="00890C68">
                          <w:rPr>
                            <w:rFonts w:ascii="Times New Roman" w:hAnsi="Times New Roman"/>
                            <w:sz w:val="19"/>
                            <w:szCs w:val="19"/>
                          </w:rPr>
                          <w:t>1 202</w:t>
                        </w:r>
                      </w:p>
                    </w:tc>
                    <w:tc>
                      <w:tcPr>
                        <w:tcW w:w="998" w:type="dxa"/>
                        <w:tcBorders>
                          <w:top w:val="nil"/>
                          <w:left w:val="nil"/>
                          <w:bottom w:val="single" w:sz="4" w:space="0" w:color="auto"/>
                          <w:right w:val="single" w:sz="4" w:space="0" w:color="auto"/>
                        </w:tcBorders>
                        <w:shd w:val="clear" w:color="000000" w:fill="FFFFFF"/>
                        <w:noWrap/>
                        <w:vAlign w:val="center"/>
                      </w:tcPr>
                      <w:p w:rsidR="00EB66C1" w:rsidRPr="00890C68" w:rsidRDefault="00A10B95" w:rsidP="00EB66C1">
                        <w:pPr>
                          <w:jc w:val="center"/>
                          <w:rPr>
                            <w:rFonts w:ascii="Times New Roman" w:hAnsi="Times New Roman"/>
                            <w:sz w:val="19"/>
                            <w:szCs w:val="19"/>
                          </w:rPr>
                        </w:pPr>
                        <w:r w:rsidRPr="00890C68">
                          <w:rPr>
                            <w:rFonts w:ascii="Times New Roman" w:hAnsi="Times New Roman"/>
                            <w:sz w:val="19"/>
                            <w:szCs w:val="19"/>
                          </w:rPr>
                          <w:t>1 262</w:t>
                        </w:r>
                      </w:p>
                    </w:tc>
                    <w:tc>
                      <w:tcPr>
                        <w:tcW w:w="1477" w:type="dxa"/>
                        <w:tcBorders>
                          <w:top w:val="nil"/>
                          <w:left w:val="nil"/>
                          <w:bottom w:val="single" w:sz="4" w:space="0" w:color="auto"/>
                          <w:right w:val="single" w:sz="4" w:space="0" w:color="auto"/>
                        </w:tcBorders>
                        <w:shd w:val="clear" w:color="000000" w:fill="FFFFFF"/>
                        <w:noWrap/>
                        <w:vAlign w:val="center"/>
                      </w:tcPr>
                      <w:p w:rsidR="00EB66C1" w:rsidRPr="00890C68" w:rsidRDefault="00A10B95" w:rsidP="00EB66C1">
                        <w:pPr>
                          <w:jc w:val="center"/>
                          <w:rPr>
                            <w:rFonts w:ascii="Times New Roman" w:hAnsi="Times New Roman"/>
                            <w:b/>
                            <w:sz w:val="19"/>
                            <w:szCs w:val="19"/>
                          </w:rPr>
                        </w:pPr>
                        <w:r w:rsidRPr="00890C68">
                          <w:rPr>
                            <w:rFonts w:ascii="Times New Roman" w:hAnsi="Times New Roman"/>
                            <w:b/>
                            <w:sz w:val="19"/>
                            <w:szCs w:val="19"/>
                          </w:rPr>
                          <w:t>11 338</w:t>
                        </w:r>
                      </w:p>
                    </w:tc>
                  </w:tr>
                  <w:tr w:rsidR="00D4211A" w:rsidRPr="00890C68" w:rsidTr="00EB66C1">
                    <w:trPr>
                      <w:trHeight w:val="442"/>
                    </w:trPr>
                    <w:tc>
                      <w:tcPr>
                        <w:tcW w:w="2469" w:type="dxa"/>
                        <w:tcBorders>
                          <w:top w:val="nil"/>
                          <w:left w:val="single" w:sz="4" w:space="0" w:color="auto"/>
                          <w:bottom w:val="single" w:sz="4" w:space="0" w:color="auto"/>
                          <w:right w:val="single" w:sz="4" w:space="0" w:color="auto"/>
                        </w:tcBorders>
                        <w:shd w:val="clear" w:color="000000" w:fill="FFFFFF"/>
                        <w:vAlign w:val="center"/>
                      </w:tcPr>
                      <w:p w:rsidR="00D4211A" w:rsidRPr="00890C68" w:rsidRDefault="00D4211A" w:rsidP="00D4211A">
                        <w:pPr>
                          <w:spacing w:line="240" w:lineRule="auto"/>
                          <w:jc w:val="center"/>
                          <w:rPr>
                            <w:rFonts w:ascii="Times New Roman" w:eastAsia="Times New Roman" w:hAnsi="Times New Roman"/>
                            <w:sz w:val="19"/>
                            <w:szCs w:val="19"/>
                            <w:lang w:eastAsia="pl-PL"/>
                          </w:rPr>
                        </w:pPr>
                        <w:r w:rsidRPr="00890C68">
                          <w:rPr>
                            <w:rFonts w:ascii="Times New Roman" w:eastAsia="Times New Roman" w:hAnsi="Times New Roman"/>
                            <w:sz w:val="19"/>
                            <w:szCs w:val="19"/>
                            <w:lang w:eastAsia="pl-PL"/>
                          </w:rPr>
                          <w:t>Średnie korzyści w przeliczeniu na 1 odbiorcę końcowego</w:t>
                        </w:r>
                      </w:p>
                    </w:tc>
                    <w:tc>
                      <w:tcPr>
                        <w:tcW w:w="998" w:type="dxa"/>
                        <w:tcBorders>
                          <w:top w:val="nil"/>
                          <w:left w:val="nil"/>
                          <w:bottom w:val="single" w:sz="4" w:space="0" w:color="auto"/>
                          <w:right w:val="single" w:sz="4" w:space="0" w:color="auto"/>
                        </w:tcBorders>
                        <w:shd w:val="clear" w:color="000000" w:fill="FFFFFF"/>
                        <w:noWrap/>
                        <w:vAlign w:val="center"/>
                      </w:tcPr>
                      <w:p w:rsidR="00D4211A" w:rsidRPr="00890C68" w:rsidRDefault="00D4211A" w:rsidP="00D4211A">
                        <w:pPr>
                          <w:jc w:val="center"/>
                          <w:rPr>
                            <w:rFonts w:ascii="Times New Roman" w:hAnsi="Times New Roman"/>
                            <w:b/>
                            <w:sz w:val="19"/>
                            <w:szCs w:val="19"/>
                          </w:rPr>
                        </w:pPr>
                        <w:r w:rsidRPr="00890C68">
                          <w:rPr>
                            <w:rFonts w:ascii="Times New Roman" w:hAnsi="Times New Roman"/>
                            <w:sz w:val="19"/>
                            <w:szCs w:val="19"/>
                          </w:rPr>
                          <w:t>0,0</w:t>
                        </w:r>
                      </w:p>
                    </w:tc>
                    <w:tc>
                      <w:tcPr>
                        <w:tcW w:w="998" w:type="dxa"/>
                        <w:tcBorders>
                          <w:top w:val="nil"/>
                          <w:left w:val="nil"/>
                          <w:bottom w:val="single" w:sz="4" w:space="0" w:color="auto"/>
                          <w:right w:val="single" w:sz="4" w:space="0" w:color="auto"/>
                        </w:tcBorders>
                        <w:shd w:val="clear" w:color="000000" w:fill="FFFFFF"/>
                        <w:noWrap/>
                        <w:vAlign w:val="center"/>
                      </w:tcPr>
                      <w:p w:rsidR="00D4211A" w:rsidRPr="00890C68" w:rsidRDefault="00D4211A" w:rsidP="00D4211A">
                        <w:pPr>
                          <w:jc w:val="center"/>
                          <w:rPr>
                            <w:rFonts w:ascii="Times New Roman" w:hAnsi="Times New Roman"/>
                            <w:b/>
                            <w:sz w:val="19"/>
                            <w:szCs w:val="19"/>
                          </w:rPr>
                        </w:pPr>
                        <w:r w:rsidRPr="00890C68">
                          <w:rPr>
                            <w:rFonts w:ascii="Times New Roman" w:hAnsi="Times New Roman"/>
                            <w:sz w:val="19"/>
                            <w:szCs w:val="19"/>
                          </w:rPr>
                          <w:t>0,0</w:t>
                        </w:r>
                      </w:p>
                    </w:tc>
                    <w:tc>
                      <w:tcPr>
                        <w:tcW w:w="998" w:type="dxa"/>
                        <w:tcBorders>
                          <w:top w:val="nil"/>
                          <w:left w:val="nil"/>
                          <w:bottom w:val="single" w:sz="4" w:space="0" w:color="auto"/>
                          <w:right w:val="single" w:sz="4" w:space="0" w:color="auto"/>
                        </w:tcBorders>
                        <w:shd w:val="clear" w:color="000000" w:fill="FFFFFF"/>
                        <w:noWrap/>
                        <w:vAlign w:val="center"/>
                      </w:tcPr>
                      <w:p w:rsidR="00D4211A" w:rsidRPr="00890C68" w:rsidRDefault="00D4211A" w:rsidP="00D4211A">
                        <w:pPr>
                          <w:jc w:val="center"/>
                          <w:rPr>
                            <w:rFonts w:ascii="Times New Roman" w:hAnsi="Times New Roman"/>
                            <w:b/>
                            <w:sz w:val="19"/>
                            <w:szCs w:val="19"/>
                          </w:rPr>
                        </w:pPr>
                        <w:r w:rsidRPr="00890C68">
                          <w:rPr>
                            <w:rFonts w:ascii="Times New Roman" w:hAnsi="Times New Roman"/>
                            <w:sz w:val="19"/>
                            <w:szCs w:val="19"/>
                          </w:rPr>
                          <w:t>0,0</w:t>
                        </w:r>
                      </w:p>
                    </w:tc>
                    <w:tc>
                      <w:tcPr>
                        <w:tcW w:w="998" w:type="dxa"/>
                        <w:tcBorders>
                          <w:top w:val="nil"/>
                          <w:left w:val="nil"/>
                          <w:bottom w:val="single" w:sz="4" w:space="0" w:color="auto"/>
                          <w:right w:val="single" w:sz="4" w:space="0" w:color="auto"/>
                        </w:tcBorders>
                        <w:shd w:val="clear" w:color="000000" w:fill="FFFFFF"/>
                        <w:noWrap/>
                        <w:vAlign w:val="center"/>
                      </w:tcPr>
                      <w:p w:rsidR="00D4211A" w:rsidRPr="00890C68" w:rsidRDefault="00D4211A" w:rsidP="00D4211A">
                        <w:pPr>
                          <w:jc w:val="center"/>
                          <w:rPr>
                            <w:rFonts w:ascii="Times New Roman" w:hAnsi="Times New Roman"/>
                            <w:b/>
                            <w:sz w:val="19"/>
                            <w:szCs w:val="19"/>
                          </w:rPr>
                        </w:pPr>
                        <w:r w:rsidRPr="00890C68">
                          <w:rPr>
                            <w:rFonts w:ascii="Times New Roman" w:hAnsi="Times New Roman"/>
                            <w:b/>
                            <w:sz w:val="19"/>
                            <w:szCs w:val="19"/>
                          </w:rPr>
                          <w:t>12</w:t>
                        </w:r>
                      </w:p>
                    </w:tc>
                    <w:tc>
                      <w:tcPr>
                        <w:tcW w:w="998" w:type="dxa"/>
                        <w:tcBorders>
                          <w:top w:val="nil"/>
                          <w:left w:val="nil"/>
                          <w:bottom w:val="single" w:sz="4" w:space="0" w:color="auto"/>
                          <w:right w:val="single" w:sz="4" w:space="0" w:color="auto"/>
                        </w:tcBorders>
                        <w:shd w:val="clear" w:color="000000" w:fill="FFFFFF"/>
                        <w:noWrap/>
                        <w:vAlign w:val="center"/>
                      </w:tcPr>
                      <w:p w:rsidR="00D4211A" w:rsidRPr="00890C68" w:rsidRDefault="00D4211A" w:rsidP="00D4211A">
                        <w:pPr>
                          <w:jc w:val="center"/>
                          <w:rPr>
                            <w:rFonts w:ascii="Times New Roman" w:hAnsi="Times New Roman"/>
                            <w:b/>
                            <w:sz w:val="19"/>
                            <w:szCs w:val="19"/>
                          </w:rPr>
                        </w:pPr>
                        <w:r w:rsidRPr="00890C68">
                          <w:rPr>
                            <w:rFonts w:ascii="Times New Roman" w:hAnsi="Times New Roman"/>
                            <w:b/>
                            <w:sz w:val="19"/>
                            <w:szCs w:val="19"/>
                          </w:rPr>
                          <w:t>21</w:t>
                        </w:r>
                      </w:p>
                    </w:tc>
                    <w:tc>
                      <w:tcPr>
                        <w:tcW w:w="998" w:type="dxa"/>
                        <w:tcBorders>
                          <w:top w:val="nil"/>
                          <w:left w:val="nil"/>
                          <w:bottom w:val="single" w:sz="4" w:space="0" w:color="auto"/>
                          <w:right w:val="single" w:sz="4" w:space="0" w:color="auto"/>
                        </w:tcBorders>
                        <w:shd w:val="clear" w:color="000000" w:fill="FFFFFF"/>
                        <w:noWrap/>
                        <w:vAlign w:val="center"/>
                      </w:tcPr>
                      <w:p w:rsidR="00D4211A" w:rsidRPr="00890C68" w:rsidRDefault="00D4211A" w:rsidP="00D4211A">
                        <w:pPr>
                          <w:jc w:val="center"/>
                          <w:rPr>
                            <w:rFonts w:ascii="Times New Roman" w:hAnsi="Times New Roman"/>
                            <w:b/>
                            <w:sz w:val="19"/>
                            <w:szCs w:val="19"/>
                          </w:rPr>
                        </w:pPr>
                        <w:r w:rsidRPr="00890C68">
                          <w:rPr>
                            <w:rFonts w:ascii="Times New Roman" w:hAnsi="Times New Roman"/>
                            <w:b/>
                            <w:sz w:val="19"/>
                            <w:szCs w:val="19"/>
                          </w:rPr>
                          <w:t>68</w:t>
                        </w:r>
                      </w:p>
                    </w:tc>
                    <w:tc>
                      <w:tcPr>
                        <w:tcW w:w="998" w:type="dxa"/>
                        <w:tcBorders>
                          <w:top w:val="nil"/>
                          <w:left w:val="nil"/>
                          <w:bottom w:val="single" w:sz="4" w:space="0" w:color="auto"/>
                          <w:right w:val="single" w:sz="4" w:space="0" w:color="auto"/>
                        </w:tcBorders>
                        <w:shd w:val="clear" w:color="000000" w:fill="FFFFFF"/>
                        <w:noWrap/>
                        <w:vAlign w:val="center"/>
                      </w:tcPr>
                      <w:p w:rsidR="00D4211A" w:rsidRPr="00890C68" w:rsidRDefault="00D4211A" w:rsidP="00D4211A">
                        <w:pPr>
                          <w:jc w:val="center"/>
                          <w:rPr>
                            <w:rFonts w:ascii="Times New Roman" w:hAnsi="Times New Roman"/>
                            <w:b/>
                            <w:sz w:val="19"/>
                            <w:szCs w:val="19"/>
                          </w:rPr>
                        </w:pPr>
                        <w:r w:rsidRPr="00890C68">
                          <w:rPr>
                            <w:rFonts w:ascii="Times New Roman" w:hAnsi="Times New Roman"/>
                            <w:b/>
                            <w:sz w:val="19"/>
                            <w:szCs w:val="19"/>
                          </w:rPr>
                          <w:t>68</w:t>
                        </w:r>
                      </w:p>
                    </w:tc>
                    <w:tc>
                      <w:tcPr>
                        <w:tcW w:w="1477" w:type="dxa"/>
                        <w:tcBorders>
                          <w:top w:val="nil"/>
                          <w:left w:val="nil"/>
                          <w:bottom w:val="single" w:sz="4" w:space="0" w:color="auto"/>
                          <w:right w:val="single" w:sz="4" w:space="0" w:color="auto"/>
                        </w:tcBorders>
                        <w:shd w:val="clear" w:color="000000" w:fill="FFFFFF"/>
                        <w:noWrap/>
                        <w:vAlign w:val="center"/>
                      </w:tcPr>
                      <w:p w:rsidR="00D4211A" w:rsidRPr="00890C68" w:rsidRDefault="00D4211A" w:rsidP="00D4211A">
                        <w:pPr>
                          <w:jc w:val="center"/>
                          <w:rPr>
                            <w:rFonts w:ascii="Times New Roman" w:hAnsi="Times New Roman"/>
                            <w:b/>
                            <w:sz w:val="19"/>
                            <w:szCs w:val="19"/>
                          </w:rPr>
                        </w:pPr>
                        <w:r w:rsidRPr="00890C68">
                          <w:rPr>
                            <w:rFonts w:ascii="Times New Roman" w:hAnsi="Times New Roman"/>
                            <w:b/>
                            <w:sz w:val="19"/>
                            <w:szCs w:val="19"/>
                          </w:rPr>
                          <w:t>634</w:t>
                        </w:r>
                      </w:p>
                    </w:tc>
                  </w:tr>
                </w:tbl>
                <w:p w:rsidR="0006177E" w:rsidRPr="00890C68" w:rsidRDefault="0006177E" w:rsidP="0006177E">
                  <w:pPr>
                    <w:spacing w:line="240" w:lineRule="auto"/>
                    <w:jc w:val="both"/>
                    <w:rPr>
                      <w:rFonts w:ascii="Times New Roman" w:hAnsi="Times New Roman"/>
                    </w:rPr>
                  </w:pPr>
                </w:p>
                <w:p w:rsidR="0006177E" w:rsidRPr="00890C68" w:rsidRDefault="0006177E" w:rsidP="0006177E">
                  <w:pPr>
                    <w:spacing w:line="240" w:lineRule="auto"/>
                    <w:jc w:val="both"/>
                    <w:rPr>
                      <w:rFonts w:ascii="Times New Roman" w:hAnsi="Times New Roman"/>
                    </w:rPr>
                  </w:pPr>
                </w:p>
                <w:p w:rsidR="0006177E" w:rsidRPr="00890C68" w:rsidRDefault="0006177E" w:rsidP="0006177E">
                  <w:pPr>
                    <w:spacing w:line="240" w:lineRule="auto"/>
                    <w:jc w:val="both"/>
                    <w:rPr>
                      <w:rFonts w:ascii="Times New Roman" w:hAnsi="Times New Roman"/>
                    </w:rPr>
                  </w:pPr>
                  <w:r w:rsidRPr="00890C68">
                    <w:rPr>
                      <w:rFonts w:ascii="Times New Roman" w:hAnsi="Times New Roman"/>
                    </w:rPr>
                    <w:t>4) Wpływ regulacji na koszty budowy i funkcjonowania OI</w:t>
                  </w:r>
                  <w:r w:rsidR="008B3190" w:rsidRPr="00890C68">
                    <w:rPr>
                      <w:rFonts w:ascii="Times New Roman" w:hAnsi="Times New Roman"/>
                    </w:rPr>
                    <w:t>RE</w:t>
                  </w:r>
                </w:p>
                <w:p w:rsidR="0006177E" w:rsidRPr="00890C68" w:rsidRDefault="0006177E" w:rsidP="0006177E">
                  <w:pPr>
                    <w:spacing w:line="240" w:lineRule="auto"/>
                    <w:jc w:val="both"/>
                    <w:rPr>
                      <w:rFonts w:ascii="Times New Roman" w:hAnsi="Times New Roman"/>
                    </w:rPr>
                  </w:pPr>
                </w:p>
                <w:p w:rsidR="0006177E" w:rsidRPr="00890C68" w:rsidRDefault="0006177E" w:rsidP="0006177E">
                  <w:pPr>
                    <w:spacing w:line="240" w:lineRule="auto"/>
                    <w:jc w:val="both"/>
                    <w:rPr>
                      <w:rFonts w:ascii="Times New Roman" w:hAnsi="Times New Roman"/>
                    </w:rPr>
                  </w:pPr>
                  <w:r w:rsidRPr="00890C68">
                    <w:rPr>
                      <w:rFonts w:ascii="Times New Roman" w:hAnsi="Times New Roman"/>
                    </w:rPr>
                    <w:t>Tabela. Koszty funkcjonowania OI</w:t>
                  </w:r>
                  <w:r w:rsidR="008B3190" w:rsidRPr="00890C68">
                    <w:rPr>
                      <w:rFonts w:ascii="Times New Roman" w:hAnsi="Times New Roman"/>
                    </w:rPr>
                    <w:t>RE</w:t>
                  </w:r>
                  <w:r w:rsidRPr="00890C68">
                    <w:rPr>
                      <w:rFonts w:ascii="Times New Roman" w:hAnsi="Times New Roman"/>
                    </w:rPr>
                    <w:t xml:space="preserve"> na skutek wdrożenia planowanych regulacji (zdyskontowane na dzień 1 stycznia 201</w:t>
                  </w:r>
                  <w:r w:rsidR="005B39BC" w:rsidRPr="00890C68">
                    <w:rPr>
                      <w:rFonts w:ascii="Times New Roman" w:hAnsi="Times New Roman"/>
                    </w:rPr>
                    <w:t>9</w:t>
                  </w:r>
                  <w:r w:rsidRPr="00890C68">
                    <w:rPr>
                      <w:rFonts w:ascii="Times New Roman" w:hAnsi="Times New Roman"/>
                    </w:rPr>
                    <w:t xml:space="preserve"> r, w cenach z 201</w:t>
                  </w:r>
                  <w:r w:rsidR="00D57AA9" w:rsidRPr="00890C68">
                    <w:rPr>
                      <w:rFonts w:ascii="Times New Roman" w:hAnsi="Times New Roman"/>
                    </w:rPr>
                    <w:t>8</w:t>
                  </w:r>
                  <w:r w:rsidRPr="00890C68">
                    <w:rPr>
                      <w:rFonts w:ascii="Times New Roman" w:hAnsi="Times New Roman"/>
                    </w:rPr>
                    <w:t xml:space="preserve"> roku)</w:t>
                  </w:r>
                </w:p>
                <w:tbl>
                  <w:tblPr>
                    <w:tblW w:w="10932" w:type="dxa"/>
                    <w:tblLayout w:type="fixed"/>
                    <w:tblCellMar>
                      <w:left w:w="70" w:type="dxa"/>
                      <w:right w:w="70" w:type="dxa"/>
                    </w:tblCellMar>
                    <w:tblLook w:val="04A0" w:firstRow="1" w:lastRow="0" w:firstColumn="1" w:lastColumn="0" w:noHBand="0" w:noVBand="1"/>
                  </w:tblPr>
                  <w:tblGrid>
                    <w:gridCol w:w="2469"/>
                    <w:gridCol w:w="998"/>
                    <w:gridCol w:w="998"/>
                    <w:gridCol w:w="998"/>
                    <w:gridCol w:w="998"/>
                    <w:gridCol w:w="998"/>
                    <w:gridCol w:w="998"/>
                    <w:gridCol w:w="998"/>
                    <w:gridCol w:w="1477"/>
                  </w:tblGrid>
                  <w:tr w:rsidR="00F72723" w:rsidRPr="00890C68" w:rsidTr="00F72723">
                    <w:trPr>
                      <w:trHeight w:val="305"/>
                    </w:trPr>
                    <w:tc>
                      <w:tcPr>
                        <w:tcW w:w="24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2723" w:rsidRPr="00890C68" w:rsidRDefault="00F72723" w:rsidP="00F72723">
                        <w:pPr>
                          <w:spacing w:line="240" w:lineRule="auto"/>
                          <w:rPr>
                            <w:rFonts w:ascii="Times New Roman" w:eastAsia="Times New Roman" w:hAnsi="Times New Roman"/>
                            <w:sz w:val="19"/>
                            <w:szCs w:val="19"/>
                            <w:lang w:eastAsia="pl-PL"/>
                          </w:rPr>
                        </w:pPr>
                        <w:r w:rsidRPr="00890C68">
                          <w:rPr>
                            <w:rFonts w:ascii="Times New Roman" w:eastAsia="Times New Roman" w:hAnsi="Times New Roman"/>
                            <w:sz w:val="19"/>
                            <w:szCs w:val="19"/>
                            <w:lang w:eastAsia="pl-PL"/>
                          </w:rPr>
                          <w:t>dane w tys. zł/rok od wejścia w życie zmiany</w:t>
                        </w:r>
                      </w:p>
                    </w:tc>
                    <w:tc>
                      <w:tcPr>
                        <w:tcW w:w="998" w:type="dxa"/>
                        <w:tcBorders>
                          <w:top w:val="single" w:sz="4" w:space="0" w:color="auto"/>
                          <w:left w:val="nil"/>
                          <w:bottom w:val="single" w:sz="4" w:space="0" w:color="auto"/>
                          <w:right w:val="single" w:sz="4" w:space="0" w:color="auto"/>
                        </w:tcBorders>
                        <w:shd w:val="clear" w:color="000000" w:fill="FFFFFF"/>
                        <w:noWrap/>
                        <w:vAlign w:val="center"/>
                        <w:hideMark/>
                      </w:tcPr>
                      <w:p w:rsidR="00F72723" w:rsidRPr="00890C68" w:rsidRDefault="00F72723" w:rsidP="00F72723">
                        <w:pPr>
                          <w:jc w:val="center"/>
                          <w:rPr>
                            <w:rFonts w:ascii="Times New Roman" w:hAnsi="Times New Roman"/>
                            <w:b/>
                            <w:sz w:val="19"/>
                            <w:szCs w:val="19"/>
                          </w:rPr>
                        </w:pPr>
                        <w:r w:rsidRPr="00890C68">
                          <w:rPr>
                            <w:rFonts w:ascii="Times New Roman" w:hAnsi="Times New Roman"/>
                            <w:b/>
                            <w:sz w:val="19"/>
                            <w:szCs w:val="19"/>
                          </w:rPr>
                          <w:t>1</w:t>
                        </w:r>
                      </w:p>
                    </w:tc>
                    <w:tc>
                      <w:tcPr>
                        <w:tcW w:w="998" w:type="dxa"/>
                        <w:tcBorders>
                          <w:top w:val="single" w:sz="4" w:space="0" w:color="auto"/>
                          <w:left w:val="nil"/>
                          <w:bottom w:val="single" w:sz="4" w:space="0" w:color="auto"/>
                          <w:right w:val="single" w:sz="4" w:space="0" w:color="auto"/>
                        </w:tcBorders>
                        <w:shd w:val="clear" w:color="000000" w:fill="FFFFFF"/>
                        <w:noWrap/>
                        <w:vAlign w:val="center"/>
                        <w:hideMark/>
                      </w:tcPr>
                      <w:p w:rsidR="00F72723" w:rsidRPr="00890C68" w:rsidRDefault="00F72723" w:rsidP="00F72723">
                        <w:pPr>
                          <w:jc w:val="center"/>
                          <w:rPr>
                            <w:rFonts w:ascii="Times New Roman" w:hAnsi="Times New Roman"/>
                            <w:b/>
                            <w:sz w:val="19"/>
                            <w:szCs w:val="19"/>
                          </w:rPr>
                        </w:pPr>
                        <w:r w:rsidRPr="00890C68">
                          <w:rPr>
                            <w:rFonts w:ascii="Times New Roman" w:hAnsi="Times New Roman"/>
                            <w:b/>
                            <w:sz w:val="19"/>
                            <w:szCs w:val="19"/>
                          </w:rPr>
                          <w:t>2</w:t>
                        </w:r>
                      </w:p>
                    </w:tc>
                    <w:tc>
                      <w:tcPr>
                        <w:tcW w:w="998" w:type="dxa"/>
                        <w:tcBorders>
                          <w:top w:val="single" w:sz="4" w:space="0" w:color="auto"/>
                          <w:left w:val="nil"/>
                          <w:bottom w:val="single" w:sz="4" w:space="0" w:color="auto"/>
                          <w:right w:val="single" w:sz="4" w:space="0" w:color="auto"/>
                        </w:tcBorders>
                        <w:shd w:val="clear" w:color="000000" w:fill="FFFFFF"/>
                        <w:noWrap/>
                        <w:vAlign w:val="center"/>
                        <w:hideMark/>
                      </w:tcPr>
                      <w:p w:rsidR="00F72723" w:rsidRPr="00890C68" w:rsidRDefault="00F72723" w:rsidP="00F72723">
                        <w:pPr>
                          <w:jc w:val="center"/>
                          <w:rPr>
                            <w:rFonts w:ascii="Times New Roman" w:hAnsi="Times New Roman"/>
                            <w:b/>
                            <w:sz w:val="19"/>
                            <w:szCs w:val="19"/>
                          </w:rPr>
                        </w:pPr>
                        <w:r w:rsidRPr="00890C68">
                          <w:rPr>
                            <w:rFonts w:ascii="Times New Roman" w:hAnsi="Times New Roman"/>
                            <w:b/>
                            <w:sz w:val="19"/>
                            <w:szCs w:val="19"/>
                          </w:rPr>
                          <w:t>3</w:t>
                        </w:r>
                      </w:p>
                    </w:tc>
                    <w:tc>
                      <w:tcPr>
                        <w:tcW w:w="998" w:type="dxa"/>
                        <w:tcBorders>
                          <w:top w:val="single" w:sz="4" w:space="0" w:color="auto"/>
                          <w:left w:val="nil"/>
                          <w:bottom w:val="single" w:sz="4" w:space="0" w:color="auto"/>
                          <w:right w:val="single" w:sz="4" w:space="0" w:color="auto"/>
                        </w:tcBorders>
                        <w:shd w:val="clear" w:color="000000" w:fill="FFFFFF"/>
                        <w:noWrap/>
                        <w:vAlign w:val="center"/>
                        <w:hideMark/>
                      </w:tcPr>
                      <w:p w:rsidR="00F72723" w:rsidRPr="00890C68" w:rsidRDefault="00F72723" w:rsidP="00F72723">
                        <w:pPr>
                          <w:jc w:val="center"/>
                          <w:rPr>
                            <w:rFonts w:ascii="Times New Roman" w:hAnsi="Times New Roman"/>
                            <w:b/>
                            <w:sz w:val="19"/>
                            <w:szCs w:val="19"/>
                          </w:rPr>
                        </w:pPr>
                        <w:r w:rsidRPr="00890C68">
                          <w:rPr>
                            <w:rFonts w:ascii="Times New Roman" w:hAnsi="Times New Roman"/>
                            <w:b/>
                            <w:sz w:val="19"/>
                            <w:szCs w:val="19"/>
                          </w:rPr>
                          <w:t>4</w:t>
                        </w:r>
                      </w:p>
                    </w:tc>
                    <w:tc>
                      <w:tcPr>
                        <w:tcW w:w="998" w:type="dxa"/>
                        <w:tcBorders>
                          <w:top w:val="single" w:sz="4" w:space="0" w:color="auto"/>
                          <w:left w:val="nil"/>
                          <w:bottom w:val="single" w:sz="4" w:space="0" w:color="auto"/>
                          <w:right w:val="single" w:sz="4" w:space="0" w:color="auto"/>
                        </w:tcBorders>
                        <w:shd w:val="clear" w:color="000000" w:fill="FFFFFF"/>
                        <w:noWrap/>
                        <w:vAlign w:val="center"/>
                        <w:hideMark/>
                      </w:tcPr>
                      <w:p w:rsidR="00F72723" w:rsidRPr="00890C68" w:rsidRDefault="00F72723" w:rsidP="00F72723">
                        <w:pPr>
                          <w:jc w:val="center"/>
                          <w:rPr>
                            <w:rFonts w:ascii="Times New Roman" w:hAnsi="Times New Roman"/>
                            <w:b/>
                            <w:sz w:val="19"/>
                            <w:szCs w:val="19"/>
                          </w:rPr>
                        </w:pPr>
                        <w:r w:rsidRPr="00890C68">
                          <w:rPr>
                            <w:rFonts w:ascii="Times New Roman" w:hAnsi="Times New Roman"/>
                            <w:b/>
                            <w:sz w:val="19"/>
                            <w:szCs w:val="19"/>
                          </w:rPr>
                          <w:t>5</w:t>
                        </w:r>
                      </w:p>
                    </w:tc>
                    <w:tc>
                      <w:tcPr>
                        <w:tcW w:w="998" w:type="dxa"/>
                        <w:tcBorders>
                          <w:top w:val="single" w:sz="4" w:space="0" w:color="auto"/>
                          <w:left w:val="nil"/>
                          <w:bottom w:val="single" w:sz="4" w:space="0" w:color="auto"/>
                          <w:right w:val="single" w:sz="4" w:space="0" w:color="auto"/>
                        </w:tcBorders>
                        <w:shd w:val="clear" w:color="000000" w:fill="FFFFFF"/>
                        <w:noWrap/>
                        <w:vAlign w:val="center"/>
                        <w:hideMark/>
                      </w:tcPr>
                      <w:p w:rsidR="00F72723" w:rsidRPr="00890C68" w:rsidRDefault="00F72723" w:rsidP="00F72723">
                        <w:pPr>
                          <w:jc w:val="center"/>
                          <w:rPr>
                            <w:rFonts w:ascii="Times New Roman" w:hAnsi="Times New Roman"/>
                            <w:b/>
                            <w:sz w:val="19"/>
                            <w:szCs w:val="19"/>
                          </w:rPr>
                        </w:pPr>
                        <w:r w:rsidRPr="00890C68">
                          <w:rPr>
                            <w:rFonts w:ascii="Times New Roman" w:hAnsi="Times New Roman"/>
                            <w:b/>
                            <w:sz w:val="19"/>
                            <w:szCs w:val="19"/>
                          </w:rPr>
                          <w:t>10</w:t>
                        </w:r>
                      </w:p>
                    </w:tc>
                    <w:tc>
                      <w:tcPr>
                        <w:tcW w:w="998" w:type="dxa"/>
                        <w:tcBorders>
                          <w:top w:val="single" w:sz="4" w:space="0" w:color="auto"/>
                          <w:left w:val="nil"/>
                          <w:bottom w:val="single" w:sz="4" w:space="0" w:color="auto"/>
                          <w:right w:val="single" w:sz="4" w:space="0" w:color="auto"/>
                        </w:tcBorders>
                        <w:shd w:val="clear" w:color="000000" w:fill="FFFFFF"/>
                        <w:noWrap/>
                        <w:vAlign w:val="center"/>
                        <w:hideMark/>
                      </w:tcPr>
                      <w:p w:rsidR="00F72723" w:rsidRPr="00890C68" w:rsidRDefault="00F72723" w:rsidP="00F72723">
                        <w:pPr>
                          <w:jc w:val="center"/>
                          <w:rPr>
                            <w:rFonts w:ascii="Times New Roman" w:hAnsi="Times New Roman"/>
                            <w:b/>
                            <w:sz w:val="19"/>
                            <w:szCs w:val="19"/>
                          </w:rPr>
                        </w:pPr>
                        <w:r w:rsidRPr="00890C68">
                          <w:rPr>
                            <w:rFonts w:ascii="Times New Roman" w:hAnsi="Times New Roman"/>
                            <w:b/>
                            <w:sz w:val="19"/>
                            <w:szCs w:val="19"/>
                          </w:rPr>
                          <w:t>15</w:t>
                        </w:r>
                      </w:p>
                    </w:tc>
                    <w:tc>
                      <w:tcPr>
                        <w:tcW w:w="1477" w:type="dxa"/>
                        <w:tcBorders>
                          <w:top w:val="single" w:sz="4" w:space="0" w:color="auto"/>
                          <w:left w:val="nil"/>
                          <w:bottom w:val="single" w:sz="4" w:space="0" w:color="auto"/>
                          <w:right w:val="single" w:sz="4" w:space="0" w:color="auto"/>
                        </w:tcBorders>
                        <w:shd w:val="clear" w:color="000000" w:fill="FFFFFF"/>
                        <w:noWrap/>
                        <w:vAlign w:val="center"/>
                        <w:hideMark/>
                      </w:tcPr>
                      <w:p w:rsidR="00F72723" w:rsidRPr="00890C68" w:rsidRDefault="00F72723" w:rsidP="00F72723">
                        <w:pPr>
                          <w:jc w:val="center"/>
                          <w:rPr>
                            <w:rFonts w:ascii="Times New Roman" w:hAnsi="Times New Roman"/>
                            <w:b/>
                            <w:i/>
                            <w:sz w:val="19"/>
                            <w:szCs w:val="19"/>
                          </w:rPr>
                        </w:pPr>
                        <w:r w:rsidRPr="00890C68">
                          <w:rPr>
                            <w:rFonts w:ascii="Times New Roman" w:hAnsi="Times New Roman"/>
                            <w:b/>
                            <w:i/>
                            <w:sz w:val="19"/>
                            <w:szCs w:val="19"/>
                          </w:rPr>
                          <w:t>Łącznie</w:t>
                        </w:r>
                        <w:r w:rsidRPr="00890C68">
                          <w:rPr>
                            <w:rFonts w:ascii="Times New Roman" w:hAnsi="Times New Roman"/>
                            <w:b/>
                            <w:i/>
                            <w:sz w:val="19"/>
                            <w:szCs w:val="19"/>
                          </w:rPr>
                          <w:br/>
                          <w:t>(0-15)</w:t>
                        </w:r>
                      </w:p>
                    </w:tc>
                  </w:tr>
                  <w:tr w:rsidR="00A602F0" w:rsidRPr="00890C68" w:rsidTr="00524B67">
                    <w:trPr>
                      <w:trHeight w:val="442"/>
                    </w:trPr>
                    <w:tc>
                      <w:tcPr>
                        <w:tcW w:w="2469" w:type="dxa"/>
                        <w:tcBorders>
                          <w:top w:val="nil"/>
                          <w:left w:val="single" w:sz="4" w:space="0" w:color="auto"/>
                          <w:bottom w:val="single" w:sz="4" w:space="0" w:color="auto"/>
                          <w:right w:val="single" w:sz="4" w:space="0" w:color="auto"/>
                        </w:tcBorders>
                        <w:shd w:val="clear" w:color="000000" w:fill="FFFFFF"/>
                        <w:vAlign w:val="center"/>
                      </w:tcPr>
                      <w:p w:rsidR="00A602F0" w:rsidRPr="00890C68" w:rsidRDefault="00A602F0" w:rsidP="00A602F0">
                        <w:pPr>
                          <w:spacing w:line="240" w:lineRule="auto"/>
                          <w:jc w:val="center"/>
                          <w:rPr>
                            <w:rFonts w:ascii="Times New Roman" w:eastAsia="Times New Roman" w:hAnsi="Times New Roman"/>
                            <w:sz w:val="19"/>
                            <w:szCs w:val="19"/>
                            <w:lang w:eastAsia="pl-PL"/>
                          </w:rPr>
                        </w:pPr>
                        <w:r w:rsidRPr="00890C68">
                          <w:rPr>
                            <w:rFonts w:ascii="Times New Roman" w:eastAsia="Times New Roman" w:hAnsi="Times New Roman"/>
                            <w:sz w:val="19"/>
                            <w:szCs w:val="19"/>
                            <w:lang w:eastAsia="pl-PL"/>
                          </w:rPr>
                          <w:t>OIRE - inwestycyjne</w:t>
                        </w:r>
                      </w:p>
                    </w:tc>
                    <w:tc>
                      <w:tcPr>
                        <w:tcW w:w="998" w:type="dxa"/>
                        <w:tcBorders>
                          <w:top w:val="nil"/>
                          <w:left w:val="nil"/>
                          <w:bottom w:val="single" w:sz="4" w:space="0" w:color="auto"/>
                          <w:right w:val="single" w:sz="4" w:space="0" w:color="auto"/>
                        </w:tcBorders>
                        <w:shd w:val="clear" w:color="000000" w:fill="FFFFFF"/>
                        <w:noWrap/>
                        <w:vAlign w:val="center"/>
                      </w:tcPr>
                      <w:p w:rsidR="00A602F0" w:rsidRPr="00890C68" w:rsidRDefault="00A602F0" w:rsidP="00A602F0">
                        <w:pPr>
                          <w:jc w:val="center"/>
                          <w:rPr>
                            <w:rFonts w:ascii="Times New Roman" w:hAnsi="Times New Roman"/>
                            <w:color w:val="FF0000"/>
                            <w:sz w:val="19"/>
                            <w:szCs w:val="19"/>
                          </w:rPr>
                        </w:pPr>
                        <w:r w:rsidRPr="00890C68">
                          <w:rPr>
                            <w:rFonts w:ascii="Times New Roman" w:hAnsi="Times New Roman"/>
                            <w:color w:val="000000"/>
                            <w:sz w:val="19"/>
                            <w:szCs w:val="19"/>
                          </w:rPr>
                          <w:t>8 512</w:t>
                        </w:r>
                      </w:p>
                    </w:tc>
                    <w:tc>
                      <w:tcPr>
                        <w:tcW w:w="998" w:type="dxa"/>
                        <w:tcBorders>
                          <w:top w:val="nil"/>
                          <w:left w:val="nil"/>
                          <w:bottom w:val="single" w:sz="4" w:space="0" w:color="auto"/>
                          <w:right w:val="single" w:sz="4" w:space="0" w:color="auto"/>
                        </w:tcBorders>
                        <w:shd w:val="clear" w:color="000000" w:fill="FFFFFF"/>
                        <w:noWrap/>
                        <w:vAlign w:val="center"/>
                      </w:tcPr>
                      <w:p w:rsidR="00A602F0" w:rsidRPr="00890C68" w:rsidRDefault="00A602F0" w:rsidP="00A602F0">
                        <w:pPr>
                          <w:jc w:val="center"/>
                          <w:rPr>
                            <w:rFonts w:ascii="Times New Roman" w:hAnsi="Times New Roman"/>
                            <w:color w:val="FF0000"/>
                            <w:sz w:val="19"/>
                            <w:szCs w:val="19"/>
                          </w:rPr>
                        </w:pPr>
                        <w:r w:rsidRPr="00890C68">
                          <w:rPr>
                            <w:rFonts w:ascii="Times New Roman" w:hAnsi="Times New Roman"/>
                            <w:color w:val="000000"/>
                            <w:sz w:val="19"/>
                            <w:szCs w:val="19"/>
                          </w:rPr>
                          <w:t>16 654</w:t>
                        </w:r>
                      </w:p>
                    </w:tc>
                    <w:tc>
                      <w:tcPr>
                        <w:tcW w:w="998" w:type="dxa"/>
                        <w:tcBorders>
                          <w:top w:val="nil"/>
                          <w:left w:val="nil"/>
                          <w:bottom w:val="single" w:sz="4" w:space="0" w:color="auto"/>
                          <w:right w:val="single" w:sz="4" w:space="0" w:color="auto"/>
                        </w:tcBorders>
                        <w:shd w:val="clear" w:color="000000" w:fill="FFFFFF"/>
                        <w:noWrap/>
                        <w:vAlign w:val="center"/>
                      </w:tcPr>
                      <w:p w:rsidR="00A602F0" w:rsidRPr="00890C68" w:rsidRDefault="00A602F0" w:rsidP="00A602F0">
                        <w:pPr>
                          <w:jc w:val="center"/>
                          <w:rPr>
                            <w:rFonts w:ascii="Times New Roman" w:hAnsi="Times New Roman"/>
                            <w:color w:val="FF0000"/>
                            <w:sz w:val="19"/>
                            <w:szCs w:val="19"/>
                          </w:rPr>
                        </w:pPr>
                        <w:r w:rsidRPr="00890C68">
                          <w:rPr>
                            <w:rFonts w:ascii="Times New Roman" w:hAnsi="Times New Roman"/>
                            <w:color w:val="000000"/>
                            <w:sz w:val="19"/>
                            <w:szCs w:val="19"/>
                          </w:rPr>
                          <w:t>22 557</w:t>
                        </w:r>
                      </w:p>
                    </w:tc>
                    <w:tc>
                      <w:tcPr>
                        <w:tcW w:w="998" w:type="dxa"/>
                        <w:tcBorders>
                          <w:top w:val="nil"/>
                          <w:left w:val="nil"/>
                          <w:bottom w:val="single" w:sz="4" w:space="0" w:color="auto"/>
                          <w:right w:val="single" w:sz="4" w:space="0" w:color="auto"/>
                        </w:tcBorders>
                        <w:shd w:val="clear" w:color="000000" w:fill="FFFFFF"/>
                        <w:noWrap/>
                        <w:vAlign w:val="center"/>
                      </w:tcPr>
                      <w:p w:rsidR="00A602F0" w:rsidRPr="00890C68" w:rsidRDefault="00A602F0" w:rsidP="00A602F0">
                        <w:pPr>
                          <w:jc w:val="center"/>
                          <w:rPr>
                            <w:rFonts w:ascii="Times New Roman" w:hAnsi="Times New Roman"/>
                            <w:color w:val="FF0000"/>
                            <w:sz w:val="19"/>
                            <w:szCs w:val="19"/>
                          </w:rPr>
                        </w:pPr>
                        <w:r w:rsidRPr="00890C68">
                          <w:rPr>
                            <w:rFonts w:ascii="Times New Roman" w:hAnsi="Times New Roman"/>
                            <w:color w:val="000000"/>
                            <w:sz w:val="19"/>
                            <w:szCs w:val="19"/>
                          </w:rPr>
                          <w:t>18 442</w:t>
                        </w:r>
                      </w:p>
                    </w:tc>
                    <w:tc>
                      <w:tcPr>
                        <w:tcW w:w="998" w:type="dxa"/>
                        <w:tcBorders>
                          <w:top w:val="nil"/>
                          <w:left w:val="nil"/>
                          <w:bottom w:val="single" w:sz="4" w:space="0" w:color="auto"/>
                          <w:right w:val="single" w:sz="4" w:space="0" w:color="auto"/>
                        </w:tcBorders>
                        <w:shd w:val="clear" w:color="000000" w:fill="FFFFFF"/>
                        <w:noWrap/>
                        <w:vAlign w:val="center"/>
                      </w:tcPr>
                      <w:p w:rsidR="00A602F0" w:rsidRPr="00890C68" w:rsidRDefault="00A602F0" w:rsidP="00A602F0">
                        <w:pPr>
                          <w:jc w:val="center"/>
                          <w:rPr>
                            <w:rFonts w:ascii="Times New Roman" w:hAnsi="Times New Roman"/>
                            <w:color w:val="FF0000"/>
                            <w:sz w:val="19"/>
                            <w:szCs w:val="19"/>
                          </w:rPr>
                        </w:pPr>
                        <w:r w:rsidRPr="00890C68">
                          <w:rPr>
                            <w:rFonts w:ascii="Times New Roman" w:hAnsi="Times New Roman"/>
                            <w:color w:val="000000"/>
                            <w:sz w:val="19"/>
                            <w:szCs w:val="19"/>
                          </w:rPr>
                          <w:t>4 234</w:t>
                        </w:r>
                      </w:p>
                    </w:tc>
                    <w:tc>
                      <w:tcPr>
                        <w:tcW w:w="998" w:type="dxa"/>
                        <w:tcBorders>
                          <w:top w:val="nil"/>
                          <w:left w:val="nil"/>
                          <w:bottom w:val="single" w:sz="4" w:space="0" w:color="auto"/>
                          <w:right w:val="single" w:sz="4" w:space="0" w:color="auto"/>
                        </w:tcBorders>
                        <w:shd w:val="clear" w:color="000000" w:fill="FFFFFF"/>
                        <w:noWrap/>
                        <w:vAlign w:val="center"/>
                      </w:tcPr>
                      <w:p w:rsidR="00A602F0" w:rsidRPr="00890C68" w:rsidRDefault="00A602F0" w:rsidP="00A602F0">
                        <w:pPr>
                          <w:jc w:val="center"/>
                          <w:rPr>
                            <w:rFonts w:ascii="Times New Roman" w:hAnsi="Times New Roman"/>
                            <w:color w:val="FF0000"/>
                            <w:sz w:val="19"/>
                            <w:szCs w:val="19"/>
                          </w:rPr>
                        </w:pPr>
                        <w:r w:rsidRPr="00890C68">
                          <w:rPr>
                            <w:rFonts w:ascii="Times New Roman" w:hAnsi="Times New Roman"/>
                            <w:color w:val="000000"/>
                            <w:sz w:val="19"/>
                            <w:szCs w:val="19"/>
                          </w:rPr>
                          <w:t>1 069</w:t>
                        </w:r>
                      </w:p>
                    </w:tc>
                    <w:tc>
                      <w:tcPr>
                        <w:tcW w:w="998" w:type="dxa"/>
                        <w:tcBorders>
                          <w:top w:val="nil"/>
                          <w:left w:val="nil"/>
                          <w:bottom w:val="single" w:sz="4" w:space="0" w:color="auto"/>
                          <w:right w:val="single" w:sz="4" w:space="0" w:color="auto"/>
                        </w:tcBorders>
                        <w:shd w:val="clear" w:color="000000" w:fill="FFFFFF"/>
                        <w:noWrap/>
                        <w:vAlign w:val="center"/>
                      </w:tcPr>
                      <w:p w:rsidR="00A602F0" w:rsidRPr="00890C68" w:rsidRDefault="00A602F0" w:rsidP="00A602F0">
                        <w:pPr>
                          <w:jc w:val="center"/>
                          <w:rPr>
                            <w:rFonts w:ascii="Times New Roman" w:hAnsi="Times New Roman"/>
                            <w:color w:val="FF0000"/>
                            <w:sz w:val="19"/>
                            <w:szCs w:val="19"/>
                          </w:rPr>
                        </w:pPr>
                        <w:r w:rsidRPr="00890C68">
                          <w:rPr>
                            <w:rFonts w:ascii="Times New Roman" w:hAnsi="Times New Roman"/>
                            <w:color w:val="000000"/>
                            <w:sz w:val="19"/>
                            <w:szCs w:val="19"/>
                          </w:rPr>
                          <w:t>2 025</w:t>
                        </w:r>
                      </w:p>
                    </w:tc>
                    <w:tc>
                      <w:tcPr>
                        <w:tcW w:w="1477" w:type="dxa"/>
                        <w:tcBorders>
                          <w:top w:val="nil"/>
                          <w:left w:val="nil"/>
                          <w:bottom w:val="single" w:sz="4" w:space="0" w:color="auto"/>
                          <w:right w:val="single" w:sz="4" w:space="0" w:color="auto"/>
                        </w:tcBorders>
                        <w:shd w:val="clear" w:color="000000" w:fill="FFFFFF"/>
                        <w:noWrap/>
                        <w:vAlign w:val="center"/>
                      </w:tcPr>
                      <w:p w:rsidR="00A602F0" w:rsidRPr="00890C68" w:rsidRDefault="00B2121B" w:rsidP="00A602F0">
                        <w:pPr>
                          <w:jc w:val="center"/>
                          <w:rPr>
                            <w:rFonts w:ascii="Times New Roman" w:hAnsi="Times New Roman"/>
                            <w:b/>
                            <w:sz w:val="19"/>
                            <w:szCs w:val="19"/>
                          </w:rPr>
                        </w:pPr>
                        <w:r w:rsidRPr="00890C68">
                          <w:rPr>
                            <w:rFonts w:ascii="Times New Roman" w:hAnsi="Times New Roman"/>
                            <w:b/>
                            <w:sz w:val="19"/>
                            <w:szCs w:val="19"/>
                          </w:rPr>
                          <w:t>102 120</w:t>
                        </w:r>
                      </w:p>
                    </w:tc>
                  </w:tr>
                  <w:tr w:rsidR="00A602F0" w:rsidRPr="00890C68" w:rsidTr="00F72723">
                    <w:trPr>
                      <w:trHeight w:val="442"/>
                    </w:trPr>
                    <w:tc>
                      <w:tcPr>
                        <w:tcW w:w="2469" w:type="dxa"/>
                        <w:tcBorders>
                          <w:top w:val="nil"/>
                          <w:left w:val="single" w:sz="4" w:space="0" w:color="auto"/>
                          <w:bottom w:val="single" w:sz="4" w:space="0" w:color="auto"/>
                          <w:right w:val="single" w:sz="4" w:space="0" w:color="auto"/>
                        </w:tcBorders>
                        <w:shd w:val="clear" w:color="000000" w:fill="FFFFFF"/>
                        <w:vAlign w:val="center"/>
                      </w:tcPr>
                      <w:p w:rsidR="00A602F0" w:rsidRPr="00890C68" w:rsidRDefault="00A602F0" w:rsidP="00A602F0">
                        <w:pPr>
                          <w:spacing w:line="240" w:lineRule="auto"/>
                          <w:jc w:val="center"/>
                          <w:rPr>
                            <w:rFonts w:ascii="Times New Roman" w:eastAsia="Times New Roman" w:hAnsi="Times New Roman"/>
                            <w:sz w:val="19"/>
                            <w:szCs w:val="19"/>
                            <w:lang w:eastAsia="pl-PL"/>
                          </w:rPr>
                        </w:pPr>
                        <w:r w:rsidRPr="00890C68">
                          <w:rPr>
                            <w:rFonts w:ascii="Times New Roman" w:eastAsia="Times New Roman" w:hAnsi="Times New Roman"/>
                            <w:sz w:val="19"/>
                            <w:szCs w:val="19"/>
                            <w:lang w:eastAsia="pl-PL"/>
                          </w:rPr>
                          <w:t>OIRE - operacyjne</w:t>
                        </w:r>
                      </w:p>
                    </w:tc>
                    <w:tc>
                      <w:tcPr>
                        <w:tcW w:w="998" w:type="dxa"/>
                        <w:tcBorders>
                          <w:top w:val="nil"/>
                          <w:left w:val="nil"/>
                          <w:bottom w:val="single" w:sz="4" w:space="0" w:color="auto"/>
                          <w:right w:val="single" w:sz="4" w:space="0" w:color="auto"/>
                        </w:tcBorders>
                        <w:shd w:val="clear" w:color="000000" w:fill="FFFFFF"/>
                        <w:noWrap/>
                        <w:vAlign w:val="center"/>
                      </w:tcPr>
                      <w:p w:rsidR="00A602F0" w:rsidRPr="00890C68" w:rsidRDefault="00A602F0" w:rsidP="00A602F0">
                        <w:pPr>
                          <w:jc w:val="center"/>
                          <w:rPr>
                            <w:rFonts w:ascii="Times New Roman" w:hAnsi="Times New Roman"/>
                            <w:b/>
                            <w:color w:val="FF0000"/>
                            <w:sz w:val="19"/>
                            <w:szCs w:val="19"/>
                          </w:rPr>
                        </w:pPr>
                        <w:r w:rsidRPr="00890C68">
                          <w:rPr>
                            <w:rFonts w:ascii="Times New Roman" w:hAnsi="Times New Roman"/>
                            <w:color w:val="000000"/>
                            <w:sz w:val="19"/>
                            <w:szCs w:val="19"/>
                          </w:rPr>
                          <w:t>5 691</w:t>
                        </w:r>
                      </w:p>
                    </w:tc>
                    <w:tc>
                      <w:tcPr>
                        <w:tcW w:w="998" w:type="dxa"/>
                        <w:tcBorders>
                          <w:top w:val="nil"/>
                          <w:left w:val="nil"/>
                          <w:bottom w:val="single" w:sz="4" w:space="0" w:color="auto"/>
                          <w:right w:val="single" w:sz="4" w:space="0" w:color="auto"/>
                        </w:tcBorders>
                        <w:shd w:val="clear" w:color="000000" w:fill="FFFFFF"/>
                        <w:noWrap/>
                        <w:vAlign w:val="center"/>
                      </w:tcPr>
                      <w:p w:rsidR="00A602F0" w:rsidRPr="00890C68" w:rsidRDefault="00A602F0" w:rsidP="00A602F0">
                        <w:pPr>
                          <w:jc w:val="center"/>
                          <w:rPr>
                            <w:rFonts w:ascii="Times New Roman" w:hAnsi="Times New Roman"/>
                            <w:b/>
                            <w:color w:val="FF0000"/>
                            <w:sz w:val="19"/>
                            <w:szCs w:val="19"/>
                          </w:rPr>
                        </w:pPr>
                        <w:r w:rsidRPr="00890C68">
                          <w:rPr>
                            <w:rFonts w:ascii="Times New Roman" w:hAnsi="Times New Roman"/>
                            <w:color w:val="000000"/>
                            <w:sz w:val="19"/>
                            <w:szCs w:val="19"/>
                          </w:rPr>
                          <w:t>6 734</w:t>
                        </w:r>
                      </w:p>
                    </w:tc>
                    <w:tc>
                      <w:tcPr>
                        <w:tcW w:w="998" w:type="dxa"/>
                        <w:tcBorders>
                          <w:top w:val="nil"/>
                          <w:left w:val="nil"/>
                          <w:bottom w:val="single" w:sz="4" w:space="0" w:color="auto"/>
                          <w:right w:val="single" w:sz="4" w:space="0" w:color="auto"/>
                        </w:tcBorders>
                        <w:shd w:val="clear" w:color="000000" w:fill="FFFFFF"/>
                        <w:noWrap/>
                        <w:vAlign w:val="center"/>
                      </w:tcPr>
                      <w:p w:rsidR="00A602F0" w:rsidRPr="00890C68" w:rsidRDefault="00A602F0" w:rsidP="00A602F0">
                        <w:pPr>
                          <w:jc w:val="center"/>
                          <w:rPr>
                            <w:rFonts w:ascii="Times New Roman" w:hAnsi="Times New Roman"/>
                            <w:b/>
                            <w:color w:val="FF0000"/>
                            <w:sz w:val="19"/>
                            <w:szCs w:val="19"/>
                          </w:rPr>
                        </w:pPr>
                        <w:r w:rsidRPr="00890C68">
                          <w:rPr>
                            <w:rFonts w:ascii="Times New Roman" w:hAnsi="Times New Roman"/>
                            <w:color w:val="000000"/>
                            <w:sz w:val="19"/>
                            <w:szCs w:val="19"/>
                          </w:rPr>
                          <w:t>8 948</w:t>
                        </w:r>
                      </w:p>
                    </w:tc>
                    <w:tc>
                      <w:tcPr>
                        <w:tcW w:w="998" w:type="dxa"/>
                        <w:tcBorders>
                          <w:top w:val="nil"/>
                          <w:left w:val="nil"/>
                          <w:bottom w:val="single" w:sz="4" w:space="0" w:color="auto"/>
                          <w:right w:val="single" w:sz="4" w:space="0" w:color="auto"/>
                        </w:tcBorders>
                        <w:shd w:val="clear" w:color="000000" w:fill="FFFFFF"/>
                        <w:noWrap/>
                        <w:vAlign w:val="center"/>
                      </w:tcPr>
                      <w:p w:rsidR="00A602F0" w:rsidRPr="00890C68" w:rsidRDefault="00A602F0" w:rsidP="00A602F0">
                        <w:pPr>
                          <w:jc w:val="center"/>
                          <w:rPr>
                            <w:rFonts w:ascii="Times New Roman" w:hAnsi="Times New Roman"/>
                            <w:b/>
                            <w:color w:val="FF0000"/>
                            <w:sz w:val="19"/>
                            <w:szCs w:val="19"/>
                          </w:rPr>
                        </w:pPr>
                        <w:r w:rsidRPr="00890C68">
                          <w:rPr>
                            <w:rFonts w:ascii="Times New Roman" w:hAnsi="Times New Roman"/>
                            <w:color w:val="000000"/>
                            <w:sz w:val="19"/>
                            <w:szCs w:val="19"/>
                          </w:rPr>
                          <w:t>8 995</w:t>
                        </w:r>
                      </w:p>
                    </w:tc>
                    <w:tc>
                      <w:tcPr>
                        <w:tcW w:w="998" w:type="dxa"/>
                        <w:tcBorders>
                          <w:top w:val="nil"/>
                          <w:left w:val="nil"/>
                          <w:bottom w:val="single" w:sz="4" w:space="0" w:color="auto"/>
                          <w:right w:val="single" w:sz="4" w:space="0" w:color="auto"/>
                        </w:tcBorders>
                        <w:shd w:val="clear" w:color="000000" w:fill="FFFFFF"/>
                        <w:noWrap/>
                        <w:vAlign w:val="center"/>
                      </w:tcPr>
                      <w:p w:rsidR="00A602F0" w:rsidRPr="00890C68" w:rsidRDefault="00A602F0" w:rsidP="00A602F0">
                        <w:pPr>
                          <w:jc w:val="center"/>
                          <w:rPr>
                            <w:rFonts w:ascii="Times New Roman" w:hAnsi="Times New Roman"/>
                            <w:b/>
                            <w:color w:val="FF0000"/>
                            <w:sz w:val="19"/>
                            <w:szCs w:val="19"/>
                          </w:rPr>
                        </w:pPr>
                        <w:r w:rsidRPr="00890C68">
                          <w:rPr>
                            <w:rFonts w:ascii="Times New Roman" w:hAnsi="Times New Roman"/>
                            <w:color w:val="000000"/>
                            <w:sz w:val="19"/>
                            <w:szCs w:val="19"/>
                          </w:rPr>
                          <w:t>10 210</w:t>
                        </w:r>
                      </w:p>
                    </w:tc>
                    <w:tc>
                      <w:tcPr>
                        <w:tcW w:w="998" w:type="dxa"/>
                        <w:tcBorders>
                          <w:top w:val="nil"/>
                          <w:left w:val="nil"/>
                          <w:bottom w:val="single" w:sz="4" w:space="0" w:color="auto"/>
                          <w:right w:val="single" w:sz="4" w:space="0" w:color="auto"/>
                        </w:tcBorders>
                        <w:shd w:val="clear" w:color="000000" w:fill="FFFFFF"/>
                        <w:noWrap/>
                        <w:vAlign w:val="center"/>
                      </w:tcPr>
                      <w:p w:rsidR="00A602F0" w:rsidRPr="00890C68" w:rsidRDefault="00A602F0" w:rsidP="00A602F0">
                        <w:pPr>
                          <w:jc w:val="center"/>
                          <w:rPr>
                            <w:rFonts w:ascii="Times New Roman" w:hAnsi="Times New Roman"/>
                            <w:b/>
                            <w:color w:val="FF0000"/>
                            <w:sz w:val="19"/>
                            <w:szCs w:val="19"/>
                          </w:rPr>
                        </w:pPr>
                        <w:r w:rsidRPr="00890C68">
                          <w:rPr>
                            <w:rFonts w:ascii="Times New Roman" w:hAnsi="Times New Roman"/>
                            <w:color w:val="000000"/>
                            <w:sz w:val="19"/>
                            <w:szCs w:val="19"/>
                          </w:rPr>
                          <w:t>13 026</w:t>
                        </w:r>
                      </w:p>
                    </w:tc>
                    <w:tc>
                      <w:tcPr>
                        <w:tcW w:w="998" w:type="dxa"/>
                        <w:tcBorders>
                          <w:top w:val="nil"/>
                          <w:left w:val="nil"/>
                          <w:bottom w:val="single" w:sz="4" w:space="0" w:color="auto"/>
                          <w:right w:val="single" w:sz="4" w:space="0" w:color="auto"/>
                        </w:tcBorders>
                        <w:shd w:val="clear" w:color="000000" w:fill="FFFFFF"/>
                        <w:noWrap/>
                        <w:vAlign w:val="center"/>
                      </w:tcPr>
                      <w:p w:rsidR="00A602F0" w:rsidRPr="00890C68" w:rsidRDefault="00A602F0" w:rsidP="00A602F0">
                        <w:pPr>
                          <w:jc w:val="center"/>
                          <w:rPr>
                            <w:rFonts w:ascii="Times New Roman" w:hAnsi="Times New Roman"/>
                            <w:b/>
                            <w:color w:val="FF0000"/>
                            <w:sz w:val="19"/>
                            <w:szCs w:val="19"/>
                          </w:rPr>
                        </w:pPr>
                        <w:r w:rsidRPr="00890C68">
                          <w:rPr>
                            <w:rFonts w:ascii="Times New Roman" w:hAnsi="Times New Roman"/>
                            <w:color w:val="000000"/>
                            <w:sz w:val="19"/>
                            <w:szCs w:val="19"/>
                          </w:rPr>
                          <w:t>12 404</w:t>
                        </w:r>
                      </w:p>
                    </w:tc>
                    <w:tc>
                      <w:tcPr>
                        <w:tcW w:w="1477" w:type="dxa"/>
                        <w:tcBorders>
                          <w:top w:val="nil"/>
                          <w:left w:val="nil"/>
                          <w:bottom w:val="single" w:sz="4" w:space="0" w:color="auto"/>
                          <w:right w:val="single" w:sz="4" w:space="0" w:color="auto"/>
                        </w:tcBorders>
                        <w:shd w:val="clear" w:color="000000" w:fill="FFFFFF"/>
                        <w:noWrap/>
                        <w:vAlign w:val="center"/>
                      </w:tcPr>
                      <w:p w:rsidR="00A602F0" w:rsidRPr="00890C68" w:rsidRDefault="00B2121B" w:rsidP="00A602F0">
                        <w:pPr>
                          <w:jc w:val="center"/>
                          <w:rPr>
                            <w:rFonts w:ascii="Times New Roman" w:hAnsi="Times New Roman"/>
                            <w:b/>
                            <w:sz w:val="19"/>
                            <w:szCs w:val="19"/>
                          </w:rPr>
                        </w:pPr>
                        <w:r w:rsidRPr="00890C68">
                          <w:rPr>
                            <w:rFonts w:ascii="Times New Roman" w:hAnsi="Times New Roman"/>
                            <w:b/>
                            <w:sz w:val="19"/>
                            <w:szCs w:val="19"/>
                          </w:rPr>
                          <w:t>167 202</w:t>
                        </w:r>
                      </w:p>
                    </w:tc>
                  </w:tr>
                  <w:tr w:rsidR="00A602F0" w:rsidRPr="00890C68" w:rsidTr="00524B67">
                    <w:trPr>
                      <w:trHeight w:val="442"/>
                    </w:trPr>
                    <w:tc>
                      <w:tcPr>
                        <w:tcW w:w="2469" w:type="dxa"/>
                        <w:tcBorders>
                          <w:top w:val="nil"/>
                          <w:left w:val="single" w:sz="4" w:space="0" w:color="auto"/>
                          <w:bottom w:val="single" w:sz="4" w:space="0" w:color="auto"/>
                          <w:right w:val="single" w:sz="4" w:space="0" w:color="auto"/>
                        </w:tcBorders>
                        <w:shd w:val="clear" w:color="000000" w:fill="FFFFFF"/>
                        <w:vAlign w:val="center"/>
                      </w:tcPr>
                      <w:p w:rsidR="00A602F0" w:rsidRPr="00890C68" w:rsidRDefault="00A602F0" w:rsidP="00A602F0">
                        <w:pPr>
                          <w:spacing w:line="240" w:lineRule="auto"/>
                          <w:jc w:val="center"/>
                          <w:rPr>
                            <w:rFonts w:ascii="Times New Roman" w:eastAsia="Times New Roman" w:hAnsi="Times New Roman"/>
                            <w:b/>
                            <w:sz w:val="19"/>
                            <w:szCs w:val="19"/>
                            <w:lang w:eastAsia="pl-PL"/>
                          </w:rPr>
                        </w:pPr>
                        <w:r w:rsidRPr="00890C68">
                          <w:rPr>
                            <w:rFonts w:ascii="Times New Roman" w:eastAsia="Times New Roman" w:hAnsi="Times New Roman"/>
                            <w:b/>
                            <w:sz w:val="19"/>
                            <w:szCs w:val="19"/>
                            <w:lang w:eastAsia="pl-PL"/>
                          </w:rPr>
                          <w:t xml:space="preserve">OIRE – razem </w:t>
                        </w:r>
                      </w:p>
                    </w:tc>
                    <w:tc>
                      <w:tcPr>
                        <w:tcW w:w="998" w:type="dxa"/>
                        <w:tcBorders>
                          <w:top w:val="nil"/>
                          <w:left w:val="nil"/>
                          <w:bottom w:val="single" w:sz="4" w:space="0" w:color="auto"/>
                          <w:right w:val="single" w:sz="4" w:space="0" w:color="auto"/>
                        </w:tcBorders>
                        <w:shd w:val="clear" w:color="000000" w:fill="FFFFFF"/>
                        <w:noWrap/>
                        <w:vAlign w:val="center"/>
                      </w:tcPr>
                      <w:p w:rsidR="00A602F0" w:rsidRPr="00890C68" w:rsidRDefault="00A602F0" w:rsidP="00A602F0">
                        <w:pPr>
                          <w:jc w:val="center"/>
                          <w:rPr>
                            <w:rFonts w:ascii="Times New Roman" w:hAnsi="Times New Roman"/>
                            <w:color w:val="FF0000"/>
                            <w:sz w:val="19"/>
                            <w:szCs w:val="19"/>
                          </w:rPr>
                        </w:pPr>
                        <w:r w:rsidRPr="00890C68">
                          <w:rPr>
                            <w:rFonts w:ascii="Times New Roman" w:hAnsi="Times New Roman"/>
                            <w:b/>
                            <w:bCs/>
                            <w:color w:val="000000"/>
                            <w:sz w:val="19"/>
                            <w:szCs w:val="19"/>
                          </w:rPr>
                          <w:t>14 203</w:t>
                        </w:r>
                      </w:p>
                    </w:tc>
                    <w:tc>
                      <w:tcPr>
                        <w:tcW w:w="998" w:type="dxa"/>
                        <w:tcBorders>
                          <w:top w:val="nil"/>
                          <w:left w:val="nil"/>
                          <w:bottom w:val="single" w:sz="4" w:space="0" w:color="auto"/>
                          <w:right w:val="single" w:sz="4" w:space="0" w:color="auto"/>
                        </w:tcBorders>
                        <w:shd w:val="clear" w:color="000000" w:fill="FFFFFF"/>
                        <w:noWrap/>
                        <w:vAlign w:val="center"/>
                      </w:tcPr>
                      <w:p w:rsidR="00A602F0" w:rsidRPr="00890C68" w:rsidRDefault="00A602F0" w:rsidP="00A602F0">
                        <w:pPr>
                          <w:jc w:val="center"/>
                          <w:rPr>
                            <w:rFonts w:ascii="Times New Roman" w:hAnsi="Times New Roman"/>
                            <w:color w:val="FF0000"/>
                            <w:sz w:val="19"/>
                            <w:szCs w:val="19"/>
                          </w:rPr>
                        </w:pPr>
                        <w:r w:rsidRPr="00890C68">
                          <w:rPr>
                            <w:rFonts w:ascii="Times New Roman" w:hAnsi="Times New Roman"/>
                            <w:b/>
                            <w:bCs/>
                            <w:color w:val="000000"/>
                            <w:sz w:val="19"/>
                            <w:szCs w:val="19"/>
                          </w:rPr>
                          <w:t>23 388</w:t>
                        </w:r>
                      </w:p>
                    </w:tc>
                    <w:tc>
                      <w:tcPr>
                        <w:tcW w:w="998" w:type="dxa"/>
                        <w:tcBorders>
                          <w:top w:val="nil"/>
                          <w:left w:val="nil"/>
                          <w:bottom w:val="single" w:sz="4" w:space="0" w:color="auto"/>
                          <w:right w:val="single" w:sz="4" w:space="0" w:color="auto"/>
                        </w:tcBorders>
                        <w:shd w:val="clear" w:color="000000" w:fill="FFFFFF"/>
                        <w:noWrap/>
                        <w:vAlign w:val="center"/>
                      </w:tcPr>
                      <w:p w:rsidR="00A602F0" w:rsidRPr="00890C68" w:rsidRDefault="00A602F0" w:rsidP="00A602F0">
                        <w:pPr>
                          <w:jc w:val="center"/>
                          <w:rPr>
                            <w:rFonts w:ascii="Times New Roman" w:hAnsi="Times New Roman"/>
                            <w:color w:val="FF0000"/>
                            <w:sz w:val="19"/>
                            <w:szCs w:val="19"/>
                          </w:rPr>
                        </w:pPr>
                        <w:r w:rsidRPr="00890C68">
                          <w:rPr>
                            <w:rFonts w:ascii="Times New Roman" w:hAnsi="Times New Roman"/>
                            <w:b/>
                            <w:bCs/>
                            <w:color w:val="000000"/>
                            <w:sz w:val="19"/>
                            <w:szCs w:val="19"/>
                          </w:rPr>
                          <w:t>31 505</w:t>
                        </w:r>
                      </w:p>
                    </w:tc>
                    <w:tc>
                      <w:tcPr>
                        <w:tcW w:w="998" w:type="dxa"/>
                        <w:tcBorders>
                          <w:top w:val="nil"/>
                          <w:left w:val="nil"/>
                          <w:bottom w:val="single" w:sz="4" w:space="0" w:color="auto"/>
                          <w:right w:val="single" w:sz="4" w:space="0" w:color="auto"/>
                        </w:tcBorders>
                        <w:shd w:val="clear" w:color="000000" w:fill="FFFFFF"/>
                        <w:noWrap/>
                        <w:vAlign w:val="center"/>
                      </w:tcPr>
                      <w:p w:rsidR="00A602F0" w:rsidRPr="00890C68" w:rsidRDefault="00A602F0" w:rsidP="00A602F0">
                        <w:pPr>
                          <w:jc w:val="center"/>
                          <w:rPr>
                            <w:rFonts w:ascii="Times New Roman" w:hAnsi="Times New Roman"/>
                            <w:color w:val="FF0000"/>
                            <w:sz w:val="19"/>
                            <w:szCs w:val="19"/>
                          </w:rPr>
                        </w:pPr>
                        <w:r w:rsidRPr="00890C68">
                          <w:rPr>
                            <w:rFonts w:ascii="Times New Roman" w:hAnsi="Times New Roman"/>
                            <w:b/>
                            <w:bCs/>
                            <w:color w:val="000000"/>
                            <w:sz w:val="19"/>
                            <w:szCs w:val="19"/>
                          </w:rPr>
                          <w:t>27 438</w:t>
                        </w:r>
                      </w:p>
                    </w:tc>
                    <w:tc>
                      <w:tcPr>
                        <w:tcW w:w="998" w:type="dxa"/>
                        <w:tcBorders>
                          <w:top w:val="nil"/>
                          <w:left w:val="nil"/>
                          <w:bottom w:val="single" w:sz="4" w:space="0" w:color="auto"/>
                          <w:right w:val="single" w:sz="4" w:space="0" w:color="auto"/>
                        </w:tcBorders>
                        <w:shd w:val="clear" w:color="000000" w:fill="FFFFFF"/>
                        <w:noWrap/>
                        <w:vAlign w:val="center"/>
                      </w:tcPr>
                      <w:p w:rsidR="00A602F0" w:rsidRPr="00890C68" w:rsidRDefault="00A602F0" w:rsidP="00A602F0">
                        <w:pPr>
                          <w:jc w:val="center"/>
                          <w:rPr>
                            <w:rFonts w:ascii="Times New Roman" w:hAnsi="Times New Roman"/>
                            <w:color w:val="FF0000"/>
                            <w:sz w:val="19"/>
                            <w:szCs w:val="19"/>
                          </w:rPr>
                        </w:pPr>
                        <w:r w:rsidRPr="00890C68">
                          <w:rPr>
                            <w:rFonts w:ascii="Times New Roman" w:hAnsi="Times New Roman"/>
                            <w:b/>
                            <w:bCs/>
                            <w:color w:val="000000"/>
                            <w:sz w:val="19"/>
                            <w:szCs w:val="19"/>
                          </w:rPr>
                          <w:t>14 444</w:t>
                        </w:r>
                      </w:p>
                    </w:tc>
                    <w:tc>
                      <w:tcPr>
                        <w:tcW w:w="998" w:type="dxa"/>
                        <w:tcBorders>
                          <w:top w:val="nil"/>
                          <w:left w:val="nil"/>
                          <w:bottom w:val="single" w:sz="4" w:space="0" w:color="auto"/>
                          <w:right w:val="single" w:sz="4" w:space="0" w:color="auto"/>
                        </w:tcBorders>
                        <w:shd w:val="clear" w:color="000000" w:fill="FFFFFF"/>
                        <w:noWrap/>
                        <w:vAlign w:val="center"/>
                      </w:tcPr>
                      <w:p w:rsidR="00A602F0" w:rsidRPr="00890C68" w:rsidRDefault="00A602F0" w:rsidP="00A602F0">
                        <w:pPr>
                          <w:jc w:val="center"/>
                          <w:rPr>
                            <w:rFonts w:ascii="Times New Roman" w:hAnsi="Times New Roman"/>
                            <w:color w:val="FF0000"/>
                            <w:sz w:val="19"/>
                            <w:szCs w:val="19"/>
                          </w:rPr>
                        </w:pPr>
                        <w:r w:rsidRPr="00890C68">
                          <w:rPr>
                            <w:rFonts w:ascii="Times New Roman" w:hAnsi="Times New Roman"/>
                            <w:b/>
                            <w:bCs/>
                            <w:color w:val="000000"/>
                            <w:sz w:val="19"/>
                            <w:szCs w:val="19"/>
                          </w:rPr>
                          <w:t>14 095</w:t>
                        </w:r>
                      </w:p>
                    </w:tc>
                    <w:tc>
                      <w:tcPr>
                        <w:tcW w:w="998" w:type="dxa"/>
                        <w:tcBorders>
                          <w:top w:val="nil"/>
                          <w:left w:val="nil"/>
                          <w:bottom w:val="single" w:sz="4" w:space="0" w:color="auto"/>
                          <w:right w:val="single" w:sz="4" w:space="0" w:color="auto"/>
                        </w:tcBorders>
                        <w:shd w:val="clear" w:color="000000" w:fill="FFFFFF"/>
                        <w:noWrap/>
                        <w:vAlign w:val="center"/>
                      </w:tcPr>
                      <w:p w:rsidR="00A602F0" w:rsidRPr="00890C68" w:rsidRDefault="00A602F0" w:rsidP="00A602F0">
                        <w:pPr>
                          <w:jc w:val="center"/>
                          <w:rPr>
                            <w:rFonts w:ascii="Times New Roman" w:hAnsi="Times New Roman"/>
                            <w:color w:val="FF0000"/>
                            <w:sz w:val="19"/>
                            <w:szCs w:val="19"/>
                          </w:rPr>
                        </w:pPr>
                        <w:r w:rsidRPr="00890C68">
                          <w:rPr>
                            <w:rFonts w:ascii="Times New Roman" w:hAnsi="Times New Roman"/>
                            <w:b/>
                            <w:bCs/>
                            <w:color w:val="000000"/>
                            <w:sz w:val="19"/>
                            <w:szCs w:val="19"/>
                          </w:rPr>
                          <w:t>14 429</w:t>
                        </w:r>
                      </w:p>
                    </w:tc>
                    <w:tc>
                      <w:tcPr>
                        <w:tcW w:w="1477" w:type="dxa"/>
                        <w:tcBorders>
                          <w:top w:val="nil"/>
                          <w:left w:val="nil"/>
                          <w:bottom w:val="single" w:sz="4" w:space="0" w:color="auto"/>
                          <w:right w:val="single" w:sz="4" w:space="0" w:color="auto"/>
                        </w:tcBorders>
                        <w:shd w:val="clear" w:color="000000" w:fill="FFFFFF"/>
                        <w:noWrap/>
                        <w:vAlign w:val="center"/>
                      </w:tcPr>
                      <w:p w:rsidR="00A602F0" w:rsidRPr="00890C68" w:rsidRDefault="00B2121B" w:rsidP="00A602F0">
                        <w:pPr>
                          <w:jc w:val="center"/>
                          <w:rPr>
                            <w:rFonts w:ascii="Times New Roman" w:hAnsi="Times New Roman"/>
                            <w:b/>
                            <w:sz w:val="19"/>
                            <w:szCs w:val="19"/>
                          </w:rPr>
                        </w:pPr>
                        <w:r w:rsidRPr="00890C68">
                          <w:rPr>
                            <w:rFonts w:ascii="Times New Roman" w:hAnsi="Times New Roman"/>
                            <w:b/>
                            <w:sz w:val="19"/>
                            <w:szCs w:val="19"/>
                          </w:rPr>
                          <w:t>269 321</w:t>
                        </w:r>
                      </w:p>
                    </w:tc>
                  </w:tr>
                </w:tbl>
                <w:p w:rsidR="0006177E" w:rsidRPr="00890C68" w:rsidRDefault="0006177E" w:rsidP="0006177E">
                  <w:pPr>
                    <w:spacing w:line="240" w:lineRule="auto"/>
                    <w:jc w:val="both"/>
                    <w:rPr>
                      <w:rFonts w:ascii="Times New Roman" w:hAnsi="Times New Roman"/>
                    </w:rPr>
                  </w:pPr>
                </w:p>
                <w:p w:rsidR="0006177E" w:rsidRPr="00890C68" w:rsidRDefault="0006177E" w:rsidP="0006177E">
                  <w:pPr>
                    <w:spacing w:line="240" w:lineRule="auto"/>
                    <w:jc w:val="both"/>
                    <w:rPr>
                      <w:rFonts w:ascii="Times New Roman" w:hAnsi="Times New Roman"/>
                    </w:rPr>
                  </w:pPr>
                  <w:r w:rsidRPr="00890C68">
                    <w:rPr>
                      <w:rFonts w:ascii="Times New Roman" w:hAnsi="Times New Roman"/>
                    </w:rPr>
                    <w:t>Tabela. Zatrudnienie docelowe OI</w:t>
                  </w:r>
                  <w:r w:rsidR="008B3190" w:rsidRPr="00890C68">
                    <w:rPr>
                      <w:rFonts w:ascii="Times New Roman" w:hAnsi="Times New Roman"/>
                    </w:rPr>
                    <w:t>RE</w:t>
                  </w:r>
                  <w:r w:rsidRPr="00890C68">
                    <w:rPr>
                      <w:rFonts w:ascii="Times New Roman" w:hAnsi="Times New Roman"/>
                    </w:rPr>
                    <w:t xml:space="preserve"> związane z rolą Operatora Informacji </w:t>
                  </w:r>
                  <w:r w:rsidR="008B3190" w:rsidRPr="00890C68">
                    <w:rPr>
                      <w:rFonts w:ascii="Times New Roman" w:hAnsi="Times New Roman"/>
                    </w:rPr>
                    <w:t>Rynku Energii</w:t>
                  </w:r>
                  <w:r w:rsidRPr="00890C68">
                    <w:rPr>
                      <w:rFonts w:ascii="Times New Roman" w:hAnsi="Times New Roman"/>
                    </w:rPr>
                    <w:t>:</w:t>
                  </w:r>
                </w:p>
                <w:tbl>
                  <w:tblPr>
                    <w:tblW w:w="9455" w:type="dxa"/>
                    <w:tblLayout w:type="fixed"/>
                    <w:tblCellMar>
                      <w:left w:w="70" w:type="dxa"/>
                      <w:right w:w="70" w:type="dxa"/>
                    </w:tblCellMar>
                    <w:tblLook w:val="04A0" w:firstRow="1" w:lastRow="0" w:firstColumn="1" w:lastColumn="0" w:noHBand="0" w:noVBand="1"/>
                  </w:tblPr>
                  <w:tblGrid>
                    <w:gridCol w:w="2469"/>
                    <w:gridCol w:w="998"/>
                    <w:gridCol w:w="998"/>
                    <w:gridCol w:w="998"/>
                    <w:gridCol w:w="998"/>
                    <w:gridCol w:w="998"/>
                    <w:gridCol w:w="998"/>
                    <w:gridCol w:w="998"/>
                  </w:tblGrid>
                  <w:tr w:rsidR="00A41309" w:rsidRPr="00890C68" w:rsidTr="00524B67">
                    <w:trPr>
                      <w:trHeight w:val="305"/>
                    </w:trPr>
                    <w:tc>
                      <w:tcPr>
                        <w:tcW w:w="24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41309" w:rsidRPr="00890C68" w:rsidRDefault="00A41309" w:rsidP="00A41309">
                        <w:pPr>
                          <w:spacing w:line="240" w:lineRule="auto"/>
                          <w:rPr>
                            <w:rFonts w:ascii="Times New Roman" w:eastAsia="Times New Roman" w:hAnsi="Times New Roman"/>
                            <w:sz w:val="19"/>
                            <w:szCs w:val="19"/>
                            <w:lang w:eastAsia="pl-PL"/>
                          </w:rPr>
                        </w:pPr>
                      </w:p>
                    </w:tc>
                    <w:tc>
                      <w:tcPr>
                        <w:tcW w:w="998" w:type="dxa"/>
                        <w:tcBorders>
                          <w:top w:val="single" w:sz="4" w:space="0" w:color="auto"/>
                          <w:left w:val="nil"/>
                          <w:bottom w:val="single" w:sz="4" w:space="0" w:color="auto"/>
                          <w:right w:val="single" w:sz="4" w:space="0" w:color="auto"/>
                        </w:tcBorders>
                        <w:shd w:val="clear" w:color="000000" w:fill="FFFFFF"/>
                        <w:noWrap/>
                        <w:vAlign w:val="center"/>
                        <w:hideMark/>
                      </w:tcPr>
                      <w:p w:rsidR="00A41309" w:rsidRPr="00890C68" w:rsidRDefault="00A41309" w:rsidP="00A41309">
                        <w:pPr>
                          <w:jc w:val="center"/>
                          <w:rPr>
                            <w:rFonts w:ascii="Times New Roman" w:hAnsi="Times New Roman"/>
                            <w:b/>
                            <w:sz w:val="19"/>
                            <w:szCs w:val="19"/>
                          </w:rPr>
                        </w:pPr>
                        <w:r w:rsidRPr="00890C68">
                          <w:rPr>
                            <w:rFonts w:ascii="Times New Roman" w:hAnsi="Times New Roman"/>
                            <w:b/>
                            <w:sz w:val="19"/>
                            <w:szCs w:val="19"/>
                          </w:rPr>
                          <w:t>1</w:t>
                        </w:r>
                      </w:p>
                    </w:tc>
                    <w:tc>
                      <w:tcPr>
                        <w:tcW w:w="998" w:type="dxa"/>
                        <w:tcBorders>
                          <w:top w:val="single" w:sz="4" w:space="0" w:color="auto"/>
                          <w:left w:val="nil"/>
                          <w:bottom w:val="single" w:sz="4" w:space="0" w:color="auto"/>
                          <w:right w:val="single" w:sz="4" w:space="0" w:color="auto"/>
                        </w:tcBorders>
                        <w:shd w:val="clear" w:color="000000" w:fill="FFFFFF"/>
                        <w:noWrap/>
                        <w:vAlign w:val="center"/>
                        <w:hideMark/>
                      </w:tcPr>
                      <w:p w:rsidR="00A41309" w:rsidRPr="00890C68" w:rsidRDefault="00A41309" w:rsidP="00A41309">
                        <w:pPr>
                          <w:jc w:val="center"/>
                          <w:rPr>
                            <w:rFonts w:ascii="Times New Roman" w:hAnsi="Times New Roman"/>
                            <w:b/>
                            <w:sz w:val="19"/>
                            <w:szCs w:val="19"/>
                          </w:rPr>
                        </w:pPr>
                        <w:r w:rsidRPr="00890C68">
                          <w:rPr>
                            <w:rFonts w:ascii="Times New Roman" w:hAnsi="Times New Roman"/>
                            <w:b/>
                            <w:sz w:val="19"/>
                            <w:szCs w:val="19"/>
                          </w:rPr>
                          <w:t>2</w:t>
                        </w:r>
                      </w:p>
                    </w:tc>
                    <w:tc>
                      <w:tcPr>
                        <w:tcW w:w="998" w:type="dxa"/>
                        <w:tcBorders>
                          <w:top w:val="single" w:sz="4" w:space="0" w:color="auto"/>
                          <w:left w:val="nil"/>
                          <w:bottom w:val="single" w:sz="4" w:space="0" w:color="auto"/>
                          <w:right w:val="single" w:sz="4" w:space="0" w:color="auto"/>
                        </w:tcBorders>
                        <w:shd w:val="clear" w:color="000000" w:fill="FFFFFF"/>
                        <w:noWrap/>
                        <w:vAlign w:val="center"/>
                        <w:hideMark/>
                      </w:tcPr>
                      <w:p w:rsidR="00A41309" w:rsidRPr="00890C68" w:rsidRDefault="00A41309" w:rsidP="00A41309">
                        <w:pPr>
                          <w:jc w:val="center"/>
                          <w:rPr>
                            <w:rFonts w:ascii="Times New Roman" w:hAnsi="Times New Roman"/>
                            <w:b/>
                            <w:sz w:val="19"/>
                            <w:szCs w:val="19"/>
                          </w:rPr>
                        </w:pPr>
                        <w:r w:rsidRPr="00890C68">
                          <w:rPr>
                            <w:rFonts w:ascii="Times New Roman" w:hAnsi="Times New Roman"/>
                            <w:b/>
                            <w:sz w:val="19"/>
                            <w:szCs w:val="19"/>
                          </w:rPr>
                          <w:t>3</w:t>
                        </w:r>
                      </w:p>
                    </w:tc>
                    <w:tc>
                      <w:tcPr>
                        <w:tcW w:w="998" w:type="dxa"/>
                        <w:tcBorders>
                          <w:top w:val="single" w:sz="4" w:space="0" w:color="auto"/>
                          <w:left w:val="nil"/>
                          <w:bottom w:val="single" w:sz="4" w:space="0" w:color="auto"/>
                          <w:right w:val="single" w:sz="4" w:space="0" w:color="auto"/>
                        </w:tcBorders>
                        <w:shd w:val="clear" w:color="000000" w:fill="FFFFFF"/>
                        <w:noWrap/>
                        <w:vAlign w:val="center"/>
                        <w:hideMark/>
                      </w:tcPr>
                      <w:p w:rsidR="00A41309" w:rsidRPr="00890C68" w:rsidRDefault="00A41309" w:rsidP="00A41309">
                        <w:pPr>
                          <w:jc w:val="center"/>
                          <w:rPr>
                            <w:rFonts w:ascii="Times New Roman" w:hAnsi="Times New Roman"/>
                            <w:b/>
                            <w:sz w:val="19"/>
                            <w:szCs w:val="19"/>
                          </w:rPr>
                        </w:pPr>
                        <w:r w:rsidRPr="00890C68">
                          <w:rPr>
                            <w:rFonts w:ascii="Times New Roman" w:hAnsi="Times New Roman"/>
                            <w:b/>
                            <w:sz w:val="19"/>
                            <w:szCs w:val="19"/>
                          </w:rPr>
                          <w:t>4</w:t>
                        </w:r>
                      </w:p>
                    </w:tc>
                    <w:tc>
                      <w:tcPr>
                        <w:tcW w:w="998" w:type="dxa"/>
                        <w:tcBorders>
                          <w:top w:val="single" w:sz="4" w:space="0" w:color="auto"/>
                          <w:left w:val="nil"/>
                          <w:bottom w:val="single" w:sz="4" w:space="0" w:color="auto"/>
                          <w:right w:val="single" w:sz="4" w:space="0" w:color="auto"/>
                        </w:tcBorders>
                        <w:shd w:val="clear" w:color="000000" w:fill="FFFFFF"/>
                        <w:noWrap/>
                        <w:vAlign w:val="center"/>
                        <w:hideMark/>
                      </w:tcPr>
                      <w:p w:rsidR="00A41309" w:rsidRPr="00890C68" w:rsidRDefault="00A41309" w:rsidP="00A41309">
                        <w:pPr>
                          <w:jc w:val="center"/>
                          <w:rPr>
                            <w:rFonts w:ascii="Times New Roman" w:hAnsi="Times New Roman"/>
                            <w:b/>
                            <w:sz w:val="19"/>
                            <w:szCs w:val="19"/>
                          </w:rPr>
                        </w:pPr>
                        <w:r w:rsidRPr="00890C68">
                          <w:rPr>
                            <w:rFonts w:ascii="Times New Roman" w:hAnsi="Times New Roman"/>
                            <w:b/>
                            <w:sz w:val="19"/>
                            <w:szCs w:val="19"/>
                          </w:rPr>
                          <w:t>5</w:t>
                        </w:r>
                      </w:p>
                    </w:tc>
                    <w:tc>
                      <w:tcPr>
                        <w:tcW w:w="998" w:type="dxa"/>
                        <w:tcBorders>
                          <w:top w:val="single" w:sz="4" w:space="0" w:color="auto"/>
                          <w:left w:val="nil"/>
                          <w:bottom w:val="single" w:sz="4" w:space="0" w:color="auto"/>
                          <w:right w:val="single" w:sz="4" w:space="0" w:color="auto"/>
                        </w:tcBorders>
                        <w:shd w:val="clear" w:color="000000" w:fill="FFFFFF"/>
                        <w:noWrap/>
                        <w:vAlign w:val="center"/>
                        <w:hideMark/>
                      </w:tcPr>
                      <w:p w:rsidR="00A41309" w:rsidRPr="00890C68" w:rsidRDefault="00A41309" w:rsidP="00A41309">
                        <w:pPr>
                          <w:jc w:val="center"/>
                          <w:rPr>
                            <w:rFonts w:ascii="Times New Roman" w:hAnsi="Times New Roman"/>
                            <w:b/>
                            <w:sz w:val="19"/>
                            <w:szCs w:val="19"/>
                          </w:rPr>
                        </w:pPr>
                        <w:r w:rsidRPr="00890C68">
                          <w:rPr>
                            <w:rFonts w:ascii="Times New Roman" w:hAnsi="Times New Roman"/>
                            <w:b/>
                            <w:sz w:val="19"/>
                            <w:szCs w:val="19"/>
                          </w:rPr>
                          <w:t>10</w:t>
                        </w:r>
                      </w:p>
                    </w:tc>
                    <w:tc>
                      <w:tcPr>
                        <w:tcW w:w="998" w:type="dxa"/>
                        <w:tcBorders>
                          <w:top w:val="single" w:sz="4" w:space="0" w:color="auto"/>
                          <w:left w:val="nil"/>
                          <w:bottom w:val="single" w:sz="4" w:space="0" w:color="auto"/>
                          <w:right w:val="single" w:sz="4" w:space="0" w:color="auto"/>
                        </w:tcBorders>
                        <w:shd w:val="clear" w:color="000000" w:fill="FFFFFF"/>
                        <w:noWrap/>
                        <w:vAlign w:val="center"/>
                        <w:hideMark/>
                      </w:tcPr>
                      <w:p w:rsidR="00A41309" w:rsidRPr="00890C68" w:rsidRDefault="00A41309" w:rsidP="00A41309">
                        <w:pPr>
                          <w:jc w:val="center"/>
                          <w:rPr>
                            <w:rFonts w:ascii="Times New Roman" w:hAnsi="Times New Roman"/>
                            <w:b/>
                            <w:sz w:val="19"/>
                            <w:szCs w:val="19"/>
                          </w:rPr>
                        </w:pPr>
                        <w:r w:rsidRPr="00890C68">
                          <w:rPr>
                            <w:rFonts w:ascii="Times New Roman" w:hAnsi="Times New Roman"/>
                            <w:b/>
                            <w:sz w:val="19"/>
                            <w:szCs w:val="19"/>
                          </w:rPr>
                          <w:t>15</w:t>
                        </w:r>
                      </w:p>
                    </w:tc>
                  </w:tr>
                  <w:tr w:rsidR="00A41309" w:rsidRPr="00890C68" w:rsidTr="00524B67">
                    <w:trPr>
                      <w:trHeight w:val="368"/>
                    </w:trPr>
                    <w:tc>
                      <w:tcPr>
                        <w:tcW w:w="2469" w:type="dxa"/>
                        <w:tcBorders>
                          <w:top w:val="nil"/>
                          <w:left w:val="single" w:sz="4" w:space="0" w:color="auto"/>
                          <w:bottom w:val="single" w:sz="4" w:space="0" w:color="auto"/>
                          <w:right w:val="single" w:sz="4" w:space="0" w:color="auto"/>
                        </w:tcBorders>
                        <w:shd w:val="clear" w:color="000000" w:fill="FFFFFF"/>
                        <w:vAlign w:val="center"/>
                      </w:tcPr>
                      <w:p w:rsidR="00A41309" w:rsidRPr="00890C68" w:rsidRDefault="00A41309" w:rsidP="00A41309">
                        <w:pPr>
                          <w:spacing w:line="240" w:lineRule="auto"/>
                          <w:jc w:val="center"/>
                          <w:rPr>
                            <w:rFonts w:ascii="Times New Roman" w:eastAsia="Times New Roman" w:hAnsi="Times New Roman"/>
                            <w:sz w:val="19"/>
                            <w:szCs w:val="19"/>
                            <w:lang w:eastAsia="pl-PL"/>
                          </w:rPr>
                        </w:pPr>
                        <w:r w:rsidRPr="00890C68">
                          <w:rPr>
                            <w:rFonts w:ascii="Times New Roman" w:eastAsia="Times New Roman" w:hAnsi="Times New Roman"/>
                            <w:sz w:val="19"/>
                            <w:szCs w:val="19"/>
                            <w:lang w:eastAsia="pl-PL"/>
                          </w:rPr>
                          <w:t>Zatrudnienie łącznie</w:t>
                        </w:r>
                      </w:p>
                    </w:tc>
                    <w:tc>
                      <w:tcPr>
                        <w:tcW w:w="998" w:type="dxa"/>
                        <w:tcBorders>
                          <w:top w:val="nil"/>
                          <w:left w:val="nil"/>
                          <w:bottom w:val="single" w:sz="4" w:space="0" w:color="auto"/>
                          <w:right w:val="single" w:sz="4" w:space="0" w:color="auto"/>
                        </w:tcBorders>
                        <w:shd w:val="clear" w:color="000000" w:fill="FFFFFF"/>
                        <w:noWrap/>
                        <w:vAlign w:val="center"/>
                      </w:tcPr>
                      <w:p w:rsidR="00A41309" w:rsidRPr="00890C68" w:rsidRDefault="00A41309" w:rsidP="00A41309">
                        <w:pPr>
                          <w:jc w:val="center"/>
                          <w:rPr>
                            <w:rFonts w:ascii="Times New Roman" w:hAnsi="Times New Roman"/>
                            <w:sz w:val="19"/>
                            <w:szCs w:val="19"/>
                          </w:rPr>
                        </w:pPr>
                        <w:r w:rsidRPr="00890C68">
                          <w:rPr>
                            <w:rFonts w:ascii="Times New Roman" w:hAnsi="Times New Roman"/>
                            <w:color w:val="000000"/>
                            <w:sz w:val="19"/>
                            <w:szCs w:val="19"/>
                          </w:rPr>
                          <w:t>11</w:t>
                        </w:r>
                      </w:p>
                    </w:tc>
                    <w:tc>
                      <w:tcPr>
                        <w:tcW w:w="998" w:type="dxa"/>
                        <w:tcBorders>
                          <w:top w:val="nil"/>
                          <w:left w:val="nil"/>
                          <w:bottom w:val="single" w:sz="4" w:space="0" w:color="auto"/>
                          <w:right w:val="single" w:sz="4" w:space="0" w:color="auto"/>
                        </w:tcBorders>
                        <w:shd w:val="clear" w:color="000000" w:fill="FFFFFF"/>
                        <w:noWrap/>
                        <w:vAlign w:val="center"/>
                      </w:tcPr>
                      <w:p w:rsidR="00A41309" w:rsidRPr="00890C68" w:rsidRDefault="00A41309" w:rsidP="00A41309">
                        <w:pPr>
                          <w:jc w:val="center"/>
                          <w:rPr>
                            <w:rFonts w:ascii="Times New Roman" w:hAnsi="Times New Roman"/>
                            <w:sz w:val="19"/>
                            <w:szCs w:val="19"/>
                          </w:rPr>
                        </w:pPr>
                        <w:r w:rsidRPr="00890C68">
                          <w:rPr>
                            <w:rFonts w:ascii="Times New Roman" w:hAnsi="Times New Roman"/>
                            <w:color w:val="000000"/>
                            <w:sz w:val="19"/>
                            <w:szCs w:val="19"/>
                          </w:rPr>
                          <w:t>18</w:t>
                        </w:r>
                      </w:p>
                    </w:tc>
                    <w:tc>
                      <w:tcPr>
                        <w:tcW w:w="998" w:type="dxa"/>
                        <w:tcBorders>
                          <w:top w:val="nil"/>
                          <w:left w:val="nil"/>
                          <w:bottom w:val="single" w:sz="4" w:space="0" w:color="auto"/>
                          <w:right w:val="single" w:sz="4" w:space="0" w:color="auto"/>
                        </w:tcBorders>
                        <w:shd w:val="clear" w:color="000000" w:fill="FFFFFF"/>
                        <w:noWrap/>
                        <w:vAlign w:val="center"/>
                      </w:tcPr>
                      <w:p w:rsidR="00A41309" w:rsidRPr="00890C68" w:rsidRDefault="00A41309" w:rsidP="00A41309">
                        <w:pPr>
                          <w:jc w:val="center"/>
                          <w:rPr>
                            <w:rFonts w:ascii="Times New Roman" w:hAnsi="Times New Roman"/>
                            <w:sz w:val="19"/>
                            <w:szCs w:val="19"/>
                          </w:rPr>
                        </w:pPr>
                        <w:r w:rsidRPr="00890C68">
                          <w:rPr>
                            <w:rFonts w:ascii="Times New Roman" w:hAnsi="Times New Roman"/>
                            <w:color w:val="000000"/>
                            <w:sz w:val="19"/>
                            <w:szCs w:val="19"/>
                          </w:rPr>
                          <w:t>23</w:t>
                        </w:r>
                      </w:p>
                    </w:tc>
                    <w:tc>
                      <w:tcPr>
                        <w:tcW w:w="998" w:type="dxa"/>
                        <w:tcBorders>
                          <w:top w:val="nil"/>
                          <w:left w:val="nil"/>
                          <w:bottom w:val="single" w:sz="4" w:space="0" w:color="auto"/>
                          <w:right w:val="single" w:sz="4" w:space="0" w:color="auto"/>
                        </w:tcBorders>
                        <w:shd w:val="clear" w:color="000000" w:fill="FFFFFF"/>
                        <w:noWrap/>
                        <w:vAlign w:val="center"/>
                      </w:tcPr>
                      <w:p w:rsidR="00A41309" w:rsidRPr="00890C68" w:rsidRDefault="00A41309" w:rsidP="00A41309">
                        <w:pPr>
                          <w:jc w:val="center"/>
                          <w:rPr>
                            <w:rFonts w:ascii="Times New Roman" w:hAnsi="Times New Roman"/>
                            <w:sz w:val="19"/>
                            <w:szCs w:val="19"/>
                          </w:rPr>
                        </w:pPr>
                        <w:r w:rsidRPr="00890C68">
                          <w:rPr>
                            <w:rFonts w:ascii="Times New Roman" w:hAnsi="Times New Roman"/>
                            <w:color w:val="000000"/>
                            <w:sz w:val="19"/>
                            <w:szCs w:val="19"/>
                          </w:rPr>
                          <w:t>23</w:t>
                        </w:r>
                      </w:p>
                    </w:tc>
                    <w:tc>
                      <w:tcPr>
                        <w:tcW w:w="998" w:type="dxa"/>
                        <w:tcBorders>
                          <w:top w:val="nil"/>
                          <w:left w:val="nil"/>
                          <w:bottom w:val="single" w:sz="4" w:space="0" w:color="auto"/>
                          <w:right w:val="single" w:sz="4" w:space="0" w:color="auto"/>
                        </w:tcBorders>
                        <w:shd w:val="clear" w:color="000000" w:fill="FFFFFF"/>
                        <w:noWrap/>
                        <w:vAlign w:val="center"/>
                      </w:tcPr>
                      <w:p w:rsidR="00A41309" w:rsidRPr="00890C68" w:rsidRDefault="00A41309" w:rsidP="00A41309">
                        <w:pPr>
                          <w:jc w:val="center"/>
                          <w:rPr>
                            <w:rFonts w:ascii="Times New Roman" w:hAnsi="Times New Roman"/>
                            <w:sz w:val="19"/>
                            <w:szCs w:val="19"/>
                          </w:rPr>
                        </w:pPr>
                        <w:r w:rsidRPr="00890C68">
                          <w:rPr>
                            <w:rFonts w:ascii="Times New Roman" w:hAnsi="Times New Roman"/>
                            <w:color w:val="000000"/>
                            <w:sz w:val="19"/>
                            <w:szCs w:val="19"/>
                          </w:rPr>
                          <w:t>27</w:t>
                        </w:r>
                      </w:p>
                    </w:tc>
                    <w:tc>
                      <w:tcPr>
                        <w:tcW w:w="998" w:type="dxa"/>
                        <w:tcBorders>
                          <w:top w:val="nil"/>
                          <w:left w:val="nil"/>
                          <w:bottom w:val="single" w:sz="4" w:space="0" w:color="auto"/>
                          <w:right w:val="single" w:sz="4" w:space="0" w:color="auto"/>
                        </w:tcBorders>
                        <w:shd w:val="clear" w:color="000000" w:fill="FFFFFF"/>
                        <w:noWrap/>
                        <w:vAlign w:val="center"/>
                      </w:tcPr>
                      <w:p w:rsidR="00A41309" w:rsidRPr="00890C68" w:rsidRDefault="00A41309" w:rsidP="00A41309">
                        <w:pPr>
                          <w:jc w:val="center"/>
                          <w:rPr>
                            <w:rFonts w:ascii="Times New Roman" w:hAnsi="Times New Roman"/>
                            <w:sz w:val="19"/>
                            <w:szCs w:val="19"/>
                          </w:rPr>
                        </w:pPr>
                        <w:r w:rsidRPr="00890C68">
                          <w:rPr>
                            <w:rFonts w:ascii="Times New Roman" w:hAnsi="Times New Roman"/>
                            <w:sz w:val="19"/>
                            <w:szCs w:val="19"/>
                          </w:rPr>
                          <w:t>29</w:t>
                        </w:r>
                      </w:p>
                    </w:tc>
                    <w:tc>
                      <w:tcPr>
                        <w:tcW w:w="998" w:type="dxa"/>
                        <w:tcBorders>
                          <w:top w:val="nil"/>
                          <w:left w:val="nil"/>
                          <w:bottom w:val="single" w:sz="4" w:space="0" w:color="auto"/>
                          <w:right w:val="single" w:sz="4" w:space="0" w:color="auto"/>
                        </w:tcBorders>
                        <w:shd w:val="clear" w:color="000000" w:fill="FFFFFF"/>
                        <w:noWrap/>
                        <w:vAlign w:val="center"/>
                      </w:tcPr>
                      <w:p w:rsidR="00A41309" w:rsidRPr="00890C68" w:rsidRDefault="00A41309" w:rsidP="00A41309">
                        <w:pPr>
                          <w:jc w:val="center"/>
                          <w:rPr>
                            <w:rFonts w:ascii="Times New Roman" w:hAnsi="Times New Roman"/>
                            <w:sz w:val="19"/>
                            <w:szCs w:val="19"/>
                          </w:rPr>
                        </w:pPr>
                        <w:r w:rsidRPr="00890C68">
                          <w:rPr>
                            <w:rFonts w:ascii="Times New Roman" w:hAnsi="Times New Roman"/>
                            <w:sz w:val="19"/>
                            <w:szCs w:val="19"/>
                          </w:rPr>
                          <w:t>29</w:t>
                        </w:r>
                      </w:p>
                    </w:tc>
                  </w:tr>
                </w:tbl>
                <w:p w:rsidR="0006177E" w:rsidRPr="00890C68" w:rsidRDefault="0006177E" w:rsidP="0006177E">
                  <w:pPr>
                    <w:spacing w:line="240" w:lineRule="auto"/>
                    <w:jc w:val="both"/>
                    <w:rPr>
                      <w:rFonts w:ascii="Times New Roman" w:hAnsi="Times New Roman"/>
                    </w:rPr>
                  </w:pPr>
                </w:p>
                <w:p w:rsidR="0006177E" w:rsidRPr="00890C68" w:rsidRDefault="0006177E" w:rsidP="0006177E">
                  <w:pPr>
                    <w:spacing w:line="240" w:lineRule="auto"/>
                    <w:jc w:val="both"/>
                    <w:rPr>
                      <w:rFonts w:ascii="Times New Roman" w:hAnsi="Times New Roman"/>
                    </w:rPr>
                  </w:pPr>
                  <w:r w:rsidRPr="00890C68">
                    <w:rPr>
                      <w:rFonts w:ascii="Times New Roman" w:hAnsi="Times New Roman"/>
                    </w:rPr>
                    <w:t>Zatrudnienie obejmuje nowe etaty na następujących stanowiskach: administratorzy danych, analitycy oraz stanowiska administracyjne i zarządcze.</w:t>
                  </w:r>
                </w:p>
                <w:p w:rsidR="0006177E" w:rsidRPr="00890C68" w:rsidRDefault="0006177E" w:rsidP="0006177E">
                  <w:pPr>
                    <w:spacing w:line="240" w:lineRule="auto"/>
                    <w:jc w:val="both"/>
                    <w:rPr>
                      <w:rFonts w:ascii="Times New Roman" w:hAnsi="Times New Roman"/>
                    </w:rPr>
                  </w:pPr>
                </w:p>
                <w:p w:rsidR="0006177E" w:rsidRPr="00890C68" w:rsidRDefault="0006177E" w:rsidP="0006177E">
                  <w:pPr>
                    <w:spacing w:line="240" w:lineRule="auto"/>
                    <w:jc w:val="both"/>
                    <w:rPr>
                      <w:rFonts w:ascii="Times New Roman" w:hAnsi="Times New Roman"/>
                    </w:rPr>
                  </w:pPr>
                  <w:r w:rsidRPr="00890C68">
                    <w:rPr>
                      <w:rFonts w:ascii="Times New Roman" w:hAnsi="Times New Roman"/>
                    </w:rPr>
                    <w:t>W ujęciu niepieniężnym w zakresie skutków pośrednich - działań legislacyjnych oraz pozalegislacyjnych, które warunkują wystąpienie oczekiwanych korzyści:</w:t>
                  </w:r>
                </w:p>
                <w:p w:rsidR="0006177E" w:rsidRPr="00890C68" w:rsidRDefault="0006177E" w:rsidP="0006177E">
                  <w:pPr>
                    <w:spacing w:line="240" w:lineRule="auto"/>
                    <w:jc w:val="both"/>
                    <w:rPr>
                      <w:rFonts w:ascii="Times New Roman" w:hAnsi="Times New Roman"/>
                    </w:rPr>
                  </w:pPr>
                  <w:r w:rsidRPr="00890C68">
                    <w:rPr>
                      <w:rFonts w:ascii="Times New Roman" w:hAnsi="Times New Roman"/>
                    </w:rPr>
                    <w:t>Działania legislacyjne:</w:t>
                  </w:r>
                </w:p>
                <w:p w:rsidR="0006177E" w:rsidRPr="00890C68" w:rsidRDefault="0006177E" w:rsidP="0006177E">
                  <w:pPr>
                    <w:numPr>
                      <w:ilvl w:val="0"/>
                      <w:numId w:val="25"/>
                    </w:numPr>
                    <w:spacing w:line="240" w:lineRule="auto"/>
                    <w:contextualSpacing/>
                    <w:jc w:val="both"/>
                    <w:rPr>
                      <w:rFonts w:ascii="Times New Roman" w:hAnsi="Times New Roman"/>
                    </w:rPr>
                  </w:pPr>
                  <w:r w:rsidRPr="00890C68">
                    <w:rPr>
                      <w:rFonts w:ascii="Times New Roman" w:hAnsi="Times New Roman"/>
                    </w:rPr>
                    <w:t xml:space="preserve">Uchwalenie ustawy o zmianie ustawy - Prawo energetyczne </w:t>
                  </w:r>
                </w:p>
                <w:p w:rsidR="0006177E" w:rsidRPr="00890C68" w:rsidRDefault="0006177E" w:rsidP="0006177E">
                  <w:pPr>
                    <w:numPr>
                      <w:ilvl w:val="0"/>
                      <w:numId w:val="25"/>
                    </w:numPr>
                    <w:spacing w:line="240" w:lineRule="auto"/>
                    <w:contextualSpacing/>
                    <w:jc w:val="both"/>
                    <w:rPr>
                      <w:rFonts w:ascii="Times New Roman" w:hAnsi="Times New Roman"/>
                    </w:rPr>
                  </w:pPr>
                  <w:r w:rsidRPr="00890C68">
                    <w:rPr>
                      <w:rFonts w:ascii="Times New Roman" w:hAnsi="Times New Roman"/>
                    </w:rPr>
                    <w:t>Wydanie aktów wykonawczych do ustawy: rozporządzenie określające szczegółowe warunki funkcjonowania systemu pomiarowego, zmiana rozporządzenia taryfowego dla energii elektrycznej w zakresie opłaty</w:t>
                  </w:r>
                  <w:r w:rsidR="0018521D">
                    <w:rPr>
                      <w:rFonts w:ascii="Times New Roman" w:hAnsi="Times New Roman"/>
                    </w:rPr>
                    <w:t xml:space="preserve"> abonamentowej (Minister Klimatu</w:t>
                  </w:r>
                  <w:r w:rsidRPr="00890C68">
                    <w:rPr>
                      <w:rFonts w:ascii="Times New Roman" w:hAnsi="Times New Roman"/>
                    </w:rPr>
                    <w:t>).</w:t>
                  </w:r>
                </w:p>
                <w:p w:rsidR="0006177E" w:rsidRPr="00890C68" w:rsidRDefault="0006177E" w:rsidP="0006177E">
                  <w:pPr>
                    <w:spacing w:line="240" w:lineRule="auto"/>
                    <w:contextualSpacing/>
                    <w:jc w:val="both"/>
                    <w:rPr>
                      <w:rFonts w:ascii="Times New Roman" w:hAnsi="Times New Roman"/>
                    </w:rPr>
                  </w:pPr>
                </w:p>
                <w:p w:rsidR="0006177E" w:rsidRPr="00890C68" w:rsidRDefault="0006177E" w:rsidP="0006177E">
                  <w:pPr>
                    <w:spacing w:line="240" w:lineRule="auto"/>
                    <w:jc w:val="both"/>
                    <w:rPr>
                      <w:rFonts w:ascii="Times New Roman" w:hAnsi="Times New Roman"/>
                    </w:rPr>
                  </w:pPr>
                  <w:r w:rsidRPr="00890C68">
                    <w:rPr>
                      <w:rFonts w:ascii="Times New Roman" w:hAnsi="Times New Roman"/>
                    </w:rPr>
                    <w:t>Działania pozalegislacyjne:</w:t>
                  </w:r>
                </w:p>
                <w:p w:rsidR="0006177E" w:rsidRPr="00890C68" w:rsidRDefault="0006177E" w:rsidP="0006177E">
                  <w:pPr>
                    <w:numPr>
                      <w:ilvl w:val="0"/>
                      <w:numId w:val="26"/>
                    </w:numPr>
                    <w:spacing w:line="240" w:lineRule="auto"/>
                    <w:contextualSpacing/>
                    <w:jc w:val="both"/>
                    <w:rPr>
                      <w:rFonts w:ascii="Times New Roman" w:hAnsi="Times New Roman"/>
                    </w:rPr>
                  </w:pPr>
                  <w:r w:rsidRPr="00890C68">
                    <w:rPr>
                      <w:rFonts w:ascii="Times New Roman" w:hAnsi="Times New Roman"/>
                    </w:rPr>
                    <w:t>Zmiana Instrukcji Ruchu i Eksploatacji Sieci Przesyłowej (OSP, zatwierdza Prezes URE);</w:t>
                  </w:r>
                </w:p>
                <w:p w:rsidR="0006177E" w:rsidRPr="00890C68" w:rsidRDefault="0006177E" w:rsidP="0006177E">
                  <w:pPr>
                    <w:numPr>
                      <w:ilvl w:val="0"/>
                      <w:numId w:val="26"/>
                    </w:numPr>
                    <w:spacing w:line="240" w:lineRule="auto"/>
                    <w:contextualSpacing/>
                    <w:jc w:val="both"/>
                    <w:rPr>
                      <w:rFonts w:ascii="Times New Roman" w:hAnsi="Times New Roman"/>
                    </w:rPr>
                  </w:pPr>
                  <w:r w:rsidRPr="00890C68">
                    <w:rPr>
                      <w:rFonts w:ascii="Times New Roman" w:hAnsi="Times New Roman"/>
                    </w:rPr>
                    <w:t>Zmiany Instrukcji Ruchu i Eksploatacji Sieci Dystrybucyjnej (OSD, zatwierdza Prezes URE);</w:t>
                  </w:r>
                </w:p>
                <w:p w:rsidR="0006177E" w:rsidRPr="00890C68" w:rsidRDefault="0006177E" w:rsidP="0006177E">
                  <w:pPr>
                    <w:numPr>
                      <w:ilvl w:val="0"/>
                      <w:numId w:val="26"/>
                    </w:numPr>
                    <w:spacing w:line="240" w:lineRule="auto"/>
                    <w:contextualSpacing/>
                    <w:jc w:val="both"/>
                    <w:rPr>
                      <w:rFonts w:ascii="Times New Roman" w:hAnsi="Times New Roman"/>
                    </w:rPr>
                  </w:pPr>
                  <w:r w:rsidRPr="00890C68">
                    <w:rPr>
                      <w:rFonts w:ascii="Times New Roman" w:hAnsi="Times New Roman"/>
                    </w:rPr>
                    <w:t>Opracowanie standardów technicznych dostępu do centralnej bazy danych i wymiany informacji pomiarowych (OI</w:t>
                  </w:r>
                  <w:r w:rsidR="00EA0BA3" w:rsidRPr="00890C68">
                    <w:rPr>
                      <w:rFonts w:ascii="Times New Roman" w:hAnsi="Times New Roman"/>
                    </w:rPr>
                    <w:t>RE</w:t>
                  </w:r>
                  <w:r w:rsidRPr="00890C68">
                    <w:rPr>
                      <w:rFonts w:ascii="Times New Roman" w:hAnsi="Times New Roman"/>
                    </w:rPr>
                    <w:t xml:space="preserve"> w uzgodnieniu z OSD, Sprzedawcami, URE, Wytwórcami i Odbiorcami);</w:t>
                  </w:r>
                </w:p>
                <w:p w:rsidR="0006177E" w:rsidRPr="00890C68" w:rsidRDefault="0006177E" w:rsidP="0006177E">
                  <w:pPr>
                    <w:numPr>
                      <w:ilvl w:val="0"/>
                      <w:numId w:val="26"/>
                    </w:numPr>
                    <w:spacing w:line="240" w:lineRule="auto"/>
                    <w:contextualSpacing/>
                    <w:jc w:val="both"/>
                    <w:rPr>
                      <w:rFonts w:ascii="Times New Roman" w:hAnsi="Times New Roman"/>
                    </w:rPr>
                  </w:pPr>
                  <w:r w:rsidRPr="00890C68">
                    <w:rPr>
                      <w:rFonts w:ascii="Times New Roman" w:hAnsi="Times New Roman"/>
                    </w:rPr>
                    <w:t>Przeprowadzenie przetargów na systemy informatyczne i sprzęt (OI</w:t>
                  </w:r>
                  <w:r w:rsidR="00EA0BA3" w:rsidRPr="00890C68">
                    <w:rPr>
                      <w:rFonts w:ascii="Times New Roman" w:hAnsi="Times New Roman"/>
                    </w:rPr>
                    <w:t>RE</w:t>
                  </w:r>
                  <w:r w:rsidRPr="00890C68">
                    <w:rPr>
                      <w:rFonts w:ascii="Times New Roman" w:hAnsi="Times New Roman"/>
                    </w:rPr>
                    <w:t>, OSD, Sprzedawcy);</w:t>
                  </w:r>
                </w:p>
                <w:p w:rsidR="00B4404E" w:rsidRDefault="0006177E" w:rsidP="00B4404E">
                  <w:pPr>
                    <w:numPr>
                      <w:ilvl w:val="0"/>
                      <w:numId w:val="26"/>
                    </w:numPr>
                    <w:spacing w:line="240" w:lineRule="auto"/>
                    <w:contextualSpacing/>
                    <w:jc w:val="both"/>
                    <w:rPr>
                      <w:rFonts w:ascii="Times New Roman" w:hAnsi="Times New Roman"/>
                    </w:rPr>
                  </w:pPr>
                  <w:r w:rsidRPr="00890C68">
                    <w:rPr>
                      <w:rFonts w:ascii="Times New Roman" w:hAnsi="Times New Roman"/>
                    </w:rPr>
                    <w:t xml:space="preserve">Integracja systemów teleinformatycznych Sprzedawców i OSD z </w:t>
                  </w:r>
                  <w:r w:rsidR="00CA1C90" w:rsidRPr="00890C68">
                    <w:rPr>
                      <w:rFonts w:ascii="Times New Roman" w:hAnsi="Times New Roman"/>
                    </w:rPr>
                    <w:t>CSIRE</w:t>
                  </w:r>
                  <w:r w:rsidR="0090572D" w:rsidRPr="00890C68">
                    <w:rPr>
                      <w:rFonts w:ascii="Times New Roman" w:hAnsi="Times New Roman"/>
                    </w:rPr>
                    <w:t>.</w:t>
                  </w:r>
                </w:p>
                <w:p w:rsidR="000E6825" w:rsidRPr="000E6825" w:rsidRDefault="000E6825" w:rsidP="000E6825">
                  <w:pPr>
                    <w:spacing w:line="240" w:lineRule="auto"/>
                    <w:contextualSpacing/>
                    <w:jc w:val="both"/>
                    <w:rPr>
                      <w:rFonts w:ascii="Times New Roman" w:hAnsi="Times New Roman"/>
                    </w:rPr>
                  </w:pPr>
                  <w:r>
                    <w:rPr>
                      <w:rFonts w:ascii="Times New Roman" w:hAnsi="Times New Roman"/>
                    </w:rPr>
                    <w:t>Powyższe obliczenia zostały wykonane na podstawie Aktualizacji</w:t>
                  </w:r>
                  <w:r w:rsidRPr="000E6825">
                    <w:rPr>
                      <w:rFonts w:ascii="Times New Roman" w:hAnsi="Times New Roman"/>
                    </w:rPr>
                    <w:t xml:space="preserve"> istotnych założeń do modelu kosztów i korzyści wdrożenia intelig</w:t>
                  </w:r>
                  <w:r>
                    <w:rPr>
                      <w:rFonts w:ascii="Times New Roman" w:hAnsi="Times New Roman"/>
                    </w:rPr>
                    <w:t>entnego opomiarowania w Polsce (</w:t>
                  </w:r>
                  <w:r w:rsidRPr="000E6825">
                    <w:rPr>
                      <w:rFonts w:ascii="Times New Roman" w:hAnsi="Times New Roman"/>
                    </w:rPr>
                    <w:t>kwiecień 2019 r.</w:t>
                  </w:r>
                  <w:r>
                    <w:rPr>
                      <w:rFonts w:ascii="Times New Roman" w:hAnsi="Times New Roman"/>
                    </w:rPr>
                    <w:t>).</w:t>
                  </w:r>
                </w:p>
              </w:tc>
            </w:tr>
          </w:tbl>
          <w:p w:rsidR="0006177E" w:rsidRPr="00890C68" w:rsidRDefault="0006177E" w:rsidP="00B37C80">
            <w:pPr>
              <w:spacing w:line="240" w:lineRule="auto"/>
              <w:jc w:val="both"/>
              <w:rPr>
                <w:rFonts w:ascii="Times New Roman" w:hAnsi="Times New Roman"/>
                <w:color w:val="000000"/>
                <w:sz w:val="21"/>
                <w:szCs w:val="21"/>
              </w:rPr>
            </w:pPr>
          </w:p>
        </w:tc>
      </w:tr>
      <w:tr w:rsidR="006A701A" w:rsidRPr="00890C68" w:rsidTr="00641996">
        <w:trPr>
          <w:trHeight w:val="342"/>
        </w:trPr>
        <w:tc>
          <w:tcPr>
            <w:tcW w:w="11057" w:type="dxa"/>
            <w:gridSpan w:val="15"/>
            <w:shd w:val="clear" w:color="auto" w:fill="99CCFF"/>
            <w:vAlign w:val="center"/>
          </w:tcPr>
          <w:p w:rsidR="006A701A" w:rsidRPr="00890C68" w:rsidRDefault="00AB04A1" w:rsidP="00AB04A1">
            <w:pPr>
              <w:spacing w:before="60" w:after="60" w:line="240" w:lineRule="auto"/>
              <w:jc w:val="both"/>
              <w:rPr>
                <w:rFonts w:ascii="Times New Roman" w:hAnsi="Times New Roman"/>
                <w:b/>
                <w:color w:val="000000"/>
              </w:rPr>
            </w:pPr>
            <w:r>
              <w:rPr>
                <w:rFonts w:ascii="Times New Roman" w:hAnsi="Times New Roman"/>
                <w:b/>
                <w:color w:val="000000"/>
              </w:rPr>
              <w:lastRenderedPageBreak/>
              <w:t>8.</w:t>
            </w:r>
            <w:r w:rsidR="006A701A" w:rsidRPr="00890C68">
              <w:rPr>
                <w:rFonts w:ascii="Times New Roman" w:hAnsi="Times New Roman"/>
                <w:b/>
                <w:color w:val="000000"/>
              </w:rPr>
              <w:t xml:space="preserve"> </w:t>
            </w:r>
            <w:r w:rsidR="00FA117A" w:rsidRPr="00890C68">
              <w:rPr>
                <w:rFonts w:ascii="Times New Roman" w:hAnsi="Times New Roman"/>
                <w:b/>
                <w:color w:val="000000"/>
              </w:rPr>
              <w:t>Zmiana o</w:t>
            </w:r>
            <w:r w:rsidR="006A701A" w:rsidRPr="00890C68">
              <w:rPr>
                <w:rFonts w:ascii="Times New Roman" w:hAnsi="Times New Roman"/>
                <w:b/>
                <w:color w:val="000000"/>
              </w:rPr>
              <w:t>bciąże</w:t>
            </w:r>
            <w:r w:rsidR="00FA117A" w:rsidRPr="00890C68">
              <w:rPr>
                <w:rFonts w:ascii="Times New Roman" w:hAnsi="Times New Roman"/>
                <w:b/>
                <w:color w:val="000000"/>
              </w:rPr>
              <w:t>ń</w:t>
            </w:r>
            <w:r w:rsidR="006A701A" w:rsidRPr="00890C68">
              <w:rPr>
                <w:rFonts w:ascii="Times New Roman" w:hAnsi="Times New Roman"/>
                <w:b/>
                <w:color w:val="000000"/>
              </w:rPr>
              <w:t xml:space="preserve"> regulacyjn</w:t>
            </w:r>
            <w:r w:rsidR="00FA117A" w:rsidRPr="00890C68">
              <w:rPr>
                <w:rFonts w:ascii="Times New Roman" w:hAnsi="Times New Roman"/>
                <w:b/>
                <w:color w:val="000000"/>
              </w:rPr>
              <w:t>ych</w:t>
            </w:r>
            <w:r w:rsidR="00653688" w:rsidRPr="00890C68">
              <w:rPr>
                <w:rFonts w:ascii="Times New Roman" w:hAnsi="Times New Roman"/>
                <w:b/>
                <w:color w:val="000000"/>
              </w:rPr>
              <w:t xml:space="preserve"> (w tym obowiązk</w:t>
            </w:r>
            <w:r w:rsidR="00FA117A" w:rsidRPr="00890C68">
              <w:rPr>
                <w:rFonts w:ascii="Times New Roman" w:hAnsi="Times New Roman"/>
                <w:b/>
                <w:color w:val="000000"/>
              </w:rPr>
              <w:t xml:space="preserve">ów </w:t>
            </w:r>
            <w:r w:rsidR="00653688" w:rsidRPr="00890C68">
              <w:rPr>
                <w:rFonts w:ascii="Times New Roman" w:hAnsi="Times New Roman"/>
                <w:b/>
                <w:color w:val="000000"/>
              </w:rPr>
              <w:t>informacyjn</w:t>
            </w:r>
            <w:r w:rsidR="00FA117A" w:rsidRPr="00890C68">
              <w:rPr>
                <w:rFonts w:ascii="Times New Roman" w:hAnsi="Times New Roman"/>
                <w:b/>
                <w:color w:val="000000"/>
              </w:rPr>
              <w:t>ych</w:t>
            </w:r>
            <w:r w:rsidR="00653688" w:rsidRPr="00890C68">
              <w:rPr>
                <w:rFonts w:ascii="Times New Roman" w:hAnsi="Times New Roman"/>
                <w:b/>
                <w:color w:val="000000"/>
              </w:rPr>
              <w:t>)</w:t>
            </w:r>
            <w:r w:rsidR="006A701A" w:rsidRPr="00890C68">
              <w:rPr>
                <w:rFonts w:ascii="Times New Roman" w:hAnsi="Times New Roman"/>
                <w:b/>
                <w:color w:val="000000"/>
              </w:rPr>
              <w:t xml:space="preserve"> wynikając</w:t>
            </w:r>
            <w:r w:rsidR="00FA117A" w:rsidRPr="00890C68">
              <w:rPr>
                <w:rFonts w:ascii="Times New Roman" w:hAnsi="Times New Roman"/>
                <w:b/>
                <w:color w:val="000000"/>
              </w:rPr>
              <w:t>ych</w:t>
            </w:r>
            <w:r w:rsidR="006A701A" w:rsidRPr="00890C68">
              <w:rPr>
                <w:rFonts w:ascii="Times New Roman" w:hAnsi="Times New Roman"/>
                <w:b/>
                <w:color w:val="000000"/>
              </w:rPr>
              <w:t xml:space="preserve"> z projektu</w:t>
            </w:r>
          </w:p>
        </w:tc>
      </w:tr>
      <w:tr w:rsidR="00D86AFF" w:rsidRPr="00890C68" w:rsidTr="00641996">
        <w:trPr>
          <w:trHeight w:val="151"/>
        </w:trPr>
        <w:tc>
          <w:tcPr>
            <w:tcW w:w="11057" w:type="dxa"/>
            <w:gridSpan w:val="15"/>
            <w:shd w:val="clear" w:color="auto" w:fill="FFFFFF"/>
          </w:tcPr>
          <w:tbl>
            <w:tblPr>
              <w:tblW w:w="10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87"/>
              <w:gridCol w:w="5545"/>
            </w:tblGrid>
            <w:tr w:rsidR="002122B0" w:rsidRPr="00890C68" w:rsidTr="00B77813">
              <w:trPr>
                <w:trHeight w:val="946"/>
              </w:trPr>
              <w:tc>
                <w:tcPr>
                  <w:tcW w:w="5387" w:type="dxa"/>
                  <w:shd w:val="clear" w:color="auto" w:fill="FFFFFF"/>
                </w:tcPr>
                <w:p w:rsidR="002122B0" w:rsidRPr="00890C68" w:rsidRDefault="002122B0" w:rsidP="002122B0">
                  <w:pPr>
                    <w:jc w:val="both"/>
                    <w:rPr>
                      <w:rFonts w:ascii="Times New Roman" w:hAnsi="Times New Roman"/>
                      <w:color w:val="000000"/>
                      <w:spacing w:val="-2"/>
                    </w:rPr>
                  </w:pPr>
                  <w:r w:rsidRPr="00890C68">
                    <w:rPr>
                      <w:rFonts w:ascii="Times New Roman" w:hAnsi="Times New Roman"/>
                      <w:color w:val="000000"/>
                      <w:spacing w:val="-2"/>
                    </w:rPr>
                    <w:lastRenderedPageBreak/>
                    <w:t xml:space="preserve">Wprowadzane są obciążenia poza bezwzględnie wymaganymi przez UE </w:t>
                  </w:r>
                  <w:r w:rsidRPr="00890C68">
                    <w:rPr>
                      <w:rFonts w:ascii="Times New Roman" w:hAnsi="Times New Roman"/>
                      <w:color w:val="000000"/>
                    </w:rPr>
                    <w:t>(szczegóły w odwróconej tabeli zgodności).</w:t>
                  </w:r>
                </w:p>
              </w:tc>
              <w:tc>
                <w:tcPr>
                  <w:tcW w:w="5545" w:type="dxa"/>
                  <w:shd w:val="clear" w:color="auto" w:fill="FFFFFF"/>
                </w:tcPr>
                <w:p w:rsidR="002122B0" w:rsidRPr="00890C68" w:rsidRDefault="00B90D24" w:rsidP="002122B0">
                  <w:pPr>
                    <w:spacing w:line="240" w:lineRule="auto"/>
                    <w:rPr>
                      <w:rFonts w:ascii="Times New Roman" w:hAnsi="Times New Roman"/>
                      <w:color w:val="000000"/>
                    </w:rPr>
                  </w:pPr>
                  <w:r w:rsidRPr="00890C68">
                    <w:rPr>
                      <w:rFonts w:ascii="Times New Roman" w:hAnsi="Times New Roman"/>
                      <w:color w:val="000000"/>
                    </w:rPr>
                    <w:fldChar w:fldCharType="begin">
                      <w:ffData>
                        <w:name w:val="Wybór1"/>
                        <w:enabled/>
                        <w:calcOnExit w:val="0"/>
                        <w:checkBox>
                          <w:sizeAuto/>
                          <w:default w:val="0"/>
                        </w:checkBox>
                      </w:ffData>
                    </w:fldChar>
                  </w:r>
                  <w:r w:rsidR="002122B0" w:rsidRPr="00890C68">
                    <w:rPr>
                      <w:rFonts w:ascii="Times New Roman" w:hAnsi="Times New Roman"/>
                      <w:color w:val="000000"/>
                    </w:rPr>
                    <w:instrText xml:space="preserve"> FORMCHECKBOX </w:instrText>
                  </w:r>
                  <w:r w:rsidR="00A132A3">
                    <w:rPr>
                      <w:rFonts w:ascii="Times New Roman" w:hAnsi="Times New Roman"/>
                      <w:color w:val="000000"/>
                    </w:rPr>
                  </w:r>
                  <w:r w:rsidR="00A132A3">
                    <w:rPr>
                      <w:rFonts w:ascii="Times New Roman" w:hAnsi="Times New Roman"/>
                      <w:color w:val="000000"/>
                    </w:rPr>
                    <w:fldChar w:fldCharType="separate"/>
                  </w:r>
                  <w:r w:rsidRPr="00890C68">
                    <w:rPr>
                      <w:rFonts w:ascii="Times New Roman" w:hAnsi="Times New Roman"/>
                      <w:color w:val="000000"/>
                    </w:rPr>
                    <w:fldChar w:fldCharType="end"/>
                  </w:r>
                  <w:r w:rsidR="002122B0" w:rsidRPr="00890C68">
                    <w:rPr>
                      <w:rFonts w:ascii="Times New Roman" w:hAnsi="Times New Roman"/>
                      <w:color w:val="000000"/>
                    </w:rPr>
                    <w:t xml:space="preserve"> tak</w:t>
                  </w:r>
                </w:p>
                <w:p w:rsidR="002122B0" w:rsidRPr="00890C68" w:rsidRDefault="00B90D24" w:rsidP="002122B0">
                  <w:pPr>
                    <w:spacing w:line="240" w:lineRule="auto"/>
                    <w:rPr>
                      <w:rFonts w:ascii="Times New Roman" w:hAnsi="Times New Roman"/>
                      <w:color w:val="000000"/>
                    </w:rPr>
                  </w:pPr>
                  <w:r w:rsidRPr="00890C68">
                    <w:rPr>
                      <w:rFonts w:ascii="Times New Roman" w:hAnsi="Times New Roman"/>
                      <w:color w:val="000000"/>
                    </w:rPr>
                    <w:fldChar w:fldCharType="begin">
                      <w:ffData>
                        <w:name w:val=""/>
                        <w:enabled/>
                        <w:calcOnExit w:val="0"/>
                        <w:checkBox>
                          <w:sizeAuto/>
                          <w:default w:val="1"/>
                        </w:checkBox>
                      </w:ffData>
                    </w:fldChar>
                  </w:r>
                  <w:r w:rsidR="002122B0" w:rsidRPr="00890C68">
                    <w:rPr>
                      <w:rFonts w:ascii="Times New Roman" w:hAnsi="Times New Roman"/>
                      <w:color w:val="000000"/>
                    </w:rPr>
                    <w:instrText xml:space="preserve"> FORMCHECKBOX </w:instrText>
                  </w:r>
                  <w:r w:rsidR="00A132A3">
                    <w:rPr>
                      <w:rFonts w:ascii="Times New Roman" w:hAnsi="Times New Roman"/>
                      <w:color w:val="000000"/>
                    </w:rPr>
                  </w:r>
                  <w:r w:rsidR="00A132A3">
                    <w:rPr>
                      <w:rFonts w:ascii="Times New Roman" w:hAnsi="Times New Roman"/>
                      <w:color w:val="000000"/>
                    </w:rPr>
                    <w:fldChar w:fldCharType="separate"/>
                  </w:r>
                  <w:r w:rsidRPr="00890C68">
                    <w:rPr>
                      <w:rFonts w:ascii="Times New Roman" w:hAnsi="Times New Roman"/>
                      <w:color w:val="000000"/>
                    </w:rPr>
                    <w:fldChar w:fldCharType="end"/>
                  </w:r>
                  <w:r w:rsidR="002122B0" w:rsidRPr="00890C68">
                    <w:rPr>
                      <w:rFonts w:ascii="Times New Roman" w:hAnsi="Times New Roman"/>
                      <w:color w:val="000000"/>
                    </w:rPr>
                    <w:t xml:space="preserve"> nie</w:t>
                  </w:r>
                </w:p>
                <w:p w:rsidR="002122B0" w:rsidRPr="00890C68" w:rsidRDefault="00B90D24" w:rsidP="002122B0">
                  <w:pPr>
                    <w:rPr>
                      <w:rFonts w:ascii="Times New Roman" w:hAnsi="Times New Roman"/>
                      <w:color w:val="000000"/>
                    </w:rPr>
                  </w:pPr>
                  <w:r w:rsidRPr="00890C68">
                    <w:rPr>
                      <w:rFonts w:ascii="Times New Roman" w:hAnsi="Times New Roman"/>
                      <w:color w:val="000000"/>
                    </w:rPr>
                    <w:fldChar w:fldCharType="begin">
                      <w:ffData>
                        <w:name w:val="Wybór1"/>
                        <w:enabled/>
                        <w:calcOnExit w:val="0"/>
                        <w:checkBox>
                          <w:sizeAuto/>
                          <w:default w:val="0"/>
                        </w:checkBox>
                      </w:ffData>
                    </w:fldChar>
                  </w:r>
                  <w:r w:rsidR="002122B0" w:rsidRPr="00890C68">
                    <w:rPr>
                      <w:rFonts w:ascii="Times New Roman" w:hAnsi="Times New Roman"/>
                      <w:color w:val="000000"/>
                    </w:rPr>
                    <w:instrText xml:space="preserve"> FORMCHECKBOX </w:instrText>
                  </w:r>
                  <w:r w:rsidR="00A132A3">
                    <w:rPr>
                      <w:rFonts w:ascii="Times New Roman" w:hAnsi="Times New Roman"/>
                      <w:color w:val="000000"/>
                    </w:rPr>
                  </w:r>
                  <w:r w:rsidR="00A132A3">
                    <w:rPr>
                      <w:rFonts w:ascii="Times New Roman" w:hAnsi="Times New Roman"/>
                      <w:color w:val="000000"/>
                    </w:rPr>
                    <w:fldChar w:fldCharType="separate"/>
                  </w:r>
                  <w:r w:rsidRPr="00890C68">
                    <w:rPr>
                      <w:rFonts w:ascii="Times New Roman" w:hAnsi="Times New Roman"/>
                      <w:color w:val="000000"/>
                    </w:rPr>
                    <w:fldChar w:fldCharType="end"/>
                  </w:r>
                  <w:r w:rsidR="002122B0" w:rsidRPr="00890C68">
                    <w:rPr>
                      <w:rFonts w:ascii="Times New Roman" w:hAnsi="Times New Roman"/>
                      <w:color w:val="000000"/>
                    </w:rPr>
                    <w:t xml:space="preserve"> nie dotyczy</w:t>
                  </w:r>
                </w:p>
              </w:tc>
            </w:tr>
            <w:tr w:rsidR="002122B0" w:rsidRPr="00890C68" w:rsidTr="00B77813">
              <w:trPr>
                <w:trHeight w:val="1245"/>
              </w:trPr>
              <w:tc>
                <w:tcPr>
                  <w:tcW w:w="5387" w:type="dxa"/>
                  <w:shd w:val="clear" w:color="auto" w:fill="FFFFFF"/>
                </w:tcPr>
                <w:p w:rsidR="002122B0" w:rsidRPr="00890C68" w:rsidRDefault="00B90D24" w:rsidP="002122B0">
                  <w:pPr>
                    <w:spacing w:line="240" w:lineRule="auto"/>
                    <w:rPr>
                      <w:rFonts w:ascii="Times New Roman" w:hAnsi="Times New Roman"/>
                      <w:color w:val="000000"/>
                      <w:spacing w:val="-2"/>
                    </w:rPr>
                  </w:pPr>
                  <w:r w:rsidRPr="00890C68">
                    <w:rPr>
                      <w:rFonts w:ascii="Times New Roman" w:hAnsi="Times New Roman"/>
                      <w:color w:val="000000"/>
                    </w:rPr>
                    <w:fldChar w:fldCharType="begin">
                      <w:ffData>
                        <w:name w:val=""/>
                        <w:enabled/>
                        <w:calcOnExit w:val="0"/>
                        <w:checkBox>
                          <w:sizeAuto/>
                          <w:default w:val="1"/>
                        </w:checkBox>
                      </w:ffData>
                    </w:fldChar>
                  </w:r>
                  <w:r w:rsidR="002122B0" w:rsidRPr="00890C68">
                    <w:rPr>
                      <w:rFonts w:ascii="Times New Roman" w:hAnsi="Times New Roman"/>
                      <w:color w:val="000000"/>
                    </w:rPr>
                    <w:instrText xml:space="preserve"> FORMCHECKBOX </w:instrText>
                  </w:r>
                  <w:r w:rsidR="00A132A3">
                    <w:rPr>
                      <w:rFonts w:ascii="Times New Roman" w:hAnsi="Times New Roman"/>
                      <w:color w:val="000000"/>
                    </w:rPr>
                  </w:r>
                  <w:r w:rsidR="00A132A3">
                    <w:rPr>
                      <w:rFonts w:ascii="Times New Roman" w:hAnsi="Times New Roman"/>
                      <w:color w:val="000000"/>
                    </w:rPr>
                    <w:fldChar w:fldCharType="separate"/>
                  </w:r>
                  <w:r w:rsidRPr="00890C68">
                    <w:rPr>
                      <w:rFonts w:ascii="Times New Roman" w:hAnsi="Times New Roman"/>
                      <w:color w:val="000000"/>
                    </w:rPr>
                    <w:fldChar w:fldCharType="end"/>
                  </w:r>
                  <w:r w:rsidR="002122B0" w:rsidRPr="00890C68">
                    <w:rPr>
                      <w:rFonts w:ascii="Times New Roman" w:hAnsi="Times New Roman"/>
                      <w:color w:val="000000"/>
                      <w:sz w:val="20"/>
                      <w:szCs w:val="20"/>
                    </w:rPr>
                    <w:t xml:space="preserve"> </w:t>
                  </w:r>
                  <w:r w:rsidR="002122B0" w:rsidRPr="00890C68">
                    <w:rPr>
                      <w:rFonts w:ascii="Times New Roman" w:hAnsi="Times New Roman"/>
                      <w:color w:val="000000"/>
                      <w:spacing w:val="-2"/>
                    </w:rPr>
                    <w:t xml:space="preserve">zmniejszenie liczby dokumentów </w:t>
                  </w:r>
                </w:p>
                <w:p w:rsidR="002122B0" w:rsidRPr="00890C68" w:rsidRDefault="00B90D24" w:rsidP="002122B0">
                  <w:pPr>
                    <w:spacing w:line="240" w:lineRule="auto"/>
                    <w:rPr>
                      <w:rFonts w:ascii="Times New Roman" w:hAnsi="Times New Roman"/>
                      <w:color w:val="000000"/>
                      <w:spacing w:val="-2"/>
                    </w:rPr>
                  </w:pPr>
                  <w:r w:rsidRPr="00890C68">
                    <w:rPr>
                      <w:rFonts w:ascii="Times New Roman" w:hAnsi="Times New Roman"/>
                      <w:color w:val="000000"/>
                    </w:rPr>
                    <w:fldChar w:fldCharType="begin">
                      <w:ffData>
                        <w:name w:val=""/>
                        <w:enabled/>
                        <w:calcOnExit w:val="0"/>
                        <w:checkBox>
                          <w:sizeAuto/>
                          <w:default w:val="1"/>
                        </w:checkBox>
                      </w:ffData>
                    </w:fldChar>
                  </w:r>
                  <w:r w:rsidR="002122B0" w:rsidRPr="00890C68">
                    <w:rPr>
                      <w:rFonts w:ascii="Times New Roman" w:hAnsi="Times New Roman"/>
                      <w:color w:val="000000"/>
                    </w:rPr>
                    <w:instrText xml:space="preserve"> FORMCHECKBOX </w:instrText>
                  </w:r>
                  <w:r w:rsidR="00A132A3">
                    <w:rPr>
                      <w:rFonts w:ascii="Times New Roman" w:hAnsi="Times New Roman"/>
                      <w:color w:val="000000"/>
                    </w:rPr>
                  </w:r>
                  <w:r w:rsidR="00A132A3">
                    <w:rPr>
                      <w:rFonts w:ascii="Times New Roman" w:hAnsi="Times New Roman"/>
                      <w:color w:val="000000"/>
                    </w:rPr>
                    <w:fldChar w:fldCharType="separate"/>
                  </w:r>
                  <w:r w:rsidRPr="00890C68">
                    <w:rPr>
                      <w:rFonts w:ascii="Times New Roman" w:hAnsi="Times New Roman"/>
                      <w:color w:val="000000"/>
                    </w:rPr>
                    <w:fldChar w:fldCharType="end"/>
                  </w:r>
                  <w:r w:rsidR="002122B0" w:rsidRPr="00890C68">
                    <w:rPr>
                      <w:rFonts w:ascii="Times New Roman" w:hAnsi="Times New Roman"/>
                      <w:color w:val="000000"/>
                      <w:sz w:val="20"/>
                      <w:szCs w:val="20"/>
                    </w:rPr>
                    <w:t xml:space="preserve"> </w:t>
                  </w:r>
                  <w:r w:rsidR="002122B0" w:rsidRPr="00890C68">
                    <w:rPr>
                      <w:rFonts w:ascii="Times New Roman" w:hAnsi="Times New Roman"/>
                      <w:color w:val="000000"/>
                      <w:spacing w:val="-2"/>
                    </w:rPr>
                    <w:t>zmniejszenie liczby procedur</w:t>
                  </w:r>
                </w:p>
                <w:p w:rsidR="002122B0" w:rsidRPr="00890C68" w:rsidRDefault="00B90D24" w:rsidP="002122B0">
                  <w:pPr>
                    <w:spacing w:line="240" w:lineRule="auto"/>
                    <w:rPr>
                      <w:rFonts w:ascii="Times New Roman" w:hAnsi="Times New Roman"/>
                      <w:color w:val="000000"/>
                      <w:spacing w:val="-2"/>
                    </w:rPr>
                  </w:pPr>
                  <w:r w:rsidRPr="00890C68">
                    <w:rPr>
                      <w:rFonts w:ascii="Times New Roman" w:hAnsi="Times New Roman"/>
                      <w:color w:val="000000"/>
                    </w:rPr>
                    <w:fldChar w:fldCharType="begin">
                      <w:ffData>
                        <w:name w:val=""/>
                        <w:enabled/>
                        <w:calcOnExit w:val="0"/>
                        <w:checkBox>
                          <w:sizeAuto/>
                          <w:default w:val="1"/>
                        </w:checkBox>
                      </w:ffData>
                    </w:fldChar>
                  </w:r>
                  <w:r w:rsidR="002122B0" w:rsidRPr="00890C68">
                    <w:rPr>
                      <w:rFonts w:ascii="Times New Roman" w:hAnsi="Times New Roman"/>
                      <w:color w:val="000000"/>
                    </w:rPr>
                    <w:instrText xml:space="preserve"> FORMCHECKBOX </w:instrText>
                  </w:r>
                  <w:r w:rsidR="00A132A3">
                    <w:rPr>
                      <w:rFonts w:ascii="Times New Roman" w:hAnsi="Times New Roman"/>
                      <w:color w:val="000000"/>
                    </w:rPr>
                  </w:r>
                  <w:r w:rsidR="00A132A3">
                    <w:rPr>
                      <w:rFonts w:ascii="Times New Roman" w:hAnsi="Times New Roman"/>
                      <w:color w:val="000000"/>
                    </w:rPr>
                    <w:fldChar w:fldCharType="separate"/>
                  </w:r>
                  <w:r w:rsidRPr="00890C68">
                    <w:rPr>
                      <w:rFonts w:ascii="Times New Roman" w:hAnsi="Times New Roman"/>
                      <w:color w:val="000000"/>
                    </w:rPr>
                    <w:fldChar w:fldCharType="end"/>
                  </w:r>
                  <w:r w:rsidR="002122B0" w:rsidRPr="00890C68">
                    <w:rPr>
                      <w:rFonts w:ascii="Times New Roman" w:hAnsi="Times New Roman"/>
                      <w:color w:val="000000"/>
                      <w:sz w:val="20"/>
                      <w:szCs w:val="20"/>
                    </w:rPr>
                    <w:t xml:space="preserve"> </w:t>
                  </w:r>
                  <w:r w:rsidR="002122B0" w:rsidRPr="00890C68">
                    <w:rPr>
                      <w:rFonts w:ascii="Times New Roman" w:hAnsi="Times New Roman"/>
                      <w:color w:val="000000"/>
                      <w:spacing w:val="-2"/>
                    </w:rPr>
                    <w:t>skrócenie czasu na załatwienie sprawy</w:t>
                  </w:r>
                </w:p>
                <w:p w:rsidR="002122B0" w:rsidRPr="00890C68" w:rsidRDefault="00B90D24" w:rsidP="002122B0">
                  <w:pPr>
                    <w:rPr>
                      <w:rFonts w:ascii="Times New Roman" w:hAnsi="Times New Roman"/>
                      <w:b/>
                      <w:color w:val="000000"/>
                      <w:spacing w:val="-2"/>
                    </w:rPr>
                  </w:pPr>
                  <w:r w:rsidRPr="00890C68">
                    <w:rPr>
                      <w:rFonts w:ascii="Times New Roman" w:hAnsi="Times New Roman"/>
                      <w:color w:val="000000"/>
                    </w:rPr>
                    <w:fldChar w:fldCharType="begin">
                      <w:ffData>
                        <w:name w:val=""/>
                        <w:enabled/>
                        <w:calcOnExit w:val="0"/>
                        <w:checkBox>
                          <w:sizeAuto/>
                          <w:default w:val="1"/>
                        </w:checkBox>
                      </w:ffData>
                    </w:fldChar>
                  </w:r>
                  <w:r w:rsidR="002122B0" w:rsidRPr="00890C68">
                    <w:rPr>
                      <w:rFonts w:ascii="Times New Roman" w:hAnsi="Times New Roman"/>
                      <w:color w:val="000000"/>
                    </w:rPr>
                    <w:instrText xml:space="preserve"> FORMCHECKBOX </w:instrText>
                  </w:r>
                  <w:r w:rsidR="00A132A3">
                    <w:rPr>
                      <w:rFonts w:ascii="Times New Roman" w:hAnsi="Times New Roman"/>
                      <w:color w:val="000000"/>
                    </w:rPr>
                  </w:r>
                  <w:r w:rsidR="00A132A3">
                    <w:rPr>
                      <w:rFonts w:ascii="Times New Roman" w:hAnsi="Times New Roman"/>
                      <w:color w:val="000000"/>
                    </w:rPr>
                    <w:fldChar w:fldCharType="separate"/>
                  </w:r>
                  <w:r w:rsidRPr="00890C68">
                    <w:rPr>
                      <w:rFonts w:ascii="Times New Roman" w:hAnsi="Times New Roman"/>
                      <w:color w:val="000000"/>
                    </w:rPr>
                    <w:fldChar w:fldCharType="end"/>
                  </w:r>
                  <w:r w:rsidR="002122B0" w:rsidRPr="00890C68">
                    <w:rPr>
                      <w:rFonts w:ascii="Times New Roman" w:hAnsi="Times New Roman"/>
                      <w:color w:val="000000"/>
                      <w:sz w:val="20"/>
                      <w:szCs w:val="20"/>
                    </w:rPr>
                    <w:t xml:space="preserve"> </w:t>
                  </w:r>
                  <w:r w:rsidR="002122B0" w:rsidRPr="00890C68">
                    <w:rPr>
                      <w:rFonts w:ascii="Times New Roman" w:hAnsi="Times New Roman"/>
                      <w:color w:val="000000"/>
                      <w:spacing w:val="-2"/>
                    </w:rPr>
                    <w:t>inne uproszczenia obowiązków informacyjnych</w:t>
                  </w:r>
                </w:p>
              </w:tc>
              <w:tc>
                <w:tcPr>
                  <w:tcW w:w="5545" w:type="dxa"/>
                  <w:shd w:val="clear" w:color="auto" w:fill="FFFFFF"/>
                </w:tcPr>
                <w:p w:rsidR="002122B0" w:rsidRPr="00890C68" w:rsidRDefault="00B90D24" w:rsidP="002122B0">
                  <w:pPr>
                    <w:spacing w:line="240" w:lineRule="auto"/>
                    <w:rPr>
                      <w:rFonts w:ascii="Times New Roman" w:hAnsi="Times New Roman"/>
                      <w:color w:val="000000"/>
                      <w:spacing w:val="-2"/>
                    </w:rPr>
                  </w:pPr>
                  <w:r w:rsidRPr="00890C68">
                    <w:rPr>
                      <w:rFonts w:ascii="Times New Roman" w:hAnsi="Times New Roman"/>
                      <w:color w:val="000000"/>
                    </w:rPr>
                    <w:fldChar w:fldCharType="begin">
                      <w:ffData>
                        <w:name w:val="Wybór1"/>
                        <w:enabled/>
                        <w:calcOnExit w:val="0"/>
                        <w:checkBox>
                          <w:sizeAuto/>
                          <w:default w:val="0"/>
                        </w:checkBox>
                      </w:ffData>
                    </w:fldChar>
                  </w:r>
                  <w:r w:rsidR="002122B0" w:rsidRPr="00890C68">
                    <w:rPr>
                      <w:rFonts w:ascii="Times New Roman" w:hAnsi="Times New Roman"/>
                      <w:color w:val="000000"/>
                    </w:rPr>
                    <w:instrText xml:space="preserve"> FORMCHECKBOX </w:instrText>
                  </w:r>
                  <w:r w:rsidR="00A132A3">
                    <w:rPr>
                      <w:rFonts w:ascii="Times New Roman" w:hAnsi="Times New Roman"/>
                      <w:color w:val="000000"/>
                    </w:rPr>
                  </w:r>
                  <w:r w:rsidR="00A132A3">
                    <w:rPr>
                      <w:rFonts w:ascii="Times New Roman" w:hAnsi="Times New Roman"/>
                      <w:color w:val="000000"/>
                    </w:rPr>
                    <w:fldChar w:fldCharType="separate"/>
                  </w:r>
                  <w:r w:rsidRPr="00890C68">
                    <w:rPr>
                      <w:rFonts w:ascii="Times New Roman" w:hAnsi="Times New Roman"/>
                      <w:color w:val="000000"/>
                    </w:rPr>
                    <w:fldChar w:fldCharType="end"/>
                  </w:r>
                  <w:r w:rsidR="002122B0" w:rsidRPr="00890C68">
                    <w:rPr>
                      <w:rFonts w:ascii="Times New Roman" w:hAnsi="Times New Roman"/>
                      <w:color w:val="000000"/>
                      <w:sz w:val="20"/>
                      <w:szCs w:val="20"/>
                    </w:rPr>
                    <w:t xml:space="preserve"> </w:t>
                  </w:r>
                  <w:r w:rsidR="002122B0" w:rsidRPr="00890C68">
                    <w:rPr>
                      <w:rFonts w:ascii="Times New Roman" w:hAnsi="Times New Roman"/>
                      <w:color w:val="000000"/>
                      <w:spacing w:val="-2"/>
                    </w:rPr>
                    <w:t>zwiększenie liczby dokumentów</w:t>
                  </w:r>
                </w:p>
                <w:p w:rsidR="002122B0" w:rsidRPr="00890C68" w:rsidRDefault="00B90D24" w:rsidP="002122B0">
                  <w:pPr>
                    <w:spacing w:line="240" w:lineRule="auto"/>
                    <w:rPr>
                      <w:rFonts w:ascii="Times New Roman" w:hAnsi="Times New Roman"/>
                      <w:color w:val="000000"/>
                      <w:spacing w:val="-2"/>
                    </w:rPr>
                  </w:pPr>
                  <w:r w:rsidRPr="00890C68">
                    <w:rPr>
                      <w:rFonts w:ascii="Times New Roman" w:hAnsi="Times New Roman"/>
                      <w:color w:val="000000"/>
                    </w:rPr>
                    <w:fldChar w:fldCharType="begin">
                      <w:ffData>
                        <w:name w:val="Wybór1"/>
                        <w:enabled/>
                        <w:calcOnExit w:val="0"/>
                        <w:checkBox>
                          <w:sizeAuto/>
                          <w:default w:val="0"/>
                        </w:checkBox>
                      </w:ffData>
                    </w:fldChar>
                  </w:r>
                  <w:r w:rsidR="002122B0" w:rsidRPr="00890C68">
                    <w:rPr>
                      <w:rFonts w:ascii="Times New Roman" w:hAnsi="Times New Roman"/>
                      <w:color w:val="000000"/>
                    </w:rPr>
                    <w:instrText xml:space="preserve"> FORMCHECKBOX </w:instrText>
                  </w:r>
                  <w:r w:rsidR="00A132A3">
                    <w:rPr>
                      <w:rFonts w:ascii="Times New Roman" w:hAnsi="Times New Roman"/>
                      <w:color w:val="000000"/>
                    </w:rPr>
                  </w:r>
                  <w:r w:rsidR="00A132A3">
                    <w:rPr>
                      <w:rFonts w:ascii="Times New Roman" w:hAnsi="Times New Roman"/>
                      <w:color w:val="000000"/>
                    </w:rPr>
                    <w:fldChar w:fldCharType="separate"/>
                  </w:r>
                  <w:r w:rsidRPr="00890C68">
                    <w:rPr>
                      <w:rFonts w:ascii="Times New Roman" w:hAnsi="Times New Roman"/>
                      <w:color w:val="000000"/>
                    </w:rPr>
                    <w:fldChar w:fldCharType="end"/>
                  </w:r>
                  <w:r w:rsidR="002122B0" w:rsidRPr="00890C68">
                    <w:rPr>
                      <w:rFonts w:ascii="Times New Roman" w:hAnsi="Times New Roman"/>
                      <w:color w:val="000000"/>
                      <w:sz w:val="20"/>
                      <w:szCs w:val="20"/>
                    </w:rPr>
                    <w:t xml:space="preserve"> </w:t>
                  </w:r>
                  <w:r w:rsidR="002122B0" w:rsidRPr="00890C68">
                    <w:rPr>
                      <w:rFonts w:ascii="Times New Roman" w:hAnsi="Times New Roman"/>
                      <w:color w:val="000000"/>
                      <w:spacing w:val="-2"/>
                    </w:rPr>
                    <w:t>zwiększenie liczby procedur</w:t>
                  </w:r>
                </w:p>
                <w:p w:rsidR="002122B0" w:rsidRPr="00890C68" w:rsidRDefault="00B90D24" w:rsidP="002122B0">
                  <w:pPr>
                    <w:spacing w:line="240" w:lineRule="auto"/>
                    <w:rPr>
                      <w:rFonts w:ascii="Times New Roman" w:hAnsi="Times New Roman"/>
                      <w:color w:val="000000"/>
                      <w:spacing w:val="-2"/>
                    </w:rPr>
                  </w:pPr>
                  <w:r w:rsidRPr="00890C68">
                    <w:rPr>
                      <w:rFonts w:ascii="Times New Roman" w:hAnsi="Times New Roman"/>
                      <w:color w:val="000000"/>
                    </w:rPr>
                    <w:fldChar w:fldCharType="begin">
                      <w:ffData>
                        <w:name w:val="Wybór1"/>
                        <w:enabled/>
                        <w:calcOnExit w:val="0"/>
                        <w:checkBox>
                          <w:sizeAuto/>
                          <w:default w:val="0"/>
                        </w:checkBox>
                      </w:ffData>
                    </w:fldChar>
                  </w:r>
                  <w:r w:rsidR="002122B0" w:rsidRPr="00890C68">
                    <w:rPr>
                      <w:rFonts w:ascii="Times New Roman" w:hAnsi="Times New Roman"/>
                      <w:color w:val="000000"/>
                    </w:rPr>
                    <w:instrText xml:space="preserve"> FORMCHECKBOX </w:instrText>
                  </w:r>
                  <w:r w:rsidR="00A132A3">
                    <w:rPr>
                      <w:rFonts w:ascii="Times New Roman" w:hAnsi="Times New Roman"/>
                      <w:color w:val="000000"/>
                    </w:rPr>
                  </w:r>
                  <w:r w:rsidR="00A132A3">
                    <w:rPr>
                      <w:rFonts w:ascii="Times New Roman" w:hAnsi="Times New Roman"/>
                      <w:color w:val="000000"/>
                    </w:rPr>
                    <w:fldChar w:fldCharType="separate"/>
                  </w:r>
                  <w:r w:rsidRPr="00890C68">
                    <w:rPr>
                      <w:rFonts w:ascii="Times New Roman" w:hAnsi="Times New Roman"/>
                      <w:color w:val="000000"/>
                    </w:rPr>
                    <w:fldChar w:fldCharType="end"/>
                  </w:r>
                  <w:r w:rsidR="002122B0" w:rsidRPr="00890C68">
                    <w:rPr>
                      <w:rFonts w:ascii="Times New Roman" w:hAnsi="Times New Roman"/>
                      <w:color w:val="000000"/>
                      <w:sz w:val="20"/>
                      <w:szCs w:val="20"/>
                    </w:rPr>
                    <w:t xml:space="preserve"> </w:t>
                  </w:r>
                  <w:r w:rsidR="002122B0" w:rsidRPr="00890C68">
                    <w:rPr>
                      <w:rFonts w:ascii="Times New Roman" w:hAnsi="Times New Roman"/>
                      <w:color w:val="000000"/>
                      <w:spacing w:val="-2"/>
                    </w:rPr>
                    <w:t>wydłużenie czasu na załatwienie sprawy</w:t>
                  </w:r>
                </w:p>
                <w:p w:rsidR="002122B0" w:rsidRPr="00890C68" w:rsidRDefault="00B90D24" w:rsidP="002122B0">
                  <w:pPr>
                    <w:spacing w:line="240" w:lineRule="auto"/>
                    <w:rPr>
                      <w:rFonts w:ascii="Times New Roman" w:hAnsi="Times New Roman"/>
                      <w:color w:val="000000"/>
                    </w:rPr>
                  </w:pPr>
                  <w:r w:rsidRPr="00890C68">
                    <w:rPr>
                      <w:rFonts w:ascii="Times New Roman" w:hAnsi="Times New Roman"/>
                      <w:color w:val="000000"/>
                    </w:rPr>
                    <w:fldChar w:fldCharType="begin">
                      <w:ffData>
                        <w:name w:val="Wybór1"/>
                        <w:enabled/>
                        <w:calcOnExit w:val="0"/>
                        <w:checkBox>
                          <w:sizeAuto/>
                          <w:default w:val="0"/>
                        </w:checkBox>
                      </w:ffData>
                    </w:fldChar>
                  </w:r>
                  <w:r w:rsidR="002122B0" w:rsidRPr="00890C68">
                    <w:rPr>
                      <w:rFonts w:ascii="Times New Roman" w:hAnsi="Times New Roman"/>
                      <w:color w:val="000000"/>
                    </w:rPr>
                    <w:instrText xml:space="preserve"> FORMCHECKBOX </w:instrText>
                  </w:r>
                  <w:r w:rsidR="00A132A3">
                    <w:rPr>
                      <w:rFonts w:ascii="Times New Roman" w:hAnsi="Times New Roman"/>
                      <w:color w:val="000000"/>
                    </w:rPr>
                  </w:r>
                  <w:r w:rsidR="00A132A3">
                    <w:rPr>
                      <w:rFonts w:ascii="Times New Roman" w:hAnsi="Times New Roman"/>
                      <w:color w:val="000000"/>
                    </w:rPr>
                    <w:fldChar w:fldCharType="separate"/>
                  </w:r>
                  <w:r w:rsidRPr="00890C68">
                    <w:rPr>
                      <w:rFonts w:ascii="Times New Roman" w:hAnsi="Times New Roman"/>
                      <w:color w:val="000000"/>
                    </w:rPr>
                    <w:fldChar w:fldCharType="end"/>
                  </w:r>
                  <w:r w:rsidR="002122B0" w:rsidRPr="00890C68">
                    <w:rPr>
                      <w:rFonts w:ascii="Times New Roman" w:hAnsi="Times New Roman"/>
                      <w:color w:val="000000"/>
                      <w:sz w:val="20"/>
                      <w:szCs w:val="20"/>
                    </w:rPr>
                    <w:t xml:space="preserve"> </w:t>
                  </w:r>
                  <w:r w:rsidR="002122B0" w:rsidRPr="00890C68">
                    <w:rPr>
                      <w:rFonts w:ascii="Times New Roman" w:hAnsi="Times New Roman"/>
                      <w:color w:val="000000"/>
                      <w:spacing w:val="-2"/>
                    </w:rPr>
                    <w:t>inne:</w:t>
                  </w:r>
                  <w:r w:rsidR="002122B0" w:rsidRPr="00890C68">
                    <w:rPr>
                      <w:rFonts w:ascii="Times New Roman" w:hAnsi="Times New Roman"/>
                      <w:color w:val="000000"/>
                    </w:rPr>
                    <w:t xml:space="preserve"> </w:t>
                  </w:r>
                </w:p>
              </w:tc>
            </w:tr>
            <w:tr w:rsidR="002122B0" w:rsidRPr="00890C68" w:rsidTr="00B77813">
              <w:trPr>
                <w:trHeight w:val="870"/>
              </w:trPr>
              <w:tc>
                <w:tcPr>
                  <w:tcW w:w="5387" w:type="dxa"/>
                  <w:shd w:val="clear" w:color="auto" w:fill="FFFFFF"/>
                </w:tcPr>
                <w:p w:rsidR="002122B0" w:rsidRPr="00890C68" w:rsidRDefault="002122B0" w:rsidP="002122B0">
                  <w:pPr>
                    <w:spacing w:line="240" w:lineRule="auto"/>
                    <w:jc w:val="both"/>
                    <w:rPr>
                      <w:rFonts w:ascii="Times New Roman" w:hAnsi="Times New Roman"/>
                      <w:color w:val="000000"/>
                    </w:rPr>
                  </w:pPr>
                  <w:r w:rsidRPr="00890C68">
                    <w:rPr>
                      <w:rFonts w:ascii="Times New Roman" w:hAnsi="Times New Roman"/>
                      <w:color w:val="000000"/>
                      <w:spacing w:val="-2"/>
                    </w:rPr>
                    <w:t xml:space="preserve">Wprowadzane obciążenia są przystosowane do ich elektronizacji. </w:t>
                  </w:r>
                </w:p>
              </w:tc>
              <w:tc>
                <w:tcPr>
                  <w:tcW w:w="5545" w:type="dxa"/>
                  <w:shd w:val="clear" w:color="auto" w:fill="FFFFFF"/>
                </w:tcPr>
                <w:p w:rsidR="002122B0" w:rsidRPr="00890C68" w:rsidRDefault="00B90D24" w:rsidP="002122B0">
                  <w:pPr>
                    <w:spacing w:line="240" w:lineRule="auto"/>
                    <w:rPr>
                      <w:rFonts w:ascii="Times New Roman" w:hAnsi="Times New Roman"/>
                      <w:color w:val="000000"/>
                    </w:rPr>
                  </w:pPr>
                  <w:r w:rsidRPr="00890C68">
                    <w:rPr>
                      <w:rFonts w:ascii="Times New Roman" w:hAnsi="Times New Roman"/>
                      <w:color w:val="000000"/>
                    </w:rPr>
                    <w:fldChar w:fldCharType="begin">
                      <w:ffData>
                        <w:name w:val=""/>
                        <w:enabled/>
                        <w:calcOnExit w:val="0"/>
                        <w:checkBox>
                          <w:sizeAuto/>
                          <w:default w:val="1"/>
                        </w:checkBox>
                      </w:ffData>
                    </w:fldChar>
                  </w:r>
                  <w:r w:rsidR="002122B0" w:rsidRPr="00890C68">
                    <w:rPr>
                      <w:rFonts w:ascii="Times New Roman" w:hAnsi="Times New Roman"/>
                      <w:color w:val="000000"/>
                    </w:rPr>
                    <w:instrText xml:space="preserve"> FORMCHECKBOX </w:instrText>
                  </w:r>
                  <w:r w:rsidR="00A132A3">
                    <w:rPr>
                      <w:rFonts w:ascii="Times New Roman" w:hAnsi="Times New Roman"/>
                      <w:color w:val="000000"/>
                    </w:rPr>
                  </w:r>
                  <w:r w:rsidR="00A132A3">
                    <w:rPr>
                      <w:rFonts w:ascii="Times New Roman" w:hAnsi="Times New Roman"/>
                      <w:color w:val="000000"/>
                    </w:rPr>
                    <w:fldChar w:fldCharType="separate"/>
                  </w:r>
                  <w:r w:rsidRPr="00890C68">
                    <w:rPr>
                      <w:rFonts w:ascii="Times New Roman" w:hAnsi="Times New Roman"/>
                      <w:color w:val="000000"/>
                    </w:rPr>
                    <w:fldChar w:fldCharType="end"/>
                  </w:r>
                  <w:r w:rsidR="002122B0" w:rsidRPr="00890C68">
                    <w:rPr>
                      <w:rFonts w:ascii="Times New Roman" w:hAnsi="Times New Roman"/>
                      <w:color w:val="000000"/>
                    </w:rPr>
                    <w:t xml:space="preserve"> tak</w:t>
                  </w:r>
                </w:p>
                <w:p w:rsidR="002122B0" w:rsidRPr="00890C68" w:rsidRDefault="00B90D24" w:rsidP="002122B0">
                  <w:pPr>
                    <w:spacing w:line="240" w:lineRule="auto"/>
                    <w:rPr>
                      <w:rFonts w:ascii="Times New Roman" w:hAnsi="Times New Roman"/>
                      <w:color w:val="000000"/>
                    </w:rPr>
                  </w:pPr>
                  <w:r w:rsidRPr="00890C68">
                    <w:rPr>
                      <w:rFonts w:ascii="Times New Roman" w:hAnsi="Times New Roman"/>
                      <w:color w:val="000000"/>
                    </w:rPr>
                    <w:fldChar w:fldCharType="begin">
                      <w:ffData>
                        <w:name w:val="Wybór1"/>
                        <w:enabled/>
                        <w:calcOnExit w:val="0"/>
                        <w:checkBox>
                          <w:sizeAuto/>
                          <w:default w:val="0"/>
                        </w:checkBox>
                      </w:ffData>
                    </w:fldChar>
                  </w:r>
                  <w:r w:rsidR="002122B0" w:rsidRPr="00890C68">
                    <w:rPr>
                      <w:rFonts w:ascii="Times New Roman" w:hAnsi="Times New Roman"/>
                      <w:color w:val="000000"/>
                    </w:rPr>
                    <w:instrText xml:space="preserve"> FORMCHECKBOX </w:instrText>
                  </w:r>
                  <w:r w:rsidR="00A132A3">
                    <w:rPr>
                      <w:rFonts w:ascii="Times New Roman" w:hAnsi="Times New Roman"/>
                      <w:color w:val="000000"/>
                    </w:rPr>
                  </w:r>
                  <w:r w:rsidR="00A132A3">
                    <w:rPr>
                      <w:rFonts w:ascii="Times New Roman" w:hAnsi="Times New Roman"/>
                      <w:color w:val="000000"/>
                    </w:rPr>
                    <w:fldChar w:fldCharType="separate"/>
                  </w:r>
                  <w:r w:rsidRPr="00890C68">
                    <w:rPr>
                      <w:rFonts w:ascii="Times New Roman" w:hAnsi="Times New Roman"/>
                      <w:color w:val="000000"/>
                    </w:rPr>
                    <w:fldChar w:fldCharType="end"/>
                  </w:r>
                  <w:r w:rsidR="002122B0" w:rsidRPr="00890C68">
                    <w:rPr>
                      <w:rFonts w:ascii="Times New Roman" w:hAnsi="Times New Roman"/>
                      <w:color w:val="000000"/>
                    </w:rPr>
                    <w:t xml:space="preserve"> nie</w:t>
                  </w:r>
                </w:p>
                <w:p w:rsidR="002122B0" w:rsidRPr="00890C68" w:rsidRDefault="00B90D24" w:rsidP="002122B0">
                  <w:pPr>
                    <w:spacing w:line="240" w:lineRule="auto"/>
                    <w:rPr>
                      <w:rFonts w:ascii="Times New Roman" w:hAnsi="Times New Roman"/>
                      <w:color w:val="000000"/>
                    </w:rPr>
                  </w:pPr>
                  <w:r w:rsidRPr="00890C68">
                    <w:rPr>
                      <w:rFonts w:ascii="Times New Roman" w:hAnsi="Times New Roman"/>
                      <w:color w:val="000000"/>
                    </w:rPr>
                    <w:fldChar w:fldCharType="begin">
                      <w:ffData>
                        <w:name w:val="Wybór1"/>
                        <w:enabled/>
                        <w:calcOnExit w:val="0"/>
                        <w:checkBox>
                          <w:sizeAuto/>
                          <w:default w:val="0"/>
                        </w:checkBox>
                      </w:ffData>
                    </w:fldChar>
                  </w:r>
                  <w:r w:rsidR="002122B0" w:rsidRPr="00890C68">
                    <w:rPr>
                      <w:rFonts w:ascii="Times New Roman" w:hAnsi="Times New Roman"/>
                      <w:color w:val="000000"/>
                    </w:rPr>
                    <w:instrText xml:space="preserve"> FORMCHECKBOX </w:instrText>
                  </w:r>
                  <w:r w:rsidR="00A132A3">
                    <w:rPr>
                      <w:rFonts w:ascii="Times New Roman" w:hAnsi="Times New Roman"/>
                      <w:color w:val="000000"/>
                    </w:rPr>
                  </w:r>
                  <w:r w:rsidR="00A132A3">
                    <w:rPr>
                      <w:rFonts w:ascii="Times New Roman" w:hAnsi="Times New Roman"/>
                      <w:color w:val="000000"/>
                    </w:rPr>
                    <w:fldChar w:fldCharType="separate"/>
                  </w:r>
                  <w:r w:rsidRPr="00890C68">
                    <w:rPr>
                      <w:rFonts w:ascii="Times New Roman" w:hAnsi="Times New Roman"/>
                      <w:color w:val="000000"/>
                    </w:rPr>
                    <w:fldChar w:fldCharType="end"/>
                  </w:r>
                  <w:r w:rsidR="002122B0" w:rsidRPr="00890C68">
                    <w:rPr>
                      <w:rFonts w:ascii="Times New Roman" w:hAnsi="Times New Roman"/>
                      <w:color w:val="000000"/>
                    </w:rPr>
                    <w:t xml:space="preserve"> nie dotyczy</w:t>
                  </w:r>
                </w:p>
              </w:tc>
            </w:tr>
            <w:tr w:rsidR="002122B0" w:rsidRPr="00890C68" w:rsidTr="00B77813">
              <w:trPr>
                <w:trHeight w:val="630"/>
              </w:trPr>
              <w:tc>
                <w:tcPr>
                  <w:tcW w:w="10932" w:type="dxa"/>
                  <w:gridSpan w:val="2"/>
                  <w:shd w:val="clear" w:color="auto" w:fill="FFFFFF"/>
                </w:tcPr>
                <w:p w:rsidR="002122B0" w:rsidRPr="00890C68" w:rsidRDefault="002122B0" w:rsidP="002122B0">
                  <w:pPr>
                    <w:spacing w:line="240" w:lineRule="auto"/>
                    <w:jc w:val="both"/>
                    <w:rPr>
                      <w:rFonts w:ascii="Times New Roman" w:hAnsi="Times New Roman"/>
                      <w:color w:val="000000"/>
                    </w:rPr>
                  </w:pPr>
                  <w:r w:rsidRPr="00890C68">
                    <w:rPr>
                      <w:rFonts w:ascii="Times New Roman" w:hAnsi="Times New Roman"/>
                      <w:color w:val="000000"/>
                    </w:rPr>
                    <w:t>Komentarz: Dzięki jednemu punktowi dostępu/kontaktu w centralnym OI</w:t>
                  </w:r>
                  <w:r w:rsidR="00622AA1" w:rsidRPr="00890C68">
                    <w:rPr>
                      <w:rFonts w:ascii="Times New Roman" w:hAnsi="Times New Roman"/>
                      <w:color w:val="000000"/>
                    </w:rPr>
                    <w:t>RE</w:t>
                  </w:r>
                  <w:r w:rsidRPr="00890C68">
                    <w:rPr>
                      <w:rFonts w:ascii="Times New Roman" w:hAnsi="Times New Roman"/>
                      <w:color w:val="000000"/>
                    </w:rPr>
                    <w:t xml:space="preserve"> oraz formie elektronicznej większości z wprowadzonych rozwiązań zostanie uproszczony system zarządzania i obiegu danych w procesie rozliczeń odbiorców i zmianie sprzedawcy, co przyczyni się do skrócenia obiegu informacji.</w:t>
                  </w:r>
                </w:p>
              </w:tc>
            </w:tr>
          </w:tbl>
          <w:p w:rsidR="00D86AFF" w:rsidRPr="00890C68" w:rsidRDefault="00D86AFF" w:rsidP="004F4E17">
            <w:pPr>
              <w:spacing w:line="240" w:lineRule="auto"/>
              <w:rPr>
                <w:rFonts w:ascii="Times New Roman" w:hAnsi="Times New Roman"/>
                <w:color w:val="000000"/>
              </w:rPr>
            </w:pPr>
          </w:p>
        </w:tc>
      </w:tr>
      <w:tr w:rsidR="001B3460" w:rsidRPr="00890C68" w:rsidTr="00641996">
        <w:trPr>
          <w:trHeight w:val="142"/>
        </w:trPr>
        <w:tc>
          <w:tcPr>
            <w:tcW w:w="11057" w:type="dxa"/>
            <w:gridSpan w:val="15"/>
            <w:shd w:val="clear" w:color="auto" w:fill="99CCFF"/>
          </w:tcPr>
          <w:p w:rsidR="001B3460" w:rsidRPr="00890C68" w:rsidRDefault="00AB04A1" w:rsidP="00AB04A1">
            <w:pPr>
              <w:spacing w:before="60" w:after="60" w:line="240" w:lineRule="auto"/>
              <w:jc w:val="both"/>
              <w:rPr>
                <w:rFonts w:ascii="Times New Roman" w:hAnsi="Times New Roman"/>
                <w:b/>
                <w:color w:val="000000"/>
              </w:rPr>
            </w:pPr>
            <w:r>
              <w:rPr>
                <w:rFonts w:ascii="Times New Roman" w:hAnsi="Times New Roman"/>
                <w:b/>
                <w:color w:val="000000"/>
              </w:rPr>
              <w:t xml:space="preserve">9. </w:t>
            </w:r>
            <w:r w:rsidR="001B3460" w:rsidRPr="00890C68">
              <w:rPr>
                <w:rFonts w:ascii="Times New Roman" w:hAnsi="Times New Roman"/>
                <w:b/>
                <w:color w:val="000000"/>
              </w:rPr>
              <w:t xml:space="preserve">Wpływ na rynek pracy </w:t>
            </w:r>
          </w:p>
        </w:tc>
      </w:tr>
      <w:tr w:rsidR="001B3460" w:rsidRPr="00890C68" w:rsidTr="00641996">
        <w:trPr>
          <w:trHeight w:val="142"/>
        </w:trPr>
        <w:tc>
          <w:tcPr>
            <w:tcW w:w="11057" w:type="dxa"/>
            <w:gridSpan w:val="15"/>
            <w:shd w:val="clear" w:color="auto" w:fill="auto"/>
          </w:tcPr>
          <w:p w:rsidR="00BA21B3" w:rsidRDefault="00002A4B" w:rsidP="00B37C80">
            <w:pPr>
              <w:spacing w:line="240" w:lineRule="auto"/>
              <w:jc w:val="both"/>
              <w:rPr>
                <w:rFonts w:ascii="Times New Roman" w:hAnsi="Times New Roman"/>
                <w:color w:val="000000"/>
              </w:rPr>
            </w:pPr>
            <w:r w:rsidRPr="00890C68">
              <w:rPr>
                <w:rFonts w:ascii="Times New Roman" w:hAnsi="Times New Roman"/>
                <w:color w:val="000000"/>
              </w:rPr>
              <w:t xml:space="preserve">Przewiduje się pozytywny wpływ na rynek pracy </w:t>
            </w:r>
            <w:r w:rsidR="00BA21B3">
              <w:rPr>
                <w:rFonts w:ascii="Times New Roman" w:hAnsi="Times New Roman"/>
                <w:color w:val="000000"/>
              </w:rPr>
              <w:t xml:space="preserve">w sektorze produkcyjnym liczników zdalnego odczytu (szacuje się instalację takich liczników </w:t>
            </w:r>
            <w:r w:rsidR="002122B0" w:rsidRPr="00890C68">
              <w:rPr>
                <w:rFonts w:ascii="Times New Roman" w:hAnsi="Times New Roman"/>
                <w:color w:val="000000"/>
              </w:rPr>
              <w:t>w liczbie ok. 1</w:t>
            </w:r>
            <w:r w:rsidR="000A0853" w:rsidRPr="00890C68">
              <w:rPr>
                <w:rFonts w:ascii="Times New Roman" w:hAnsi="Times New Roman"/>
                <w:color w:val="000000"/>
              </w:rPr>
              <w:t>1,</w:t>
            </w:r>
            <w:r w:rsidR="00E72802" w:rsidRPr="00890C68">
              <w:rPr>
                <w:rFonts w:ascii="Times New Roman" w:hAnsi="Times New Roman"/>
                <w:color w:val="000000"/>
              </w:rPr>
              <w:t>4</w:t>
            </w:r>
            <w:r w:rsidR="002122B0" w:rsidRPr="00890C68">
              <w:rPr>
                <w:rFonts w:ascii="Times New Roman" w:hAnsi="Times New Roman"/>
                <w:color w:val="000000"/>
              </w:rPr>
              <w:t xml:space="preserve"> mln w okresie do końca roku 202</w:t>
            </w:r>
            <w:r w:rsidR="00BA21B3">
              <w:rPr>
                <w:rFonts w:ascii="Times New Roman" w:hAnsi="Times New Roman"/>
                <w:color w:val="000000"/>
              </w:rPr>
              <w:t>8 r.)</w:t>
            </w:r>
            <w:r w:rsidR="002122B0" w:rsidRPr="00890C68">
              <w:rPr>
                <w:rFonts w:ascii="Times New Roman" w:hAnsi="Times New Roman"/>
                <w:color w:val="000000"/>
              </w:rPr>
              <w:t xml:space="preserve"> oraz rozwój branży urządzeń dedykowanych do współpracy z </w:t>
            </w:r>
            <w:r w:rsidR="005E39F8" w:rsidRPr="00890C68">
              <w:rPr>
                <w:rFonts w:ascii="Times New Roman" w:hAnsi="Times New Roman"/>
                <w:color w:val="000000"/>
              </w:rPr>
              <w:t xml:space="preserve">tymi </w:t>
            </w:r>
            <w:r w:rsidR="002122B0" w:rsidRPr="00890C68">
              <w:rPr>
                <w:rFonts w:ascii="Times New Roman" w:hAnsi="Times New Roman"/>
                <w:color w:val="000000"/>
              </w:rPr>
              <w:t xml:space="preserve">licznikami </w:t>
            </w:r>
            <w:r w:rsidR="00BA21B3">
              <w:rPr>
                <w:rFonts w:ascii="Times New Roman" w:hAnsi="Times New Roman"/>
                <w:color w:val="000000"/>
              </w:rPr>
              <w:t>co z kolei</w:t>
            </w:r>
            <w:r w:rsidR="002122B0" w:rsidRPr="00890C68">
              <w:rPr>
                <w:rFonts w:ascii="Times New Roman" w:hAnsi="Times New Roman"/>
                <w:color w:val="000000"/>
              </w:rPr>
              <w:t xml:space="preserve"> spowoduje przyrost miejsc pracy przede wszystkim w sektorze informatycznym oraz produkcyjnym (wśród producentów dedykowanych urządzeń). </w:t>
            </w:r>
          </w:p>
          <w:p w:rsidR="00BA21B3" w:rsidRPr="00BA21B3" w:rsidRDefault="002122B0" w:rsidP="00BA21B3">
            <w:pPr>
              <w:spacing w:line="240" w:lineRule="auto"/>
              <w:jc w:val="both"/>
              <w:rPr>
                <w:rFonts w:ascii="Times New Roman" w:hAnsi="Times New Roman"/>
                <w:color w:val="000000"/>
              </w:rPr>
            </w:pPr>
            <w:r w:rsidRPr="00890C68">
              <w:rPr>
                <w:rFonts w:ascii="Times New Roman" w:hAnsi="Times New Roman"/>
                <w:color w:val="000000"/>
              </w:rPr>
              <w:t>Przejściowe problemy mogą wynikać z potrzeb przekwalifikowania w ramach struktur OSD pracowników odczytujących liczniki.</w:t>
            </w:r>
            <w:r w:rsidR="00BA21B3">
              <w:rPr>
                <w:rFonts w:ascii="Times New Roman" w:hAnsi="Times New Roman"/>
                <w:color w:val="000000"/>
              </w:rPr>
              <w:t xml:space="preserve"> Zdaniem Polskiego Towarzystwa Przesyłu i Rozdziału Energii Elektrycznej </w:t>
            </w:r>
            <w:r w:rsidR="00BA21B3" w:rsidRPr="00BA21B3">
              <w:rPr>
                <w:rFonts w:ascii="Times New Roman" w:hAnsi="Times New Roman"/>
                <w:color w:val="000000"/>
              </w:rPr>
              <w:t>liczba zadań, realizowanych każdego roku przez poszczególnych OSD, związanych z szeroko rozumianą eksploatacją układów pomiarowych energii elektrycznej – tj. montaż liczników w ramach przyłączania nowych odbiorców, wymiana legalizacyjna oraz serwisowa u istniejących odbiorców, demontaże układów pomiarowych, odczyty, sprawdzenia i kontrole, obsługa reklamacji, wstrzymania i wznowienia dostaw energii (windykacja), zmiana grupy taryfowej, rozwiązywanie problemów ze zdalną komunikacją – jest zróżnicowana, a skala zmian rok do roku może wahać się od kilku do kilkudziesięciu procent. Duża część zadań ma charakter powtarzalny i przewidywalny (zakres wymiany legalizacyjnej, zakres odczytów harmonogramowych itp.), niemniej część zadań ma charakter losowy, a ich skala uzależniona jest od czynników zewnętrznych (gospodarczych, społecznych, regulacyjnych), w tym działań innych podmiotów (np. sprzedawców energii – zlecenia windykacyjne, stosowanie sprzedaży energii w systemie przedpłatowym, czy też działań samych odbiorców np. przyłączenia mikroinstalacji).</w:t>
            </w:r>
          </w:p>
          <w:p w:rsidR="00BA21B3" w:rsidRPr="00BA21B3" w:rsidRDefault="00BA21B3" w:rsidP="00BA21B3">
            <w:pPr>
              <w:spacing w:line="240" w:lineRule="auto"/>
              <w:jc w:val="both"/>
              <w:rPr>
                <w:rFonts w:ascii="Times New Roman" w:hAnsi="Times New Roman"/>
                <w:color w:val="000000"/>
              </w:rPr>
            </w:pPr>
            <w:r w:rsidRPr="00BA21B3">
              <w:rPr>
                <w:rFonts w:ascii="Times New Roman" w:hAnsi="Times New Roman"/>
                <w:color w:val="000000"/>
              </w:rPr>
              <w:t>W zależności od przyjętego przez danego OSD modelu biznesowego prace związane z eksploatacją układów pomiarowych energii elektrycznej (w tym odczyty, montaże, wymiany liczników) mogą być realizowane przy zaangażowaniu zasobów własnych oraz obcych. Należy przy tym podkreślić, że przyjęte rozwiązania w zakresie podziału kompetencji, zasobów, a także kategoryzacja stanowisk pracy, jest cechą indywidualną i wynika ze struktury organizacyjnej i polityki poszczególnych OSD. Występują przypadki, gdzie te same zadania i prace mogą być realizowane przez różne służby OSD (monterów pogotowia energetycznego, monterów układów pomiarowych, inkasentó</w:t>
            </w:r>
            <w:r>
              <w:rPr>
                <w:rFonts w:ascii="Times New Roman" w:hAnsi="Times New Roman"/>
                <w:color w:val="000000"/>
              </w:rPr>
              <w:t>w) lub też podmioty zewnętrzne.</w:t>
            </w:r>
          </w:p>
          <w:p w:rsidR="00BA21B3" w:rsidRPr="00BA21B3" w:rsidRDefault="00BA21B3" w:rsidP="00BA21B3">
            <w:pPr>
              <w:spacing w:line="240" w:lineRule="auto"/>
              <w:jc w:val="both"/>
              <w:rPr>
                <w:rFonts w:ascii="Times New Roman" w:hAnsi="Times New Roman"/>
                <w:b/>
                <w:color w:val="000000"/>
              </w:rPr>
            </w:pPr>
            <w:r w:rsidRPr="00BA21B3">
              <w:rPr>
                <w:rFonts w:ascii="Times New Roman" w:hAnsi="Times New Roman"/>
                <w:b/>
                <w:color w:val="000000"/>
              </w:rPr>
              <w:t>Odczyty wskazań liczników energii elektrycznej</w:t>
            </w:r>
          </w:p>
          <w:p w:rsidR="00BA21B3" w:rsidRPr="00BA21B3" w:rsidRDefault="00BA21B3" w:rsidP="00BA21B3">
            <w:pPr>
              <w:spacing w:line="240" w:lineRule="auto"/>
              <w:jc w:val="both"/>
              <w:rPr>
                <w:rFonts w:ascii="Times New Roman" w:hAnsi="Times New Roman"/>
                <w:color w:val="000000"/>
              </w:rPr>
            </w:pPr>
            <w:r w:rsidRPr="00BA21B3">
              <w:rPr>
                <w:rFonts w:ascii="Times New Roman" w:hAnsi="Times New Roman"/>
                <w:color w:val="000000"/>
              </w:rPr>
              <w:t xml:space="preserve">Odczyty liczników energii elektrycznej dzielą się na odczyty rozliczeniowe (systematyczne - harmonogramowe), realizowane zgodnie z cyklami rozliczeniowymi wynikającymi z zawartych umów z odbiorcami (tj. 1, 2, 3, 6 lub 12 razy w roku), oraz odczyty pozostałe (na żądanie lub doraźnie), realizowane w związku ze zleceniami eksploatacyjnymi otrzymanymi od odbiorców (np. odczyty dodatkowe) lub sprzedawców (np. odczyty związane ze zmianą grupy taryfowej, zmianą sprzedawcy) lub wynikające z procesów OSD (odczyty realizowane przy okazji prowadzenia prac eksploatacyjnych, kontroli i sprawdzeń układów pomiarowych). Ponadto możemy rozróżnić odczyty lokalne (realizowane przez inkasentów i elektromonterów) oraz zdalne (w przypadku zastosowania układu pomiarowego ze zdalną transmisją danych). Ze względu na zakres odczytywanych danych pomiarowych (rzutujący na pracochłonność zadania) możemy rozróżnić odczyty danych rozliczeniowych (wskazania liczydeł) oraz odczyty danych profilowych (dane interwałowe np. pobór energii w profilu 15 minutowym). </w:t>
            </w:r>
          </w:p>
          <w:p w:rsidR="00BA21B3" w:rsidRPr="00BA21B3" w:rsidRDefault="00BA21B3" w:rsidP="00BA21B3">
            <w:pPr>
              <w:spacing w:line="240" w:lineRule="auto"/>
              <w:jc w:val="both"/>
              <w:rPr>
                <w:rFonts w:ascii="Times New Roman" w:hAnsi="Times New Roman"/>
                <w:color w:val="000000"/>
              </w:rPr>
            </w:pPr>
            <w:r w:rsidRPr="00BA21B3">
              <w:rPr>
                <w:rFonts w:ascii="Times New Roman" w:hAnsi="Times New Roman"/>
                <w:color w:val="000000"/>
              </w:rPr>
              <w:t>Ad vocem pkt. 1 i 2 poniżej zostały zaprezentowane dane dla OSD zrzeszonych w PTPiREE dotyczące odczytów liczników dla roku 2019, przy czym zaprezentowane wartości odnoszą się do zasobów bezpośrednio wykonujących odczyty liczników, bez pozostałych zasobów niezbędnych dla organizacji procesu odczytu (tzw. „back office” realizujący zadania związane z obsługą inkasentów itp.).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4"/>
              <w:gridCol w:w="2157"/>
            </w:tblGrid>
            <w:tr w:rsidR="00BA21B3" w:rsidRPr="00BA21B3" w:rsidTr="005762AF">
              <w:tc>
                <w:tcPr>
                  <w:tcW w:w="7054" w:type="dxa"/>
                  <w:shd w:val="clear" w:color="auto" w:fill="auto"/>
                </w:tcPr>
                <w:p w:rsidR="00BA21B3" w:rsidRPr="00BA21B3" w:rsidRDefault="00BA21B3" w:rsidP="00F05C55">
                  <w:pPr>
                    <w:spacing w:line="240" w:lineRule="auto"/>
                    <w:jc w:val="both"/>
                    <w:rPr>
                      <w:rFonts w:ascii="Times New Roman" w:hAnsi="Times New Roman"/>
                      <w:color w:val="000000"/>
                    </w:rPr>
                  </w:pPr>
                  <w:r w:rsidRPr="00BA21B3">
                    <w:rPr>
                      <w:rFonts w:ascii="Times New Roman" w:hAnsi="Times New Roman"/>
                      <w:color w:val="000000"/>
                    </w:rPr>
                    <w:t>Opis</w:t>
                  </w:r>
                </w:p>
              </w:tc>
              <w:tc>
                <w:tcPr>
                  <w:tcW w:w="2157" w:type="dxa"/>
                  <w:shd w:val="clear" w:color="auto" w:fill="auto"/>
                  <w:vAlign w:val="center"/>
                </w:tcPr>
                <w:p w:rsidR="00BA21B3" w:rsidRPr="00BA21B3" w:rsidRDefault="00BA21B3" w:rsidP="00BA21B3">
                  <w:pPr>
                    <w:spacing w:line="240" w:lineRule="auto"/>
                    <w:jc w:val="both"/>
                    <w:rPr>
                      <w:rFonts w:ascii="Times New Roman" w:hAnsi="Times New Roman"/>
                      <w:color w:val="000000"/>
                    </w:rPr>
                  </w:pPr>
                  <w:r w:rsidRPr="00BA21B3">
                    <w:rPr>
                      <w:rFonts w:ascii="Times New Roman" w:hAnsi="Times New Roman"/>
                      <w:color w:val="000000"/>
                    </w:rPr>
                    <w:t>Wartość liczbowa</w:t>
                  </w:r>
                </w:p>
              </w:tc>
            </w:tr>
            <w:tr w:rsidR="00BA21B3" w:rsidRPr="00BA21B3" w:rsidTr="005762AF">
              <w:tc>
                <w:tcPr>
                  <w:tcW w:w="7054" w:type="dxa"/>
                  <w:shd w:val="clear" w:color="auto" w:fill="auto"/>
                </w:tcPr>
                <w:p w:rsidR="00BA21B3" w:rsidRPr="00BA21B3" w:rsidRDefault="00BA21B3" w:rsidP="00F05C55">
                  <w:pPr>
                    <w:spacing w:line="240" w:lineRule="auto"/>
                    <w:jc w:val="both"/>
                    <w:rPr>
                      <w:rFonts w:ascii="Times New Roman" w:hAnsi="Times New Roman"/>
                      <w:color w:val="000000"/>
                    </w:rPr>
                  </w:pPr>
                  <w:r w:rsidRPr="00BA21B3">
                    <w:rPr>
                      <w:rFonts w:ascii="Times New Roman" w:hAnsi="Times New Roman"/>
                      <w:color w:val="000000"/>
                    </w:rPr>
                    <w:t>Liczba PPE w roku 2019 objętych odczytami</w:t>
                  </w:r>
                </w:p>
              </w:tc>
              <w:tc>
                <w:tcPr>
                  <w:tcW w:w="2157" w:type="dxa"/>
                  <w:shd w:val="clear" w:color="auto" w:fill="auto"/>
                  <w:vAlign w:val="center"/>
                </w:tcPr>
                <w:p w:rsidR="00BA21B3" w:rsidRPr="00BA21B3" w:rsidRDefault="00BA21B3" w:rsidP="00BA21B3">
                  <w:pPr>
                    <w:spacing w:line="240" w:lineRule="auto"/>
                    <w:jc w:val="both"/>
                    <w:rPr>
                      <w:rFonts w:ascii="Times New Roman" w:hAnsi="Times New Roman"/>
                      <w:color w:val="000000"/>
                    </w:rPr>
                  </w:pPr>
                  <w:r w:rsidRPr="00BA21B3">
                    <w:rPr>
                      <w:rFonts w:ascii="Times New Roman" w:hAnsi="Times New Roman"/>
                      <w:color w:val="000000"/>
                    </w:rPr>
                    <w:t>17 999 805</w:t>
                  </w:r>
                </w:p>
              </w:tc>
            </w:tr>
            <w:tr w:rsidR="00BA21B3" w:rsidRPr="00BA21B3" w:rsidTr="005762AF">
              <w:tc>
                <w:tcPr>
                  <w:tcW w:w="7054" w:type="dxa"/>
                  <w:shd w:val="clear" w:color="auto" w:fill="auto"/>
                </w:tcPr>
                <w:p w:rsidR="00BA21B3" w:rsidRPr="00BA21B3" w:rsidRDefault="00BA21B3" w:rsidP="00BA21B3">
                  <w:pPr>
                    <w:numPr>
                      <w:ilvl w:val="0"/>
                      <w:numId w:val="28"/>
                    </w:numPr>
                    <w:spacing w:line="240" w:lineRule="auto"/>
                    <w:jc w:val="both"/>
                    <w:rPr>
                      <w:rFonts w:ascii="Times New Roman" w:hAnsi="Times New Roman"/>
                      <w:color w:val="000000"/>
                    </w:rPr>
                  </w:pPr>
                  <w:r w:rsidRPr="00BA21B3">
                    <w:rPr>
                      <w:rFonts w:ascii="Times New Roman" w:hAnsi="Times New Roman"/>
                      <w:color w:val="000000"/>
                    </w:rPr>
                    <w:t>w tym PPE odczytywane lokalnie</w:t>
                  </w:r>
                </w:p>
              </w:tc>
              <w:tc>
                <w:tcPr>
                  <w:tcW w:w="2157" w:type="dxa"/>
                  <w:shd w:val="clear" w:color="auto" w:fill="auto"/>
                  <w:vAlign w:val="center"/>
                </w:tcPr>
                <w:p w:rsidR="00BA21B3" w:rsidRPr="00BA21B3" w:rsidRDefault="00BA21B3" w:rsidP="00BA21B3">
                  <w:pPr>
                    <w:spacing w:line="240" w:lineRule="auto"/>
                    <w:jc w:val="both"/>
                    <w:rPr>
                      <w:rFonts w:ascii="Times New Roman" w:hAnsi="Times New Roman"/>
                      <w:color w:val="000000"/>
                    </w:rPr>
                  </w:pPr>
                  <w:r w:rsidRPr="00BA21B3">
                    <w:rPr>
                      <w:rFonts w:ascii="Times New Roman" w:hAnsi="Times New Roman"/>
                      <w:color w:val="000000"/>
                    </w:rPr>
                    <w:t>16 231 763</w:t>
                  </w:r>
                </w:p>
              </w:tc>
            </w:tr>
            <w:tr w:rsidR="00BA21B3" w:rsidRPr="00BA21B3" w:rsidTr="005762AF">
              <w:tc>
                <w:tcPr>
                  <w:tcW w:w="7054" w:type="dxa"/>
                  <w:shd w:val="clear" w:color="auto" w:fill="auto"/>
                </w:tcPr>
                <w:p w:rsidR="00BA21B3" w:rsidRPr="00BA21B3" w:rsidRDefault="00BA21B3" w:rsidP="00BA21B3">
                  <w:pPr>
                    <w:numPr>
                      <w:ilvl w:val="0"/>
                      <w:numId w:val="28"/>
                    </w:numPr>
                    <w:spacing w:line="240" w:lineRule="auto"/>
                    <w:jc w:val="both"/>
                    <w:rPr>
                      <w:rFonts w:ascii="Times New Roman" w:hAnsi="Times New Roman"/>
                      <w:color w:val="000000"/>
                    </w:rPr>
                  </w:pPr>
                  <w:r w:rsidRPr="00BA21B3">
                    <w:rPr>
                      <w:rFonts w:ascii="Times New Roman" w:hAnsi="Times New Roman"/>
                      <w:color w:val="000000"/>
                    </w:rPr>
                    <w:t>w tym PPE odczytywane zdalnie</w:t>
                  </w:r>
                </w:p>
              </w:tc>
              <w:tc>
                <w:tcPr>
                  <w:tcW w:w="2157" w:type="dxa"/>
                  <w:shd w:val="clear" w:color="auto" w:fill="auto"/>
                  <w:vAlign w:val="center"/>
                </w:tcPr>
                <w:p w:rsidR="00BA21B3" w:rsidRPr="00BA21B3" w:rsidRDefault="00BA21B3" w:rsidP="00BA21B3">
                  <w:pPr>
                    <w:spacing w:line="240" w:lineRule="auto"/>
                    <w:jc w:val="both"/>
                    <w:rPr>
                      <w:rFonts w:ascii="Times New Roman" w:hAnsi="Times New Roman"/>
                      <w:color w:val="000000"/>
                    </w:rPr>
                  </w:pPr>
                  <w:r w:rsidRPr="00BA21B3">
                    <w:rPr>
                      <w:rFonts w:ascii="Times New Roman" w:hAnsi="Times New Roman"/>
                      <w:color w:val="000000"/>
                    </w:rPr>
                    <w:t>1 768 042</w:t>
                  </w:r>
                </w:p>
              </w:tc>
            </w:tr>
            <w:tr w:rsidR="00BA21B3" w:rsidRPr="00BA21B3" w:rsidTr="005762AF">
              <w:tc>
                <w:tcPr>
                  <w:tcW w:w="7054" w:type="dxa"/>
                  <w:shd w:val="clear" w:color="auto" w:fill="auto"/>
                </w:tcPr>
                <w:p w:rsidR="00BA21B3" w:rsidRPr="00BA21B3" w:rsidRDefault="00BA21B3" w:rsidP="00F05C55">
                  <w:pPr>
                    <w:spacing w:line="240" w:lineRule="auto"/>
                    <w:jc w:val="both"/>
                    <w:rPr>
                      <w:rFonts w:ascii="Times New Roman" w:hAnsi="Times New Roman"/>
                      <w:color w:val="000000"/>
                    </w:rPr>
                  </w:pPr>
                  <w:r w:rsidRPr="00BA21B3">
                    <w:rPr>
                      <w:rFonts w:ascii="Times New Roman" w:hAnsi="Times New Roman"/>
                      <w:color w:val="000000"/>
                    </w:rPr>
                    <w:t>Liczba wszystkich odczytów w roku 2019</w:t>
                  </w:r>
                </w:p>
              </w:tc>
              <w:tc>
                <w:tcPr>
                  <w:tcW w:w="2157" w:type="dxa"/>
                  <w:shd w:val="clear" w:color="auto" w:fill="auto"/>
                  <w:vAlign w:val="center"/>
                </w:tcPr>
                <w:p w:rsidR="00BA21B3" w:rsidRPr="00BA21B3" w:rsidRDefault="00BA21B3" w:rsidP="00BA21B3">
                  <w:pPr>
                    <w:spacing w:line="240" w:lineRule="auto"/>
                    <w:jc w:val="both"/>
                    <w:rPr>
                      <w:rFonts w:ascii="Times New Roman" w:hAnsi="Times New Roman"/>
                      <w:color w:val="000000"/>
                    </w:rPr>
                  </w:pPr>
                  <w:r w:rsidRPr="00BA21B3">
                    <w:rPr>
                      <w:rFonts w:ascii="Times New Roman" w:hAnsi="Times New Roman"/>
                      <w:color w:val="000000"/>
                    </w:rPr>
                    <w:t>70 924 146</w:t>
                  </w:r>
                </w:p>
              </w:tc>
            </w:tr>
            <w:tr w:rsidR="00BA21B3" w:rsidRPr="00BA21B3" w:rsidTr="005762AF">
              <w:tc>
                <w:tcPr>
                  <w:tcW w:w="7054" w:type="dxa"/>
                  <w:shd w:val="clear" w:color="auto" w:fill="auto"/>
                </w:tcPr>
                <w:p w:rsidR="00BA21B3" w:rsidRPr="00BA21B3" w:rsidRDefault="00BA21B3" w:rsidP="00F05C55">
                  <w:pPr>
                    <w:numPr>
                      <w:ilvl w:val="0"/>
                      <w:numId w:val="28"/>
                    </w:numPr>
                    <w:spacing w:line="240" w:lineRule="auto"/>
                    <w:jc w:val="both"/>
                    <w:rPr>
                      <w:rFonts w:ascii="Times New Roman" w:hAnsi="Times New Roman"/>
                      <w:color w:val="000000"/>
                    </w:rPr>
                  </w:pPr>
                  <w:r w:rsidRPr="00BA21B3">
                    <w:rPr>
                      <w:rFonts w:ascii="Times New Roman" w:hAnsi="Times New Roman"/>
                      <w:color w:val="000000"/>
                    </w:rPr>
                    <w:t>w tym liczba odczytów lokalnych</w:t>
                  </w:r>
                </w:p>
              </w:tc>
              <w:tc>
                <w:tcPr>
                  <w:tcW w:w="2157" w:type="dxa"/>
                  <w:shd w:val="clear" w:color="auto" w:fill="auto"/>
                  <w:vAlign w:val="center"/>
                </w:tcPr>
                <w:p w:rsidR="00BA21B3" w:rsidRPr="00BA21B3" w:rsidRDefault="00BA21B3" w:rsidP="00BA21B3">
                  <w:pPr>
                    <w:spacing w:line="240" w:lineRule="auto"/>
                    <w:jc w:val="both"/>
                    <w:rPr>
                      <w:rFonts w:ascii="Times New Roman" w:hAnsi="Times New Roman"/>
                      <w:color w:val="000000"/>
                    </w:rPr>
                  </w:pPr>
                  <w:r w:rsidRPr="00BA21B3">
                    <w:rPr>
                      <w:rFonts w:ascii="Times New Roman" w:hAnsi="Times New Roman"/>
                      <w:color w:val="000000"/>
                    </w:rPr>
                    <w:t>61 611 955</w:t>
                  </w:r>
                </w:p>
              </w:tc>
            </w:tr>
            <w:tr w:rsidR="00BA21B3" w:rsidRPr="00BA21B3" w:rsidTr="005762AF">
              <w:tc>
                <w:tcPr>
                  <w:tcW w:w="7054" w:type="dxa"/>
                  <w:shd w:val="clear" w:color="auto" w:fill="auto"/>
                </w:tcPr>
                <w:p w:rsidR="00BA21B3" w:rsidRPr="00BA21B3" w:rsidRDefault="00BA21B3" w:rsidP="00F05C55">
                  <w:pPr>
                    <w:numPr>
                      <w:ilvl w:val="0"/>
                      <w:numId w:val="28"/>
                    </w:numPr>
                    <w:spacing w:line="240" w:lineRule="auto"/>
                    <w:jc w:val="both"/>
                    <w:rPr>
                      <w:rFonts w:ascii="Times New Roman" w:hAnsi="Times New Roman"/>
                      <w:color w:val="000000"/>
                    </w:rPr>
                  </w:pPr>
                  <w:r w:rsidRPr="00BA21B3">
                    <w:rPr>
                      <w:rFonts w:ascii="Times New Roman" w:hAnsi="Times New Roman"/>
                      <w:color w:val="000000"/>
                    </w:rPr>
                    <w:t>w tym liczba odczytów zdalnych*</w:t>
                  </w:r>
                </w:p>
              </w:tc>
              <w:tc>
                <w:tcPr>
                  <w:tcW w:w="2157" w:type="dxa"/>
                  <w:shd w:val="clear" w:color="auto" w:fill="auto"/>
                  <w:vAlign w:val="center"/>
                </w:tcPr>
                <w:p w:rsidR="00BA21B3" w:rsidRPr="00BA21B3" w:rsidRDefault="00BA21B3" w:rsidP="00BA21B3">
                  <w:pPr>
                    <w:spacing w:line="240" w:lineRule="auto"/>
                    <w:jc w:val="both"/>
                    <w:rPr>
                      <w:rFonts w:ascii="Times New Roman" w:hAnsi="Times New Roman"/>
                      <w:color w:val="000000"/>
                    </w:rPr>
                  </w:pPr>
                  <w:r w:rsidRPr="00BA21B3">
                    <w:rPr>
                      <w:rFonts w:ascii="Times New Roman" w:hAnsi="Times New Roman"/>
                      <w:color w:val="000000"/>
                    </w:rPr>
                    <w:t>9 312 191</w:t>
                  </w:r>
                </w:p>
              </w:tc>
            </w:tr>
            <w:tr w:rsidR="00BA21B3" w:rsidRPr="00BA21B3" w:rsidTr="005762AF">
              <w:tc>
                <w:tcPr>
                  <w:tcW w:w="7054" w:type="dxa"/>
                  <w:shd w:val="clear" w:color="auto" w:fill="auto"/>
                </w:tcPr>
                <w:p w:rsidR="00BA21B3" w:rsidRPr="00BA21B3" w:rsidRDefault="00BA21B3" w:rsidP="00BA21B3">
                  <w:pPr>
                    <w:spacing w:line="240" w:lineRule="auto"/>
                    <w:jc w:val="both"/>
                    <w:rPr>
                      <w:rFonts w:ascii="Times New Roman" w:hAnsi="Times New Roman"/>
                      <w:color w:val="000000"/>
                    </w:rPr>
                  </w:pPr>
                  <w:r w:rsidRPr="00BA21B3">
                    <w:rPr>
                      <w:rFonts w:ascii="Times New Roman" w:hAnsi="Times New Roman"/>
                      <w:color w:val="000000"/>
                    </w:rPr>
                    <w:t>Liczba odczytów zleconych podmiotom zewnętrznym</w:t>
                  </w:r>
                </w:p>
              </w:tc>
              <w:tc>
                <w:tcPr>
                  <w:tcW w:w="2157" w:type="dxa"/>
                  <w:shd w:val="clear" w:color="auto" w:fill="auto"/>
                  <w:vAlign w:val="center"/>
                </w:tcPr>
                <w:p w:rsidR="00BA21B3" w:rsidRPr="00BA21B3" w:rsidRDefault="00BA21B3" w:rsidP="00BA21B3">
                  <w:pPr>
                    <w:spacing w:line="240" w:lineRule="auto"/>
                    <w:jc w:val="both"/>
                    <w:rPr>
                      <w:rFonts w:ascii="Times New Roman" w:hAnsi="Times New Roman"/>
                      <w:color w:val="000000"/>
                    </w:rPr>
                  </w:pPr>
                  <w:r w:rsidRPr="00BA21B3">
                    <w:rPr>
                      <w:rFonts w:ascii="Times New Roman" w:hAnsi="Times New Roman"/>
                      <w:color w:val="000000"/>
                    </w:rPr>
                    <w:t>70,7%</w:t>
                  </w:r>
                </w:p>
              </w:tc>
            </w:tr>
            <w:tr w:rsidR="00BA21B3" w:rsidRPr="00BA21B3" w:rsidTr="005762AF">
              <w:tc>
                <w:tcPr>
                  <w:tcW w:w="7054" w:type="dxa"/>
                  <w:shd w:val="clear" w:color="auto" w:fill="auto"/>
                </w:tcPr>
                <w:p w:rsidR="00BA21B3" w:rsidRPr="00BA21B3" w:rsidRDefault="00BA21B3" w:rsidP="00F05C55">
                  <w:pPr>
                    <w:spacing w:line="240" w:lineRule="auto"/>
                    <w:jc w:val="both"/>
                    <w:rPr>
                      <w:rFonts w:ascii="Times New Roman" w:hAnsi="Times New Roman"/>
                      <w:color w:val="000000"/>
                    </w:rPr>
                  </w:pPr>
                  <w:r w:rsidRPr="00BA21B3">
                    <w:rPr>
                      <w:rFonts w:ascii="Times New Roman" w:hAnsi="Times New Roman"/>
                      <w:color w:val="000000"/>
                    </w:rPr>
                    <w:lastRenderedPageBreak/>
                    <w:t>Liczba osób, w przeliczeniu na pełne etaty, zajmujących się odczytem liczników energii elektrycznej (etaty w OSD)</w:t>
                  </w:r>
                </w:p>
              </w:tc>
              <w:tc>
                <w:tcPr>
                  <w:tcW w:w="2157" w:type="dxa"/>
                  <w:shd w:val="clear" w:color="auto" w:fill="auto"/>
                  <w:vAlign w:val="center"/>
                </w:tcPr>
                <w:p w:rsidR="00BA21B3" w:rsidRPr="00BA21B3" w:rsidRDefault="00BA21B3" w:rsidP="00BA21B3">
                  <w:pPr>
                    <w:spacing w:line="240" w:lineRule="auto"/>
                    <w:jc w:val="both"/>
                    <w:rPr>
                      <w:rFonts w:ascii="Times New Roman" w:hAnsi="Times New Roman"/>
                      <w:color w:val="000000"/>
                    </w:rPr>
                  </w:pPr>
                  <w:r w:rsidRPr="00BA21B3">
                    <w:rPr>
                      <w:rFonts w:ascii="Times New Roman" w:hAnsi="Times New Roman"/>
                      <w:color w:val="000000"/>
                    </w:rPr>
                    <w:t>563</w:t>
                  </w:r>
                </w:p>
              </w:tc>
            </w:tr>
            <w:tr w:rsidR="00BA21B3" w:rsidRPr="00BA21B3" w:rsidTr="005762AF">
              <w:tc>
                <w:tcPr>
                  <w:tcW w:w="7054" w:type="dxa"/>
                  <w:shd w:val="clear" w:color="auto" w:fill="auto"/>
                </w:tcPr>
                <w:p w:rsidR="00BA21B3" w:rsidRPr="00BA21B3" w:rsidRDefault="00BA21B3" w:rsidP="00F05C55">
                  <w:pPr>
                    <w:spacing w:line="240" w:lineRule="auto"/>
                    <w:jc w:val="both"/>
                    <w:rPr>
                      <w:rFonts w:ascii="Times New Roman" w:hAnsi="Times New Roman"/>
                      <w:color w:val="000000"/>
                    </w:rPr>
                  </w:pPr>
                  <w:r w:rsidRPr="00BA21B3">
                    <w:rPr>
                      <w:rFonts w:ascii="Times New Roman" w:hAnsi="Times New Roman"/>
                      <w:color w:val="000000"/>
                    </w:rPr>
                    <w:t>Liczba osób, w przeliczeniu na pełne etaty, zajmujących się odczytem liczników energii elektrycznej (etaty szacowane w podmiotach zewnętrznych)</w:t>
                  </w:r>
                </w:p>
              </w:tc>
              <w:tc>
                <w:tcPr>
                  <w:tcW w:w="2157" w:type="dxa"/>
                  <w:shd w:val="clear" w:color="auto" w:fill="auto"/>
                  <w:vAlign w:val="center"/>
                </w:tcPr>
                <w:p w:rsidR="00BA21B3" w:rsidRPr="00BA21B3" w:rsidRDefault="00BA21B3" w:rsidP="00BA21B3">
                  <w:pPr>
                    <w:spacing w:line="240" w:lineRule="auto"/>
                    <w:jc w:val="both"/>
                    <w:rPr>
                      <w:rFonts w:ascii="Times New Roman" w:hAnsi="Times New Roman"/>
                      <w:color w:val="000000"/>
                    </w:rPr>
                  </w:pPr>
                  <w:r w:rsidRPr="00BA21B3">
                    <w:rPr>
                      <w:rFonts w:ascii="Times New Roman" w:hAnsi="Times New Roman"/>
                      <w:color w:val="000000"/>
                    </w:rPr>
                    <w:t>1 546</w:t>
                  </w:r>
                </w:p>
              </w:tc>
            </w:tr>
          </w:tbl>
          <w:p w:rsidR="00BA21B3" w:rsidRPr="00BA21B3" w:rsidRDefault="00BA21B3" w:rsidP="00BA21B3">
            <w:pPr>
              <w:spacing w:line="240" w:lineRule="auto"/>
              <w:jc w:val="both"/>
              <w:rPr>
                <w:rFonts w:ascii="Times New Roman" w:hAnsi="Times New Roman"/>
                <w:bCs/>
                <w:color w:val="000000"/>
              </w:rPr>
            </w:pPr>
            <w:r w:rsidRPr="00BA21B3">
              <w:rPr>
                <w:rFonts w:ascii="Times New Roman" w:hAnsi="Times New Roman"/>
                <w:bCs/>
                <w:color w:val="000000"/>
              </w:rPr>
              <w:t>* - w tabeli podano ilość odczytów rozliczeniowe (podawane Sprzedawcy służące do rozliczenia Odbiorcy).</w:t>
            </w:r>
          </w:p>
          <w:p w:rsidR="00BA21B3" w:rsidRPr="00BA21B3" w:rsidRDefault="00BA21B3" w:rsidP="00BA21B3">
            <w:pPr>
              <w:spacing w:line="240" w:lineRule="auto"/>
              <w:jc w:val="both"/>
              <w:rPr>
                <w:rFonts w:ascii="Times New Roman" w:hAnsi="Times New Roman"/>
                <w:b/>
                <w:color w:val="000000"/>
              </w:rPr>
            </w:pPr>
            <w:r w:rsidRPr="00BA21B3">
              <w:rPr>
                <w:rFonts w:ascii="Times New Roman" w:hAnsi="Times New Roman"/>
                <w:b/>
                <w:color w:val="000000"/>
              </w:rPr>
              <w:t>Instalacja liczników energii elektrycznej</w:t>
            </w:r>
          </w:p>
          <w:p w:rsidR="00BA21B3" w:rsidRPr="00BA21B3" w:rsidRDefault="00BA21B3" w:rsidP="00BA21B3">
            <w:pPr>
              <w:spacing w:line="240" w:lineRule="auto"/>
              <w:jc w:val="both"/>
              <w:rPr>
                <w:rFonts w:ascii="Times New Roman" w:hAnsi="Times New Roman"/>
                <w:color w:val="000000"/>
              </w:rPr>
            </w:pPr>
            <w:r w:rsidRPr="00BA21B3">
              <w:rPr>
                <w:rFonts w:ascii="Times New Roman" w:hAnsi="Times New Roman"/>
                <w:color w:val="000000"/>
              </w:rPr>
              <w:t>Ad vocem pkt. 3 poniżej zostały zaprezentowane dane dla OSD zrzeszonych w PTPiREE dotyczące instalacji liczników dla roku 2019.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4"/>
              <w:gridCol w:w="2157"/>
            </w:tblGrid>
            <w:tr w:rsidR="00BA21B3" w:rsidRPr="00BA21B3" w:rsidTr="005762AF">
              <w:tc>
                <w:tcPr>
                  <w:tcW w:w="7054" w:type="dxa"/>
                  <w:shd w:val="clear" w:color="auto" w:fill="auto"/>
                </w:tcPr>
                <w:p w:rsidR="00BA21B3" w:rsidRPr="00BA21B3" w:rsidRDefault="00BA21B3" w:rsidP="00BA21B3">
                  <w:pPr>
                    <w:spacing w:line="240" w:lineRule="auto"/>
                    <w:jc w:val="both"/>
                    <w:rPr>
                      <w:rFonts w:ascii="Times New Roman" w:hAnsi="Times New Roman"/>
                      <w:color w:val="000000"/>
                    </w:rPr>
                  </w:pPr>
                  <w:r w:rsidRPr="00BA21B3">
                    <w:rPr>
                      <w:rFonts w:ascii="Times New Roman" w:hAnsi="Times New Roman"/>
                      <w:color w:val="000000"/>
                    </w:rPr>
                    <w:t>Opis</w:t>
                  </w:r>
                </w:p>
              </w:tc>
              <w:tc>
                <w:tcPr>
                  <w:tcW w:w="2157" w:type="dxa"/>
                  <w:shd w:val="clear" w:color="auto" w:fill="auto"/>
                </w:tcPr>
                <w:p w:rsidR="00BA21B3" w:rsidRPr="00BA21B3" w:rsidRDefault="00BA21B3" w:rsidP="00BA21B3">
                  <w:pPr>
                    <w:spacing w:line="240" w:lineRule="auto"/>
                    <w:jc w:val="both"/>
                    <w:rPr>
                      <w:rFonts w:ascii="Times New Roman" w:hAnsi="Times New Roman"/>
                      <w:color w:val="000000"/>
                    </w:rPr>
                  </w:pPr>
                  <w:r w:rsidRPr="00BA21B3">
                    <w:rPr>
                      <w:rFonts w:ascii="Times New Roman" w:hAnsi="Times New Roman"/>
                      <w:color w:val="000000"/>
                    </w:rPr>
                    <w:t>Wartość liczbowa</w:t>
                  </w:r>
                </w:p>
              </w:tc>
            </w:tr>
            <w:tr w:rsidR="00BA21B3" w:rsidRPr="00BA21B3" w:rsidTr="005762AF">
              <w:tc>
                <w:tcPr>
                  <w:tcW w:w="7054" w:type="dxa"/>
                  <w:shd w:val="clear" w:color="auto" w:fill="auto"/>
                </w:tcPr>
                <w:p w:rsidR="00BA21B3" w:rsidRPr="00BA21B3" w:rsidRDefault="00BA21B3" w:rsidP="00F05C55">
                  <w:pPr>
                    <w:spacing w:line="240" w:lineRule="auto"/>
                    <w:jc w:val="both"/>
                    <w:rPr>
                      <w:rFonts w:ascii="Times New Roman" w:hAnsi="Times New Roman"/>
                      <w:color w:val="000000"/>
                    </w:rPr>
                  </w:pPr>
                  <w:r w:rsidRPr="00BA21B3">
                    <w:rPr>
                      <w:rFonts w:ascii="Times New Roman" w:hAnsi="Times New Roman"/>
                      <w:color w:val="000000"/>
                    </w:rPr>
                    <w:t>Liczba osób, w przeliczeniu na pełne etaty, trudniących się instalowaniem liczników energii elektrycznej w roku 2019</w:t>
                  </w:r>
                </w:p>
              </w:tc>
              <w:tc>
                <w:tcPr>
                  <w:tcW w:w="2157" w:type="dxa"/>
                  <w:shd w:val="clear" w:color="auto" w:fill="auto"/>
                </w:tcPr>
                <w:p w:rsidR="00BA21B3" w:rsidRPr="00BA21B3" w:rsidRDefault="00BA21B3" w:rsidP="00BA21B3">
                  <w:pPr>
                    <w:spacing w:line="240" w:lineRule="auto"/>
                    <w:jc w:val="both"/>
                    <w:rPr>
                      <w:rFonts w:ascii="Times New Roman" w:hAnsi="Times New Roman"/>
                      <w:color w:val="000000"/>
                    </w:rPr>
                  </w:pPr>
                  <w:r w:rsidRPr="00BA21B3">
                    <w:rPr>
                      <w:rFonts w:ascii="Times New Roman" w:hAnsi="Times New Roman"/>
                      <w:color w:val="000000"/>
                    </w:rPr>
                    <w:t>2 387</w:t>
                  </w:r>
                </w:p>
              </w:tc>
            </w:tr>
            <w:tr w:rsidR="00BA21B3" w:rsidRPr="00BA21B3" w:rsidTr="005762AF">
              <w:tc>
                <w:tcPr>
                  <w:tcW w:w="7054" w:type="dxa"/>
                  <w:shd w:val="clear" w:color="auto" w:fill="auto"/>
                </w:tcPr>
                <w:p w:rsidR="00BA21B3" w:rsidRPr="00BA21B3" w:rsidRDefault="00BA21B3" w:rsidP="00BA21B3">
                  <w:pPr>
                    <w:numPr>
                      <w:ilvl w:val="0"/>
                      <w:numId w:val="28"/>
                    </w:numPr>
                    <w:spacing w:line="240" w:lineRule="auto"/>
                    <w:jc w:val="both"/>
                    <w:rPr>
                      <w:rFonts w:ascii="Times New Roman" w:hAnsi="Times New Roman"/>
                      <w:color w:val="000000"/>
                    </w:rPr>
                  </w:pPr>
                  <w:r w:rsidRPr="00BA21B3">
                    <w:rPr>
                      <w:rFonts w:ascii="Times New Roman" w:hAnsi="Times New Roman"/>
                      <w:color w:val="000000"/>
                    </w:rPr>
                    <w:t>w tym pracownicy etatowi OSD</w:t>
                  </w:r>
                </w:p>
              </w:tc>
              <w:tc>
                <w:tcPr>
                  <w:tcW w:w="2157" w:type="dxa"/>
                  <w:shd w:val="clear" w:color="auto" w:fill="auto"/>
                </w:tcPr>
                <w:p w:rsidR="00BA21B3" w:rsidRPr="00BA21B3" w:rsidRDefault="00BA21B3" w:rsidP="00BA21B3">
                  <w:pPr>
                    <w:spacing w:line="240" w:lineRule="auto"/>
                    <w:jc w:val="both"/>
                    <w:rPr>
                      <w:rFonts w:ascii="Times New Roman" w:hAnsi="Times New Roman"/>
                      <w:color w:val="000000"/>
                    </w:rPr>
                  </w:pPr>
                  <w:r w:rsidRPr="00BA21B3">
                    <w:rPr>
                      <w:rFonts w:ascii="Times New Roman" w:hAnsi="Times New Roman"/>
                      <w:color w:val="000000"/>
                    </w:rPr>
                    <w:t>996</w:t>
                  </w:r>
                </w:p>
              </w:tc>
            </w:tr>
          </w:tbl>
          <w:p w:rsidR="00BA21B3" w:rsidRPr="00BA21B3" w:rsidRDefault="00BA21B3" w:rsidP="00BA21B3">
            <w:pPr>
              <w:spacing w:line="240" w:lineRule="auto"/>
              <w:jc w:val="both"/>
              <w:rPr>
                <w:rFonts w:ascii="Times New Roman" w:hAnsi="Times New Roman"/>
                <w:color w:val="000000"/>
              </w:rPr>
            </w:pPr>
            <w:r w:rsidRPr="00BA21B3">
              <w:rPr>
                <w:rFonts w:ascii="Times New Roman" w:hAnsi="Times New Roman"/>
                <w:color w:val="000000"/>
              </w:rPr>
              <w:t xml:space="preserve">Ad vocem pkt. 4 na obecnym etapie OSD nie są w stanie przedstawić stosownych analiz w tym zakresie. Przeprowadzenie prac analitycznych uzależnione jest od przyjętych regulacji prawnych w zakresie docelowego modelu rynku energii elektrycznej, w tym organizacji procesów biznesowych i zapewnienia narzędzi informatycznych dedykowanych do ich obsługi. Analiza wymaga uprzedniego pozyskania reprezentatywnych danych, a jej opracowanie możliwe będzie po rozpoczęciu masowego wdrożenia </w:t>
            </w:r>
            <w:r w:rsidR="00F05C55">
              <w:rPr>
                <w:rFonts w:ascii="Times New Roman" w:hAnsi="Times New Roman"/>
                <w:color w:val="000000"/>
              </w:rPr>
              <w:t>liczników zdalnego odczytu</w:t>
            </w:r>
            <w:r w:rsidRPr="00BA21B3">
              <w:rPr>
                <w:rFonts w:ascii="Times New Roman" w:hAnsi="Times New Roman"/>
                <w:color w:val="000000"/>
              </w:rPr>
              <w:t>, zgodnie z przyjętymi założeniami tj. według przyjętego harmonogramu oraz zgodnie z określonymi wymaganiami prawnymi i technicznymi (w tym m.in. w zakresie technologii komunikacyjnej oraz funkcjonalności liczników).</w:t>
            </w:r>
          </w:p>
          <w:p w:rsidR="00BA21B3" w:rsidRDefault="00BA21B3" w:rsidP="00BA21B3">
            <w:pPr>
              <w:spacing w:line="240" w:lineRule="auto"/>
              <w:jc w:val="both"/>
              <w:rPr>
                <w:rFonts w:ascii="Times New Roman" w:hAnsi="Times New Roman"/>
                <w:color w:val="000000"/>
              </w:rPr>
            </w:pPr>
            <w:r w:rsidRPr="00BA21B3">
              <w:rPr>
                <w:rFonts w:ascii="Times New Roman" w:hAnsi="Times New Roman"/>
                <w:color w:val="000000"/>
              </w:rPr>
              <w:t>Na baz</w:t>
            </w:r>
            <w:r w:rsidR="00354A55">
              <w:rPr>
                <w:rFonts w:ascii="Times New Roman" w:hAnsi="Times New Roman"/>
                <w:color w:val="000000"/>
              </w:rPr>
              <w:t>ie dotychczasowych doświadczeń ogólnie można</w:t>
            </w:r>
            <w:r w:rsidRPr="00BA21B3">
              <w:rPr>
                <w:rFonts w:ascii="Times New Roman" w:hAnsi="Times New Roman"/>
                <w:color w:val="000000"/>
              </w:rPr>
              <w:t xml:space="preserve"> stwierdzić</w:t>
            </w:r>
            <w:r w:rsidR="00354A55">
              <w:rPr>
                <w:rFonts w:ascii="Times New Roman" w:hAnsi="Times New Roman"/>
                <w:color w:val="000000"/>
              </w:rPr>
              <w:t>,</w:t>
            </w:r>
            <w:r w:rsidRPr="00BA21B3">
              <w:rPr>
                <w:rFonts w:ascii="Times New Roman" w:hAnsi="Times New Roman"/>
                <w:color w:val="000000"/>
              </w:rPr>
              <w:t xml:space="preserve"> że konieczne będzie stopniowe przekwalifikowanie etatów inkasenckich na stanowiska specjalistyczne, związane z eksploatacją liczników będących urządzeniami pomiarowo-komunikacyjnymi.</w:t>
            </w:r>
            <w:r w:rsidR="00E56E70">
              <w:rPr>
                <w:rFonts w:ascii="Times New Roman" w:hAnsi="Times New Roman"/>
                <w:color w:val="000000"/>
              </w:rPr>
              <w:t xml:space="preserve"> </w:t>
            </w:r>
          </w:p>
          <w:p w:rsidR="00E56E70" w:rsidRDefault="00E56E70" w:rsidP="00BA21B3">
            <w:pPr>
              <w:spacing w:line="240" w:lineRule="auto"/>
              <w:jc w:val="both"/>
              <w:rPr>
                <w:rFonts w:ascii="Times New Roman" w:hAnsi="Times New Roman"/>
                <w:color w:val="000000"/>
              </w:rPr>
            </w:pPr>
            <w:r>
              <w:rPr>
                <w:rFonts w:ascii="Times New Roman" w:hAnsi="Times New Roman"/>
                <w:color w:val="000000"/>
              </w:rPr>
              <w:t>Masowa instalacja liczników zdalnego odczytu pociągnie za sobą następujące konsekwencje jeżeli chodzi o rynek pracy:</w:t>
            </w:r>
          </w:p>
          <w:p w:rsidR="00E56E70" w:rsidRDefault="00E56E70" w:rsidP="00BA21B3">
            <w:pPr>
              <w:spacing w:line="240" w:lineRule="auto"/>
              <w:jc w:val="both"/>
              <w:rPr>
                <w:rFonts w:ascii="Times New Roman" w:hAnsi="Times New Roman"/>
                <w:color w:val="000000"/>
              </w:rPr>
            </w:pPr>
            <w:r>
              <w:rPr>
                <w:rFonts w:ascii="Times New Roman" w:hAnsi="Times New Roman"/>
                <w:color w:val="000000"/>
              </w:rPr>
              <w:t>Pozytywne:</w:t>
            </w:r>
          </w:p>
          <w:p w:rsidR="00E56E70" w:rsidRPr="00E56E70" w:rsidRDefault="00354A55" w:rsidP="00E56E70">
            <w:pPr>
              <w:spacing w:line="240" w:lineRule="auto"/>
              <w:jc w:val="both"/>
              <w:rPr>
                <w:rFonts w:ascii="Times New Roman" w:hAnsi="Times New Roman"/>
                <w:color w:val="000000"/>
              </w:rPr>
            </w:pPr>
            <w:r>
              <w:rPr>
                <w:rFonts w:ascii="Times New Roman" w:hAnsi="Times New Roman"/>
                <w:color w:val="000000"/>
              </w:rPr>
              <w:t xml:space="preserve">1. </w:t>
            </w:r>
            <w:r w:rsidR="00E56E70" w:rsidRPr="00E56E70">
              <w:rPr>
                <w:rFonts w:ascii="Times New Roman" w:hAnsi="Times New Roman"/>
                <w:color w:val="000000"/>
              </w:rPr>
              <w:t>Więcej wyso</w:t>
            </w:r>
            <w:r>
              <w:rPr>
                <w:rFonts w:ascii="Times New Roman" w:hAnsi="Times New Roman"/>
                <w:color w:val="000000"/>
              </w:rPr>
              <w:t>kowykwalifikowanych pracowników</w:t>
            </w:r>
          </w:p>
          <w:p w:rsidR="00E56E70" w:rsidRPr="00E56E70" w:rsidRDefault="00354A55" w:rsidP="00E56E70">
            <w:pPr>
              <w:spacing w:line="240" w:lineRule="auto"/>
              <w:jc w:val="both"/>
              <w:rPr>
                <w:rFonts w:ascii="Times New Roman" w:hAnsi="Times New Roman"/>
                <w:color w:val="000000"/>
              </w:rPr>
            </w:pPr>
            <w:r>
              <w:rPr>
                <w:rFonts w:ascii="Times New Roman" w:hAnsi="Times New Roman"/>
                <w:color w:val="000000"/>
              </w:rPr>
              <w:t xml:space="preserve">2. </w:t>
            </w:r>
            <w:r w:rsidR="00E56E70" w:rsidRPr="00E56E70">
              <w:rPr>
                <w:rFonts w:ascii="Times New Roman" w:hAnsi="Times New Roman"/>
                <w:color w:val="000000"/>
              </w:rPr>
              <w:t>Wyższa intensywność pracy</w:t>
            </w:r>
          </w:p>
          <w:p w:rsidR="00E56E70" w:rsidRPr="00E56E70" w:rsidRDefault="00354A55" w:rsidP="00E56E70">
            <w:pPr>
              <w:spacing w:line="240" w:lineRule="auto"/>
              <w:jc w:val="both"/>
              <w:rPr>
                <w:rFonts w:ascii="Times New Roman" w:hAnsi="Times New Roman"/>
                <w:color w:val="000000"/>
              </w:rPr>
            </w:pPr>
            <w:r>
              <w:rPr>
                <w:rFonts w:ascii="Times New Roman" w:hAnsi="Times New Roman"/>
                <w:color w:val="000000"/>
              </w:rPr>
              <w:t xml:space="preserve">3. </w:t>
            </w:r>
            <w:r w:rsidR="00E56E70" w:rsidRPr="00E56E70">
              <w:rPr>
                <w:rFonts w:ascii="Times New Roman" w:hAnsi="Times New Roman"/>
                <w:color w:val="000000"/>
              </w:rPr>
              <w:t>Lepsze wykorzystanie pracowników</w:t>
            </w:r>
          </w:p>
          <w:p w:rsidR="00E56E70" w:rsidRDefault="00354A55" w:rsidP="00E56E70">
            <w:pPr>
              <w:spacing w:line="240" w:lineRule="auto"/>
              <w:jc w:val="both"/>
              <w:rPr>
                <w:rFonts w:ascii="Times New Roman" w:hAnsi="Times New Roman"/>
                <w:color w:val="000000"/>
              </w:rPr>
            </w:pPr>
            <w:r>
              <w:rPr>
                <w:rFonts w:ascii="Times New Roman" w:hAnsi="Times New Roman"/>
                <w:color w:val="000000"/>
              </w:rPr>
              <w:t xml:space="preserve">4. </w:t>
            </w:r>
            <w:r w:rsidR="00E56E70" w:rsidRPr="00E56E70">
              <w:rPr>
                <w:rFonts w:ascii="Times New Roman" w:hAnsi="Times New Roman"/>
                <w:color w:val="000000"/>
              </w:rPr>
              <w:t>Proces reorganizacji jest scentralizowany i zależny od polityki regionalnej</w:t>
            </w:r>
          </w:p>
          <w:p w:rsidR="00E56E70" w:rsidRPr="00E56E70" w:rsidRDefault="00354A55" w:rsidP="00E56E70">
            <w:pPr>
              <w:spacing w:line="240" w:lineRule="auto"/>
              <w:jc w:val="both"/>
              <w:rPr>
                <w:rFonts w:ascii="Times New Roman" w:hAnsi="Times New Roman"/>
                <w:color w:val="000000"/>
              </w:rPr>
            </w:pPr>
            <w:r>
              <w:rPr>
                <w:rFonts w:ascii="Times New Roman" w:hAnsi="Times New Roman"/>
                <w:color w:val="000000"/>
              </w:rPr>
              <w:t xml:space="preserve">5. </w:t>
            </w:r>
            <w:r w:rsidR="00E56E70" w:rsidRPr="00E56E70">
              <w:rPr>
                <w:rFonts w:ascii="Times New Roman" w:hAnsi="Times New Roman"/>
                <w:color w:val="000000"/>
              </w:rPr>
              <w:t>Rozwój nowych branż</w:t>
            </w:r>
          </w:p>
          <w:p w:rsidR="00E56E70" w:rsidRPr="00E56E70" w:rsidRDefault="00354A55" w:rsidP="00E56E70">
            <w:pPr>
              <w:spacing w:line="240" w:lineRule="auto"/>
              <w:jc w:val="both"/>
              <w:rPr>
                <w:rFonts w:ascii="Times New Roman" w:hAnsi="Times New Roman"/>
                <w:color w:val="000000"/>
              </w:rPr>
            </w:pPr>
            <w:r>
              <w:rPr>
                <w:rFonts w:ascii="Times New Roman" w:hAnsi="Times New Roman"/>
                <w:color w:val="000000"/>
              </w:rPr>
              <w:t>6. Uelastycznienie zatrudnienia</w:t>
            </w:r>
          </w:p>
          <w:p w:rsidR="00E56E70" w:rsidRPr="00E56E70" w:rsidRDefault="00354A55" w:rsidP="00E56E70">
            <w:pPr>
              <w:spacing w:line="240" w:lineRule="auto"/>
              <w:jc w:val="both"/>
              <w:rPr>
                <w:rFonts w:ascii="Times New Roman" w:hAnsi="Times New Roman"/>
                <w:color w:val="000000"/>
              </w:rPr>
            </w:pPr>
            <w:r>
              <w:rPr>
                <w:rFonts w:ascii="Times New Roman" w:hAnsi="Times New Roman"/>
                <w:color w:val="000000"/>
              </w:rPr>
              <w:t xml:space="preserve">7. </w:t>
            </w:r>
            <w:r w:rsidR="00E56E70" w:rsidRPr="00E56E70">
              <w:rPr>
                <w:rFonts w:ascii="Times New Roman" w:hAnsi="Times New Roman"/>
                <w:color w:val="000000"/>
              </w:rPr>
              <w:t xml:space="preserve">Optymalizacja kosztów przez outsourcing </w:t>
            </w:r>
          </w:p>
          <w:p w:rsidR="00E56E70" w:rsidRPr="00E56E70" w:rsidRDefault="00354A55" w:rsidP="00E56E70">
            <w:pPr>
              <w:spacing w:line="240" w:lineRule="auto"/>
              <w:jc w:val="both"/>
              <w:rPr>
                <w:rFonts w:ascii="Times New Roman" w:hAnsi="Times New Roman"/>
                <w:color w:val="000000"/>
              </w:rPr>
            </w:pPr>
            <w:r>
              <w:rPr>
                <w:rFonts w:ascii="Times New Roman" w:hAnsi="Times New Roman"/>
                <w:color w:val="000000"/>
              </w:rPr>
              <w:t xml:space="preserve">8. </w:t>
            </w:r>
            <w:r w:rsidR="00E56E70" w:rsidRPr="00E56E70">
              <w:rPr>
                <w:rFonts w:ascii="Times New Roman" w:hAnsi="Times New Roman"/>
                <w:color w:val="000000"/>
              </w:rPr>
              <w:t>Podniesienie kompetencji pracowników przez szkolenie w nowych technologiach</w:t>
            </w:r>
          </w:p>
          <w:p w:rsidR="00E56E70" w:rsidRDefault="00354A55" w:rsidP="00E56E70">
            <w:pPr>
              <w:spacing w:line="240" w:lineRule="auto"/>
              <w:jc w:val="both"/>
              <w:rPr>
                <w:rFonts w:ascii="Times New Roman" w:hAnsi="Times New Roman"/>
                <w:color w:val="000000"/>
              </w:rPr>
            </w:pPr>
            <w:r>
              <w:rPr>
                <w:rFonts w:ascii="Times New Roman" w:hAnsi="Times New Roman"/>
                <w:color w:val="000000"/>
              </w:rPr>
              <w:t xml:space="preserve">9. </w:t>
            </w:r>
            <w:r w:rsidR="00E56E70" w:rsidRPr="00E56E70">
              <w:rPr>
                <w:rFonts w:ascii="Times New Roman" w:hAnsi="Times New Roman"/>
                <w:color w:val="000000"/>
              </w:rPr>
              <w:t>Wyższe zarobki</w:t>
            </w:r>
          </w:p>
          <w:p w:rsidR="00E56E70" w:rsidRDefault="00E56E70" w:rsidP="00E56E70">
            <w:pPr>
              <w:spacing w:line="240" w:lineRule="auto"/>
              <w:jc w:val="both"/>
              <w:rPr>
                <w:rFonts w:ascii="Times New Roman" w:hAnsi="Times New Roman"/>
                <w:color w:val="000000"/>
              </w:rPr>
            </w:pPr>
            <w:r>
              <w:rPr>
                <w:rFonts w:ascii="Times New Roman" w:hAnsi="Times New Roman"/>
                <w:color w:val="000000"/>
              </w:rPr>
              <w:t>Negatywne:</w:t>
            </w:r>
          </w:p>
          <w:p w:rsidR="00E56E70" w:rsidRPr="00E56E70" w:rsidRDefault="00354A55" w:rsidP="00E56E70">
            <w:pPr>
              <w:spacing w:line="240" w:lineRule="auto"/>
              <w:jc w:val="both"/>
              <w:rPr>
                <w:rFonts w:ascii="Times New Roman" w:hAnsi="Times New Roman"/>
                <w:color w:val="000000"/>
              </w:rPr>
            </w:pPr>
            <w:r>
              <w:rPr>
                <w:rFonts w:ascii="Times New Roman" w:hAnsi="Times New Roman"/>
                <w:color w:val="000000"/>
              </w:rPr>
              <w:t xml:space="preserve">1. </w:t>
            </w:r>
            <w:r w:rsidR="00E56E70" w:rsidRPr="00E56E70">
              <w:rPr>
                <w:rFonts w:ascii="Times New Roman" w:hAnsi="Times New Roman"/>
                <w:color w:val="000000"/>
              </w:rPr>
              <w:t>Utrata pracy dla osób bez wyształcenia</w:t>
            </w:r>
          </w:p>
          <w:p w:rsidR="00E56E70" w:rsidRDefault="00354A55" w:rsidP="00E56E70">
            <w:pPr>
              <w:spacing w:line="240" w:lineRule="auto"/>
              <w:jc w:val="both"/>
              <w:rPr>
                <w:rFonts w:ascii="Times New Roman" w:hAnsi="Times New Roman"/>
                <w:color w:val="000000"/>
              </w:rPr>
            </w:pPr>
            <w:r>
              <w:rPr>
                <w:rFonts w:ascii="Times New Roman" w:hAnsi="Times New Roman"/>
                <w:color w:val="000000"/>
              </w:rPr>
              <w:t xml:space="preserve">2. </w:t>
            </w:r>
            <w:r w:rsidR="00E56E70" w:rsidRPr="00E56E70">
              <w:rPr>
                <w:rFonts w:ascii="Times New Roman" w:hAnsi="Times New Roman"/>
                <w:color w:val="000000"/>
              </w:rPr>
              <w:t>Odejście pracowników z branży</w:t>
            </w:r>
          </w:p>
          <w:p w:rsidR="00E56E70" w:rsidRPr="00E56E70" w:rsidRDefault="00354A55" w:rsidP="00E56E70">
            <w:pPr>
              <w:spacing w:line="240" w:lineRule="auto"/>
              <w:jc w:val="both"/>
              <w:rPr>
                <w:rFonts w:ascii="Times New Roman" w:hAnsi="Times New Roman"/>
                <w:color w:val="000000"/>
              </w:rPr>
            </w:pPr>
            <w:r>
              <w:rPr>
                <w:rFonts w:ascii="Times New Roman" w:hAnsi="Times New Roman"/>
                <w:color w:val="000000"/>
              </w:rPr>
              <w:t xml:space="preserve">3. </w:t>
            </w:r>
            <w:r w:rsidR="00E56E70" w:rsidRPr="00E56E70">
              <w:rPr>
                <w:rFonts w:ascii="Times New Roman" w:hAnsi="Times New Roman"/>
                <w:color w:val="000000"/>
              </w:rPr>
              <w:t>Wcześniejsze przechodzenie na emeryturę starych pracowników</w:t>
            </w:r>
          </w:p>
          <w:p w:rsidR="00E56E70" w:rsidRPr="00BA21B3" w:rsidRDefault="00354A55" w:rsidP="00E56E70">
            <w:pPr>
              <w:spacing w:line="240" w:lineRule="auto"/>
              <w:jc w:val="both"/>
              <w:rPr>
                <w:rFonts w:ascii="Times New Roman" w:hAnsi="Times New Roman"/>
                <w:color w:val="000000"/>
              </w:rPr>
            </w:pPr>
            <w:r>
              <w:rPr>
                <w:rFonts w:ascii="Times New Roman" w:hAnsi="Times New Roman"/>
                <w:color w:val="000000"/>
              </w:rPr>
              <w:t xml:space="preserve">4. </w:t>
            </w:r>
            <w:r w:rsidR="00E56E70" w:rsidRPr="00E56E70">
              <w:rPr>
                <w:rFonts w:ascii="Times New Roman" w:hAnsi="Times New Roman"/>
                <w:color w:val="000000"/>
              </w:rPr>
              <w:t>Opór dotychczasowych pracowników przed zmianą i przekwalifikowaniem</w:t>
            </w:r>
          </w:p>
          <w:p w:rsidR="00354A55" w:rsidRPr="00354A55" w:rsidRDefault="00354A55" w:rsidP="00354A55">
            <w:pPr>
              <w:spacing w:line="240" w:lineRule="auto"/>
              <w:jc w:val="both"/>
              <w:rPr>
                <w:rFonts w:ascii="Times New Roman" w:hAnsi="Times New Roman"/>
                <w:color w:val="000000"/>
              </w:rPr>
            </w:pPr>
            <w:r w:rsidRPr="00354A55">
              <w:rPr>
                <w:rFonts w:ascii="Times New Roman" w:hAnsi="Times New Roman"/>
                <w:color w:val="000000"/>
              </w:rPr>
              <w:t>Wg amerykańskiej Fundacji Technologii Informacyjnej i Innowacji (ITIF) publiczne inwestycje w inteligentne liczniki w USA doprowadzą do znacznego wzrostu zatrudnienia w wielu branżach pośredniczących we wdrożeniu</w:t>
            </w:r>
            <w:r>
              <w:rPr>
                <w:rFonts w:ascii="Times New Roman" w:hAnsi="Times New Roman"/>
                <w:color w:val="000000"/>
              </w:rPr>
              <w:t xml:space="preserve"> inteligentnego opomiarowania</w:t>
            </w:r>
            <w:r w:rsidRPr="00354A55">
              <w:rPr>
                <w:rFonts w:ascii="Times New Roman" w:hAnsi="Times New Roman"/>
                <w:color w:val="000000"/>
              </w:rPr>
              <w:t>. Sam</w:t>
            </w:r>
            <w:r>
              <w:rPr>
                <w:rFonts w:ascii="Times New Roman" w:hAnsi="Times New Roman"/>
                <w:color w:val="000000"/>
              </w:rPr>
              <w:t>o wprowadzenie całego systemu</w:t>
            </w:r>
            <w:r w:rsidRPr="00354A55">
              <w:rPr>
                <w:rFonts w:ascii="Times New Roman" w:hAnsi="Times New Roman"/>
                <w:color w:val="000000"/>
              </w:rPr>
              <w:t xml:space="preserve"> wymaga długoletniego planu i wielu inwestycji w sieć pomiarową (IT, instalacja przyrządów pomiarowych, rozwinięcie sieci przesyłowych i dystrybucyjnych). W przypadku inwestycji w USA w </w:t>
            </w:r>
            <w:r>
              <w:rPr>
                <w:rFonts w:ascii="Times New Roman" w:hAnsi="Times New Roman"/>
                <w:color w:val="000000"/>
              </w:rPr>
              <w:t xml:space="preserve">inteligentne sieci </w:t>
            </w:r>
            <w:r w:rsidRPr="00354A55">
              <w:rPr>
                <w:rFonts w:ascii="Times New Roman" w:hAnsi="Times New Roman"/>
                <w:color w:val="000000"/>
              </w:rPr>
              <w:t>na poziomie 20 mld $ w ciągu lat, możliwe jest wytworzenie około 239 tysięcy miejsc pracy. We wspomnianej analizie zostały uwzględnione 3 scenariusze wsparcia rozwoju</w:t>
            </w:r>
            <w:r>
              <w:rPr>
                <w:rFonts w:ascii="Times New Roman" w:hAnsi="Times New Roman"/>
                <w:color w:val="000000"/>
              </w:rPr>
              <w:t xml:space="preserve"> inteligentnych sieci</w:t>
            </w:r>
            <w:r w:rsidRPr="00354A55">
              <w:rPr>
                <w:rFonts w:ascii="Times New Roman" w:hAnsi="Times New Roman"/>
                <w:color w:val="000000"/>
              </w:rPr>
              <w:t>, a ich wpływ na zatrudnienie przedstawia poniższa tabela:</w:t>
            </w:r>
          </w:p>
          <w:p w:rsidR="00354A55" w:rsidRPr="00354A55" w:rsidRDefault="00BA0D84" w:rsidP="00354A55">
            <w:pPr>
              <w:spacing w:line="240" w:lineRule="auto"/>
              <w:jc w:val="both"/>
              <w:rPr>
                <w:rFonts w:ascii="Times New Roman" w:hAnsi="Times New Roman"/>
                <w:color w:val="000000"/>
              </w:rPr>
            </w:pPr>
            <w:r>
              <w:rPr>
                <w:rFonts w:ascii="Times New Roman" w:hAnsi="Times New Roman"/>
                <w:noProof/>
                <w:color w:val="000000"/>
                <w:lang w:eastAsia="pl-PL"/>
              </w:rPr>
              <w:drawing>
                <wp:inline distT="0" distB="0" distL="0" distR="0">
                  <wp:extent cx="5761355" cy="1176655"/>
                  <wp:effectExtent l="1905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761355" cy="1176655"/>
                          </a:xfrm>
                          <a:prstGeom prst="rect">
                            <a:avLst/>
                          </a:prstGeom>
                          <a:noFill/>
                        </pic:spPr>
                      </pic:pic>
                    </a:graphicData>
                  </a:graphic>
                </wp:inline>
              </w:drawing>
            </w:r>
            <w:r w:rsidR="00354A55" w:rsidRPr="00354A55">
              <w:rPr>
                <w:rFonts w:ascii="Times New Roman" w:hAnsi="Times New Roman"/>
                <w:color w:val="000000"/>
              </w:rPr>
              <w:t xml:space="preserve"> </w:t>
            </w:r>
          </w:p>
          <w:p w:rsidR="00354A55" w:rsidRPr="00354A55" w:rsidRDefault="00354A55" w:rsidP="00354A55">
            <w:pPr>
              <w:spacing w:line="240" w:lineRule="auto"/>
              <w:jc w:val="both"/>
              <w:rPr>
                <w:rFonts w:ascii="Times New Roman" w:hAnsi="Times New Roman"/>
                <w:color w:val="000000"/>
              </w:rPr>
            </w:pPr>
            <w:r w:rsidRPr="00354A55">
              <w:rPr>
                <w:rFonts w:ascii="Times New Roman" w:hAnsi="Times New Roman"/>
                <w:color w:val="000000"/>
              </w:rPr>
              <w:t>EU Skills Panorama (2014) przedstawia struktury i umiejętności ro</w:t>
            </w:r>
            <w:r w:rsidR="00DC391A">
              <w:rPr>
                <w:rFonts w:ascii="Times New Roman" w:hAnsi="Times New Roman"/>
                <w:color w:val="000000"/>
              </w:rPr>
              <w:t>zwijane w ramach wprowadzenia inteligentnego opomiarowania</w:t>
            </w:r>
            <w:r w:rsidRPr="00354A55">
              <w:rPr>
                <w:rFonts w:ascii="Times New Roman" w:hAnsi="Times New Roman"/>
                <w:color w:val="000000"/>
              </w:rPr>
              <w:t>:</w:t>
            </w:r>
          </w:p>
          <w:p w:rsidR="00354A55" w:rsidRPr="00354A55" w:rsidRDefault="00354A55" w:rsidP="00354A55">
            <w:pPr>
              <w:spacing w:line="240" w:lineRule="auto"/>
              <w:jc w:val="both"/>
              <w:rPr>
                <w:rFonts w:ascii="Times New Roman" w:hAnsi="Times New Roman"/>
                <w:color w:val="000000"/>
              </w:rPr>
            </w:pPr>
            <w:r w:rsidRPr="00354A55">
              <w:rPr>
                <w:rFonts w:ascii="Times New Roman" w:hAnsi="Times New Roman"/>
                <w:color w:val="000000"/>
              </w:rPr>
              <w:t>•</w:t>
            </w:r>
            <w:r w:rsidRPr="00354A55">
              <w:rPr>
                <w:rFonts w:ascii="Times New Roman" w:hAnsi="Times New Roman"/>
                <w:color w:val="000000"/>
              </w:rPr>
              <w:tab/>
              <w:t>Wiedza o rynku zielonej energii</w:t>
            </w:r>
          </w:p>
          <w:p w:rsidR="00354A55" w:rsidRPr="00354A55" w:rsidRDefault="00354A55" w:rsidP="00354A55">
            <w:pPr>
              <w:spacing w:line="240" w:lineRule="auto"/>
              <w:jc w:val="both"/>
              <w:rPr>
                <w:rFonts w:ascii="Times New Roman" w:hAnsi="Times New Roman"/>
                <w:color w:val="000000"/>
              </w:rPr>
            </w:pPr>
            <w:r w:rsidRPr="00354A55">
              <w:rPr>
                <w:rFonts w:ascii="Times New Roman" w:hAnsi="Times New Roman"/>
                <w:color w:val="000000"/>
              </w:rPr>
              <w:t>•</w:t>
            </w:r>
            <w:r w:rsidRPr="00354A55">
              <w:rPr>
                <w:rFonts w:ascii="Times New Roman" w:hAnsi="Times New Roman"/>
                <w:color w:val="000000"/>
              </w:rPr>
              <w:tab/>
              <w:t xml:space="preserve">Pomiary i zarządzanie inteligentnymi sieciami </w:t>
            </w:r>
          </w:p>
          <w:p w:rsidR="00354A55" w:rsidRPr="00354A55" w:rsidRDefault="00DC391A" w:rsidP="00354A55">
            <w:pPr>
              <w:spacing w:line="240" w:lineRule="auto"/>
              <w:jc w:val="both"/>
              <w:rPr>
                <w:rFonts w:ascii="Times New Roman" w:hAnsi="Times New Roman"/>
                <w:color w:val="000000"/>
              </w:rPr>
            </w:pPr>
            <w:r>
              <w:rPr>
                <w:rFonts w:ascii="Times New Roman" w:hAnsi="Times New Roman"/>
                <w:color w:val="000000"/>
              </w:rPr>
              <w:t>•</w:t>
            </w:r>
            <w:r>
              <w:rPr>
                <w:rFonts w:ascii="Times New Roman" w:hAnsi="Times New Roman"/>
                <w:color w:val="000000"/>
              </w:rPr>
              <w:tab/>
              <w:t xml:space="preserve">Systemu IT do obsługi </w:t>
            </w:r>
            <w:r w:rsidRPr="00DC391A">
              <w:rPr>
                <w:rFonts w:ascii="Times New Roman" w:hAnsi="Times New Roman"/>
                <w:color w:val="000000"/>
              </w:rPr>
              <w:t>inteligentnego opomiarowania</w:t>
            </w:r>
          </w:p>
          <w:p w:rsidR="00354A55" w:rsidRPr="00354A55" w:rsidRDefault="00354A55" w:rsidP="00354A55">
            <w:pPr>
              <w:spacing w:line="240" w:lineRule="auto"/>
              <w:jc w:val="both"/>
              <w:rPr>
                <w:rFonts w:ascii="Times New Roman" w:hAnsi="Times New Roman"/>
                <w:color w:val="000000"/>
              </w:rPr>
            </w:pPr>
            <w:r w:rsidRPr="00354A55">
              <w:rPr>
                <w:rFonts w:ascii="Times New Roman" w:hAnsi="Times New Roman"/>
                <w:color w:val="000000"/>
              </w:rPr>
              <w:t>•</w:t>
            </w:r>
            <w:r w:rsidRPr="00354A55">
              <w:rPr>
                <w:rFonts w:ascii="Times New Roman" w:hAnsi="Times New Roman"/>
                <w:color w:val="000000"/>
              </w:rPr>
              <w:tab/>
              <w:t>Współpraca z wytwórcami w celu opracowywania danych pomiarowych</w:t>
            </w:r>
          </w:p>
          <w:p w:rsidR="00354A55" w:rsidRPr="00354A55" w:rsidRDefault="00354A55" w:rsidP="00354A55">
            <w:pPr>
              <w:spacing w:line="240" w:lineRule="auto"/>
              <w:jc w:val="both"/>
              <w:rPr>
                <w:rFonts w:ascii="Times New Roman" w:hAnsi="Times New Roman"/>
                <w:color w:val="000000"/>
              </w:rPr>
            </w:pPr>
            <w:r w:rsidRPr="00354A55">
              <w:rPr>
                <w:rFonts w:ascii="Times New Roman" w:hAnsi="Times New Roman"/>
                <w:color w:val="000000"/>
              </w:rPr>
              <w:t>•</w:t>
            </w:r>
            <w:r w:rsidRPr="00354A55">
              <w:rPr>
                <w:rFonts w:ascii="Times New Roman" w:hAnsi="Times New Roman"/>
                <w:color w:val="000000"/>
              </w:rPr>
              <w:tab/>
              <w:t>Zarządzanie ryzy</w:t>
            </w:r>
            <w:r w:rsidR="00DC391A">
              <w:rPr>
                <w:rFonts w:ascii="Times New Roman" w:hAnsi="Times New Roman"/>
                <w:color w:val="000000"/>
              </w:rPr>
              <w:t xml:space="preserve">kiem związanym z użytkowaniem </w:t>
            </w:r>
            <w:r w:rsidR="00DC391A" w:rsidRPr="00DC391A">
              <w:rPr>
                <w:rFonts w:ascii="Times New Roman" w:hAnsi="Times New Roman"/>
                <w:color w:val="000000"/>
              </w:rPr>
              <w:t>inteligentnego opomiarowania</w:t>
            </w:r>
          </w:p>
          <w:p w:rsidR="00354A55" w:rsidRPr="00354A55" w:rsidRDefault="00DC391A" w:rsidP="00354A55">
            <w:pPr>
              <w:spacing w:line="240" w:lineRule="auto"/>
              <w:jc w:val="both"/>
              <w:rPr>
                <w:rFonts w:ascii="Times New Roman" w:hAnsi="Times New Roman"/>
                <w:color w:val="000000"/>
              </w:rPr>
            </w:pPr>
            <w:r>
              <w:rPr>
                <w:rFonts w:ascii="Times New Roman" w:hAnsi="Times New Roman"/>
                <w:color w:val="000000"/>
              </w:rPr>
              <w:t>•</w:t>
            </w:r>
            <w:r>
              <w:rPr>
                <w:rFonts w:ascii="Times New Roman" w:hAnsi="Times New Roman"/>
                <w:color w:val="000000"/>
              </w:rPr>
              <w:tab/>
              <w:t xml:space="preserve">Opracowanie modelu rozwoju </w:t>
            </w:r>
            <w:r w:rsidRPr="00DC391A">
              <w:rPr>
                <w:rFonts w:ascii="Times New Roman" w:hAnsi="Times New Roman"/>
                <w:color w:val="000000"/>
              </w:rPr>
              <w:t>inteligentnego opomiarowania</w:t>
            </w:r>
          </w:p>
          <w:p w:rsidR="00354A55" w:rsidRPr="00354A55" w:rsidRDefault="00DC391A" w:rsidP="00354A55">
            <w:pPr>
              <w:spacing w:line="240" w:lineRule="auto"/>
              <w:jc w:val="both"/>
              <w:rPr>
                <w:rFonts w:ascii="Times New Roman" w:hAnsi="Times New Roman"/>
                <w:color w:val="000000"/>
              </w:rPr>
            </w:pPr>
            <w:r>
              <w:rPr>
                <w:rFonts w:ascii="Times New Roman" w:hAnsi="Times New Roman"/>
                <w:color w:val="000000"/>
              </w:rPr>
              <w:t>•</w:t>
            </w:r>
            <w:r>
              <w:rPr>
                <w:rFonts w:ascii="Times New Roman" w:hAnsi="Times New Roman"/>
                <w:color w:val="000000"/>
              </w:rPr>
              <w:tab/>
              <w:t xml:space="preserve">Cyberbezpieczeństwo </w:t>
            </w:r>
            <w:r w:rsidRPr="00DC391A">
              <w:rPr>
                <w:rFonts w:ascii="Times New Roman" w:hAnsi="Times New Roman"/>
                <w:color w:val="000000"/>
              </w:rPr>
              <w:t>inteligentnego opomiarowania</w:t>
            </w:r>
          </w:p>
          <w:p w:rsidR="00354A55" w:rsidRPr="00354A55" w:rsidRDefault="00354A55" w:rsidP="00354A55">
            <w:pPr>
              <w:spacing w:line="240" w:lineRule="auto"/>
              <w:jc w:val="both"/>
              <w:rPr>
                <w:rFonts w:ascii="Times New Roman" w:hAnsi="Times New Roman"/>
                <w:color w:val="000000"/>
              </w:rPr>
            </w:pPr>
            <w:r w:rsidRPr="00354A55">
              <w:rPr>
                <w:rFonts w:ascii="Times New Roman" w:hAnsi="Times New Roman"/>
                <w:color w:val="000000"/>
              </w:rPr>
              <w:lastRenderedPageBreak/>
              <w:t xml:space="preserve">Biorąc pod uwagę rozwój powyższych branż, nie ma ryzyka permanentnego usunięcia etatów w branży elektroenergetycznej a jedynie rozwój i przesunięcie siły pracowniczej do branż pokrewnych. </w:t>
            </w:r>
          </w:p>
          <w:p w:rsidR="00354A55" w:rsidRPr="00354A55" w:rsidRDefault="00354A55" w:rsidP="00354A55">
            <w:pPr>
              <w:spacing w:line="240" w:lineRule="auto"/>
              <w:jc w:val="both"/>
              <w:rPr>
                <w:rFonts w:ascii="Times New Roman" w:hAnsi="Times New Roman"/>
                <w:color w:val="000000"/>
              </w:rPr>
            </w:pPr>
            <w:r w:rsidRPr="00354A55">
              <w:rPr>
                <w:rFonts w:ascii="Times New Roman" w:hAnsi="Times New Roman"/>
                <w:color w:val="000000"/>
              </w:rPr>
              <w:t>Źródła:</w:t>
            </w:r>
          </w:p>
          <w:p w:rsidR="00354A55" w:rsidRPr="00354A55" w:rsidRDefault="00354A55" w:rsidP="00354A55">
            <w:pPr>
              <w:spacing w:line="240" w:lineRule="auto"/>
              <w:jc w:val="both"/>
              <w:rPr>
                <w:rFonts w:ascii="Times New Roman" w:hAnsi="Times New Roman"/>
                <w:color w:val="000000"/>
              </w:rPr>
            </w:pPr>
            <w:r w:rsidRPr="00354A55">
              <w:rPr>
                <w:rFonts w:ascii="Times New Roman" w:hAnsi="Times New Roman"/>
                <w:color w:val="000000"/>
              </w:rPr>
              <w:t>https://www.miamiherald.com/latest-news/article1952272.html</w:t>
            </w:r>
          </w:p>
          <w:p w:rsidR="00354A55" w:rsidRPr="00354A55" w:rsidRDefault="00354A55" w:rsidP="00354A55">
            <w:pPr>
              <w:spacing w:line="240" w:lineRule="auto"/>
              <w:jc w:val="both"/>
              <w:rPr>
                <w:rFonts w:ascii="Times New Roman" w:hAnsi="Times New Roman"/>
                <w:color w:val="000000"/>
              </w:rPr>
            </w:pPr>
            <w:r w:rsidRPr="00354A55">
              <w:rPr>
                <w:rFonts w:ascii="Times New Roman" w:hAnsi="Times New Roman"/>
                <w:color w:val="000000"/>
              </w:rPr>
              <w:t>https://epsu.org/article/smart-meters-consider-employment-consequences-say-unions-and-employers</w:t>
            </w:r>
          </w:p>
          <w:p w:rsidR="00354A55" w:rsidRPr="00354A55" w:rsidRDefault="00354A55" w:rsidP="00354A55">
            <w:pPr>
              <w:spacing w:line="240" w:lineRule="auto"/>
              <w:jc w:val="both"/>
              <w:rPr>
                <w:rFonts w:ascii="Times New Roman" w:hAnsi="Times New Roman"/>
                <w:color w:val="000000"/>
              </w:rPr>
            </w:pPr>
            <w:r w:rsidRPr="00354A55">
              <w:rPr>
                <w:rFonts w:ascii="Times New Roman" w:hAnsi="Times New Roman"/>
                <w:color w:val="000000"/>
              </w:rPr>
              <w:t>https://itif.org/files/roadtorecovery.pdf</w:t>
            </w:r>
          </w:p>
          <w:p w:rsidR="00BA21B3" w:rsidRDefault="00354A55" w:rsidP="00354A55">
            <w:pPr>
              <w:spacing w:line="240" w:lineRule="auto"/>
              <w:jc w:val="both"/>
              <w:rPr>
                <w:rFonts w:ascii="Times New Roman" w:hAnsi="Times New Roman"/>
                <w:color w:val="000000"/>
              </w:rPr>
            </w:pPr>
            <w:r w:rsidRPr="00354A55">
              <w:rPr>
                <w:rFonts w:ascii="Times New Roman" w:hAnsi="Times New Roman"/>
                <w:color w:val="000000"/>
              </w:rPr>
              <w:t>https://skillspanorama.cedefop.europa.eu/en/analytical_highlights/focus-utilities-and-introduction-smart-grids-and-smart-meters</w:t>
            </w:r>
          </w:p>
          <w:p w:rsidR="00354A55" w:rsidRPr="00890C68" w:rsidRDefault="00354A55" w:rsidP="00B37C80">
            <w:pPr>
              <w:spacing w:line="240" w:lineRule="auto"/>
              <w:jc w:val="both"/>
              <w:rPr>
                <w:rFonts w:ascii="Times New Roman" w:hAnsi="Times New Roman"/>
                <w:color w:val="000000"/>
              </w:rPr>
            </w:pPr>
          </w:p>
          <w:p w:rsidR="0090572D" w:rsidRPr="00890C68" w:rsidRDefault="0090572D" w:rsidP="00B37C80">
            <w:pPr>
              <w:spacing w:line="240" w:lineRule="auto"/>
              <w:jc w:val="both"/>
              <w:rPr>
                <w:rFonts w:ascii="Times New Roman" w:hAnsi="Times New Roman"/>
                <w:color w:val="000000"/>
              </w:rPr>
            </w:pPr>
            <w:r w:rsidRPr="00890C68">
              <w:rPr>
                <w:rFonts w:ascii="Times New Roman" w:hAnsi="Times New Roman"/>
                <w:color w:val="000000"/>
              </w:rPr>
              <w:t>Wpływ na obszar rynku paliw ciekłych powinien być neutralny.</w:t>
            </w:r>
          </w:p>
        </w:tc>
      </w:tr>
      <w:tr w:rsidR="001B3460" w:rsidRPr="00890C68" w:rsidTr="00641996">
        <w:trPr>
          <w:trHeight w:val="142"/>
        </w:trPr>
        <w:tc>
          <w:tcPr>
            <w:tcW w:w="11057" w:type="dxa"/>
            <w:gridSpan w:val="15"/>
            <w:shd w:val="clear" w:color="auto" w:fill="99CCFF"/>
          </w:tcPr>
          <w:p w:rsidR="001B3460" w:rsidRPr="00890C68" w:rsidRDefault="00AB04A1" w:rsidP="00AB04A1">
            <w:pPr>
              <w:spacing w:before="60" w:after="60" w:line="240" w:lineRule="auto"/>
              <w:jc w:val="both"/>
              <w:rPr>
                <w:rFonts w:ascii="Times New Roman" w:hAnsi="Times New Roman"/>
                <w:b/>
                <w:color w:val="000000"/>
              </w:rPr>
            </w:pPr>
            <w:r>
              <w:rPr>
                <w:rFonts w:ascii="Times New Roman" w:hAnsi="Times New Roman"/>
                <w:b/>
                <w:color w:val="000000"/>
              </w:rPr>
              <w:lastRenderedPageBreak/>
              <w:t xml:space="preserve">10. </w:t>
            </w:r>
            <w:r w:rsidR="001B3460" w:rsidRPr="00890C68">
              <w:rPr>
                <w:rFonts w:ascii="Times New Roman" w:hAnsi="Times New Roman"/>
                <w:b/>
                <w:color w:val="000000"/>
              </w:rPr>
              <w:t>Wpływ na pozostałe obszary</w:t>
            </w:r>
          </w:p>
        </w:tc>
      </w:tr>
      <w:tr w:rsidR="001B3460" w:rsidRPr="00890C68" w:rsidTr="000A55BD">
        <w:trPr>
          <w:trHeight w:val="1031"/>
        </w:trPr>
        <w:tc>
          <w:tcPr>
            <w:tcW w:w="2755" w:type="dxa"/>
            <w:gridSpan w:val="3"/>
            <w:shd w:val="clear" w:color="auto" w:fill="FFFFFF"/>
          </w:tcPr>
          <w:p w:rsidR="001B3460" w:rsidRPr="00890C68" w:rsidRDefault="001B3460" w:rsidP="00254DED">
            <w:pPr>
              <w:spacing w:line="240" w:lineRule="auto"/>
              <w:rPr>
                <w:rFonts w:ascii="Times New Roman" w:hAnsi="Times New Roman"/>
                <w:color w:val="000000"/>
              </w:rPr>
            </w:pPr>
          </w:p>
          <w:p w:rsidR="001B3460" w:rsidRPr="00890C68" w:rsidRDefault="00B90D24" w:rsidP="00254DED">
            <w:pPr>
              <w:spacing w:line="240" w:lineRule="auto"/>
              <w:rPr>
                <w:rFonts w:ascii="Times New Roman" w:hAnsi="Times New Roman"/>
                <w:color w:val="000000"/>
                <w:spacing w:val="-2"/>
              </w:rPr>
            </w:pPr>
            <w:r w:rsidRPr="00890C68">
              <w:rPr>
                <w:rFonts w:ascii="Times New Roman" w:hAnsi="Times New Roman"/>
                <w:color w:val="000000"/>
              </w:rPr>
              <w:fldChar w:fldCharType="begin">
                <w:ffData>
                  <w:name w:val="Wybór1"/>
                  <w:enabled/>
                  <w:calcOnExit w:val="0"/>
                  <w:checkBox>
                    <w:sizeAuto/>
                    <w:default w:val="0"/>
                  </w:checkBox>
                </w:ffData>
              </w:fldChar>
            </w:r>
            <w:r w:rsidR="001B3460" w:rsidRPr="00890C68">
              <w:rPr>
                <w:rFonts w:ascii="Times New Roman" w:hAnsi="Times New Roman"/>
                <w:color w:val="000000"/>
              </w:rPr>
              <w:instrText xml:space="preserve"> FORMCHECKBOX </w:instrText>
            </w:r>
            <w:r w:rsidR="00A132A3">
              <w:rPr>
                <w:rFonts w:ascii="Times New Roman" w:hAnsi="Times New Roman"/>
                <w:color w:val="000000"/>
              </w:rPr>
            </w:r>
            <w:r w:rsidR="00A132A3">
              <w:rPr>
                <w:rFonts w:ascii="Times New Roman" w:hAnsi="Times New Roman"/>
                <w:color w:val="000000"/>
              </w:rPr>
              <w:fldChar w:fldCharType="separate"/>
            </w:r>
            <w:r w:rsidRPr="00890C68">
              <w:rPr>
                <w:rFonts w:ascii="Times New Roman" w:hAnsi="Times New Roman"/>
                <w:color w:val="000000"/>
              </w:rPr>
              <w:fldChar w:fldCharType="end"/>
            </w:r>
            <w:r w:rsidR="001B3460" w:rsidRPr="00890C68">
              <w:rPr>
                <w:rFonts w:ascii="Times New Roman" w:hAnsi="Times New Roman"/>
                <w:color w:val="000000"/>
                <w:sz w:val="20"/>
                <w:szCs w:val="20"/>
              </w:rPr>
              <w:t xml:space="preserve"> </w:t>
            </w:r>
            <w:r w:rsidR="001B3460" w:rsidRPr="00890C68">
              <w:rPr>
                <w:rFonts w:ascii="Times New Roman" w:hAnsi="Times New Roman"/>
                <w:color w:val="000000"/>
                <w:spacing w:val="-2"/>
              </w:rPr>
              <w:t>środowisko naturalne</w:t>
            </w:r>
          </w:p>
          <w:p w:rsidR="001B3460" w:rsidRPr="00890C68" w:rsidRDefault="00B90D24" w:rsidP="006A701A">
            <w:pPr>
              <w:spacing w:line="240" w:lineRule="auto"/>
              <w:rPr>
                <w:rFonts w:ascii="Times New Roman" w:hAnsi="Times New Roman"/>
                <w:color w:val="000000"/>
              </w:rPr>
            </w:pPr>
            <w:r w:rsidRPr="00890C68">
              <w:rPr>
                <w:rFonts w:ascii="Times New Roman" w:hAnsi="Times New Roman"/>
                <w:color w:val="000000"/>
              </w:rPr>
              <w:fldChar w:fldCharType="begin">
                <w:ffData>
                  <w:name w:val=""/>
                  <w:enabled/>
                  <w:calcOnExit w:val="0"/>
                  <w:checkBox>
                    <w:sizeAuto/>
                    <w:default w:val="0"/>
                  </w:checkBox>
                </w:ffData>
              </w:fldChar>
            </w:r>
            <w:r w:rsidR="001B3460" w:rsidRPr="00890C68">
              <w:rPr>
                <w:rFonts w:ascii="Times New Roman" w:hAnsi="Times New Roman"/>
                <w:color w:val="000000"/>
              </w:rPr>
              <w:instrText xml:space="preserve"> FORMCHECKBOX </w:instrText>
            </w:r>
            <w:r w:rsidR="00A132A3">
              <w:rPr>
                <w:rFonts w:ascii="Times New Roman" w:hAnsi="Times New Roman"/>
                <w:color w:val="000000"/>
              </w:rPr>
            </w:r>
            <w:r w:rsidR="00A132A3">
              <w:rPr>
                <w:rFonts w:ascii="Times New Roman" w:hAnsi="Times New Roman"/>
                <w:color w:val="000000"/>
              </w:rPr>
              <w:fldChar w:fldCharType="separate"/>
            </w:r>
            <w:r w:rsidRPr="00890C68">
              <w:rPr>
                <w:rFonts w:ascii="Times New Roman" w:hAnsi="Times New Roman"/>
                <w:color w:val="000000"/>
              </w:rPr>
              <w:fldChar w:fldCharType="end"/>
            </w:r>
            <w:r w:rsidR="001B3460" w:rsidRPr="00890C68">
              <w:rPr>
                <w:rFonts w:ascii="Times New Roman" w:hAnsi="Times New Roman"/>
                <w:color w:val="000000"/>
                <w:sz w:val="20"/>
                <w:szCs w:val="20"/>
              </w:rPr>
              <w:t xml:space="preserve"> </w:t>
            </w:r>
            <w:r w:rsidR="001B3460" w:rsidRPr="00890C68">
              <w:rPr>
                <w:rFonts w:ascii="Times New Roman" w:hAnsi="Times New Roman"/>
                <w:color w:val="000000"/>
              </w:rPr>
              <w:t>sytuacja i rozwój regionalny</w:t>
            </w:r>
          </w:p>
          <w:p w:rsidR="001B3460" w:rsidRPr="00890C68" w:rsidRDefault="00B90D24" w:rsidP="002725BC">
            <w:pPr>
              <w:spacing w:line="240" w:lineRule="auto"/>
              <w:rPr>
                <w:rFonts w:ascii="Times New Roman" w:hAnsi="Times New Roman"/>
                <w:color w:val="000000"/>
              </w:rPr>
            </w:pPr>
            <w:r w:rsidRPr="00890C68">
              <w:rPr>
                <w:rFonts w:ascii="Times New Roman" w:hAnsi="Times New Roman"/>
                <w:color w:val="000000"/>
              </w:rPr>
              <w:fldChar w:fldCharType="begin">
                <w:ffData>
                  <w:name w:val=""/>
                  <w:enabled/>
                  <w:calcOnExit w:val="0"/>
                  <w:checkBox>
                    <w:sizeAuto/>
                    <w:default w:val="1"/>
                  </w:checkBox>
                </w:ffData>
              </w:fldChar>
            </w:r>
            <w:r w:rsidR="002725BC" w:rsidRPr="00890C68">
              <w:rPr>
                <w:rFonts w:ascii="Times New Roman" w:hAnsi="Times New Roman"/>
                <w:color w:val="000000"/>
              </w:rPr>
              <w:instrText xml:space="preserve"> FORMCHECKBOX </w:instrText>
            </w:r>
            <w:r w:rsidR="00A132A3">
              <w:rPr>
                <w:rFonts w:ascii="Times New Roman" w:hAnsi="Times New Roman"/>
                <w:color w:val="000000"/>
              </w:rPr>
            </w:r>
            <w:r w:rsidR="00A132A3">
              <w:rPr>
                <w:rFonts w:ascii="Times New Roman" w:hAnsi="Times New Roman"/>
                <w:color w:val="000000"/>
              </w:rPr>
              <w:fldChar w:fldCharType="separate"/>
            </w:r>
            <w:r w:rsidRPr="00890C68">
              <w:rPr>
                <w:rFonts w:ascii="Times New Roman" w:hAnsi="Times New Roman"/>
                <w:color w:val="000000"/>
              </w:rPr>
              <w:fldChar w:fldCharType="end"/>
            </w:r>
            <w:r w:rsidR="002725BC" w:rsidRPr="00890C68">
              <w:rPr>
                <w:rFonts w:ascii="Times New Roman" w:hAnsi="Times New Roman"/>
                <w:color w:val="000000"/>
              </w:rPr>
              <w:t xml:space="preserve"> </w:t>
            </w:r>
            <w:r w:rsidR="001B3460" w:rsidRPr="00890C68">
              <w:rPr>
                <w:rFonts w:ascii="Times New Roman" w:hAnsi="Times New Roman"/>
                <w:color w:val="000000"/>
                <w:spacing w:val="-2"/>
              </w:rPr>
              <w:t xml:space="preserve">inne: </w:t>
            </w:r>
            <w:r w:rsidR="00002A4B" w:rsidRPr="00890C68">
              <w:rPr>
                <w:rFonts w:ascii="Times New Roman" w:hAnsi="Times New Roman"/>
                <w:color w:val="000000"/>
              </w:rPr>
              <w:t>konkurencja</w:t>
            </w:r>
          </w:p>
        </w:tc>
        <w:tc>
          <w:tcPr>
            <w:tcW w:w="4437" w:type="dxa"/>
            <w:gridSpan w:val="7"/>
            <w:shd w:val="clear" w:color="auto" w:fill="FFFFFF"/>
          </w:tcPr>
          <w:p w:rsidR="001B3460" w:rsidRPr="00890C68" w:rsidRDefault="001B3460" w:rsidP="00254DED">
            <w:pPr>
              <w:spacing w:line="240" w:lineRule="auto"/>
              <w:rPr>
                <w:rFonts w:ascii="Times New Roman" w:hAnsi="Times New Roman"/>
                <w:color w:val="000000"/>
              </w:rPr>
            </w:pPr>
          </w:p>
          <w:p w:rsidR="001B3460" w:rsidRPr="00890C68" w:rsidRDefault="00B90D24" w:rsidP="00254DED">
            <w:pPr>
              <w:spacing w:line="240" w:lineRule="auto"/>
              <w:rPr>
                <w:rFonts w:ascii="Times New Roman" w:hAnsi="Times New Roman"/>
                <w:color w:val="000000"/>
                <w:spacing w:val="-2"/>
              </w:rPr>
            </w:pPr>
            <w:r w:rsidRPr="00890C68">
              <w:rPr>
                <w:rFonts w:ascii="Times New Roman" w:hAnsi="Times New Roman"/>
                <w:color w:val="000000"/>
              </w:rPr>
              <w:fldChar w:fldCharType="begin">
                <w:ffData>
                  <w:name w:val="Wybór1"/>
                  <w:enabled/>
                  <w:calcOnExit w:val="0"/>
                  <w:checkBox>
                    <w:sizeAuto/>
                    <w:default w:val="0"/>
                  </w:checkBox>
                </w:ffData>
              </w:fldChar>
            </w:r>
            <w:r w:rsidR="001B3460" w:rsidRPr="00890C68">
              <w:rPr>
                <w:rFonts w:ascii="Times New Roman" w:hAnsi="Times New Roman"/>
                <w:color w:val="000000"/>
              </w:rPr>
              <w:instrText xml:space="preserve"> FORMCHECKBOX </w:instrText>
            </w:r>
            <w:r w:rsidR="00A132A3">
              <w:rPr>
                <w:rFonts w:ascii="Times New Roman" w:hAnsi="Times New Roman"/>
                <w:color w:val="000000"/>
              </w:rPr>
            </w:r>
            <w:r w:rsidR="00A132A3">
              <w:rPr>
                <w:rFonts w:ascii="Times New Roman" w:hAnsi="Times New Roman"/>
                <w:color w:val="000000"/>
              </w:rPr>
              <w:fldChar w:fldCharType="separate"/>
            </w:r>
            <w:r w:rsidRPr="00890C68">
              <w:rPr>
                <w:rFonts w:ascii="Times New Roman" w:hAnsi="Times New Roman"/>
                <w:color w:val="000000"/>
              </w:rPr>
              <w:fldChar w:fldCharType="end"/>
            </w:r>
            <w:r w:rsidR="001B3460" w:rsidRPr="00890C68">
              <w:rPr>
                <w:rFonts w:ascii="Times New Roman" w:hAnsi="Times New Roman"/>
                <w:color w:val="000000"/>
                <w:sz w:val="20"/>
                <w:szCs w:val="20"/>
              </w:rPr>
              <w:t xml:space="preserve"> </w:t>
            </w:r>
            <w:r w:rsidR="001B3460" w:rsidRPr="00890C68">
              <w:rPr>
                <w:rFonts w:ascii="Times New Roman" w:hAnsi="Times New Roman"/>
                <w:color w:val="000000"/>
                <w:spacing w:val="-2"/>
              </w:rPr>
              <w:t>demografia</w:t>
            </w:r>
          </w:p>
          <w:p w:rsidR="001B3460" w:rsidRPr="00890C68" w:rsidRDefault="00B90D24" w:rsidP="006A701A">
            <w:pPr>
              <w:spacing w:line="240" w:lineRule="auto"/>
              <w:rPr>
                <w:rFonts w:ascii="Times New Roman" w:hAnsi="Times New Roman"/>
                <w:color w:val="000000"/>
              </w:rPr>
            </w:pPr>
            <w:r w:rsidRPr="00890C68">
              <w:rPr>
                <w:rFonts w:ascii="Times New Roman" w:hAnsi="Times New Roman"/>
                <w:color w:val="000000"/>
              </w:rPr>
              <w:fldChar w:fldCharType="begin">
                <w:ffData>
                  <w:name w:val=""/>
                  <w:enabled/>
                  <w:calcOnExit w:val="0"/>
                  <w:checkBox>
                    <w:sizeAuto/>
                    <w:default w:val="0"/>
                  </w:checkBox>
                </w:ffData>
              </w:fldChar>
            </w:r>
            <w:r w:rsidR="001B3460" w:rsidRPr="00890C68">
              <w:rPr>
                <w:rFonts w:ascii="Times New Roman" w:hAnsi="Times New Roman"/>
                <w:color w:val="000000"/>
              </w:rPr>
              <w:instrText xml:space="preserve"> FORMCHECKBOX </w:instrText>
            </w:r>
            <w:r w:rsidR="00A132A3">
              <w:rPr>
                <w:rFonts w:ascii="Times New Roman" w:hAnsi="Times New Roman"/>
                <w:color w:val="000000"/>
              </w:rPr>
            </w:r>
            <w:r w:rsidR="00A132A3">
              <w:rPr>
                <w:rFonts w:ascii="Times New Roman" w:hAnsi="Times New Roman"/>
                <w:color w:val="000000"/>
              </w:rPr>
              <w:fldChar w:fldCharType="separate"/>
            </w:r>
            <w:r w:rsidRPr="00890C68">
              <w:rPr>
                <w:rFonts w:ascii="Times New Roman" w:hAnsi="Times New Roman"/>
                <w:color w:val="000000"/>
              </w:rPr>
              <w:fldChar w:fldCharType="end"/>
            </w:r>
            <w:r w:rsidR="001B3460" w:rsidRPr="00890C68">
              <w:rPr>
                <w:rFonts w:ascii="Times New Roman" w:hAnsi="Times New Roman"/>
                <w:color w:val="000000"/>
                <w:sz w:val="20"/>
                <w:szCs w:val="20"/>
              </w:rPr>
              <w:t xml:space="preserve"> </w:t>
            </w:r>
            <w:r w:rsidR="001B3460" w:rsidRPr="00890C68">
              <w:rPr>
                <w:rFonts w:ascii="Times New Roman" w:hAnsi="Times New Roman"/>
                <w:color w:val="000000"/>
              </w:rPr>
              <w:t>mienie państwowe</w:t>
            </w:r>
          </w:p>
        </w:tc>
        <w:tc>
          <w:tcPr>
            <w:tcW w:w="3865" w:type="dxa"/>
            <w:gridSpan w:val="5"/>
            <w:shd w:val="clear" w:color="auto" w:fill="FFFFFF"/>
          </w:tcPr>
          <w:p w:rsidR="001B3460" w:rsidRPr="00890C68" w:rsidRDefault="001B3460" w:rsidP="006A701A">
            <w:pPr>
              <w:spacing w:line="240" w:lineRule="auto"/>
              <w:rPr>
                <w:rFonts w:ascii="Times New Roman" w:hAnsi="Times New Roman"/>
                <w:color w:val="000000"/>
              </w:rPr>
            </w:pPr>
          </w:p>
          <w:p w:rsidR="001B3460" w:rsidRPr="00890C68" w:rsidRDefault="00B90D24" w:rsidP="006A701A">
            <w:pPr>
              <w:spacing w:line="240" w:lineRule="auto"/>
              <w:rPr>
                <w:rFonts w:ascii="Times New Roman" w:hAnsi="Times New Roman"/>
                <w:color w:val="000000"/>
              </w:rPr>
            </w:pPr>
            <w:r w:rsidRPr="00890C68">
              <w:rPr>
                <w:rFonts w:ascii="Times New Roman" w:hAnsi="Times New Roman"/>
                <w:color w:val="000000"/>
              </w:rPr>
              <w:fldChar w:fldCharType="begin">
                <w:ffData>
                  <w:name w:val=""/>
                  <w:enabled/>
                  <w:calcOnExit w:val="0"/>
                  <w:checkBox>
                    <w:sizeAuto/>
                    <w:default w:val="1"/>
                  </w:checkBox>
                </w:ffData>
              </w:fldChar>
            </w:r>
            <w:r w:rsidR="002725BC" w:rsidRPr="00890C68">
              <w:rPr>
                <w:rFonts w:ascii="Times New Roman" w:hAnsi="Times New Roman"/>
                <w:color w:val="000000"/>
              </w:rPr>
              <w:instrText xml:space="preserve"> FORMCHECKBOX </w:instrText>
            </w:r>
            <w:r w:rsidR="00A132A3">
              <w:rPr>
                <w:rFonts w:ascii="Times New Roman" w:hAnsi="Times New Roman"/>
                <w:color w:val="000000"/>
              </w:rPr>
            </w:r>
            <w:r w:rsidR="00A132A3">
              <w:rPr>
                <w:rFonts w:ascii="Times New Roman" w:hAnsi="Times New Roman"/>
                <w:color w:val="000000"/>
              </w:rPr>
              <w:fldChar w:fldCharType="separate"/>
            </w:r>
            <w:r w:rsidRPr="00890C68">
              <w:rPr>
                <w:rFonts w:ascii="Times New Roman" w:hAnsi="Times New Roman"/>
                <w:color w:val="000000"/>
              </w:rPr>
              <w:fldChar w:fldCharType="end"/>
            </w:r>
            <w:r w:rsidR="002725BC" w:rsidRPr="00890C68">
              <w:rPr>
                <w:rFonts w:ascii="Times New Roman" w:hAnsi="Times New Roman"/>
                <w:color w:val="000000"/>
              </w:rPr>
              <w:t xml:space="preserve"> </w:t>
            </w:r>
            <w:r w:rsidR="001B3460" w:rsidRPr="00890C68">
              <w:rPr>
                <w:rFonts w:ascii="Times New Roman" w:hAnsi="Times New Roman"/>
                <w:color w:val="000000"/>
                <w:spacing w:val="-2"/>
              </w:rPr>
              <w:t>informatyzacja</w:t>
            </w:r>
          </w:p>
          <w:p w:rsidR="001B3460" w:rsidRPr="00890C68" w:rsidRDefault="00B90D24" w:rsidP="006A701A">
            <w:pPr>
              <w:spacing w:line="240" w:lineRule="auto"/>
              <w:rPr>
                <w:rFonts w:ascii="Times New Roman" w:hAnsi="Times New Roman"/>
                <w:color w:val="000000"/>
              </w:rPr>
            </w:pPr>
            <w:r w:rsidRPr="00890C68">
              <w:rPr>
                <w:rFonts w:ascii="Times New Roman" w:hAnsi="Times New Roman"/>
                <w:color w:val="000000"/>
              </w:rPr>
              <w:fldChar w:fldCharType="begin">
                <w:ffData>
                  <w:name w:val="Wybór1"/>
                  <w:enabled/>
                  <w:calcOnExit w:val="0"/>
                  <w:checkBox>
                    <w:sizeAuto/>
                    <w:default w:val="0"/>
                  </w:checkBox>
                </w:ffData>
              </w:fldChar>
            </w:r>
            <w:r w:rsidR="001B3460" w:rsidRPr="00890C68">
              <w:rPr>
                <w:rFonts w:ascii="Times New Roman" w:hAnsi="Times New Roman"/>
                <w:color w:val="000000"/>
              </w:rPr>
              <w:instrText xml:space="preserve"> FORMCHECKBOX </w:instrText>
            </w:r>
            <w:r w:rsidR="00A132A3">
              <w:rPr>
                <w:rFonts w:ascii="Times New Roman" w:hAnsi="Times New Roman"/>
                <w:color w:val="000000"/>
              </w:rPr>
            </w:r>
            <w:r w:rsidR="00A132A3">
              <w:rPr>
                <w:rFonts w:ascii="Times New Roman" w:hAnsi="Times New Roman"/>
                <w:color w:val="000000"/>
              </w:rPr>
              <w:fldChar w:fldCharType="separate"/>
            </w:r>
            <w:r w:rsidRPr="00890C68">
              <w:rPr>
                <w:rFonts w:ascii="Times New Roman" w:hAnsi="Times New Roman"/>
                <w:color w:val="000000"/>
              </w:rPr>
              <w:fldChar w:fldCharType="end"/>
            </w:r>
            <w:r w:rsidR="001B3460" w:rsidRPr="00890C68">
              <w:rPr>
                <w:rFonts w:ascii="Times New Roman" w:hAnsi="Times New Roman"/>
                <w:color w:val="000000"/>
                <w:sz w:val="20"/>
                <w:szCs w:val="20"/>
              </w:rPr>
              <w:t xml:space="preserve"> </w:t>
            </w:r>
            <w:r w:rsidR="001B3460" w:rsidRPr="00890C68">
              <w:rPr>
                <w:rFonts w:ascii="Times New Roman" w:hAnsi="Times New Roman"/>
                <w:color w:val="000000"/>
                <w:spacing w:val="-2"/>
              </w:rPr>
              <w:t>zdrowie</w:t>
            </w:r>
          </w:p>
        </w:tc>
      </w:tr>
      <w:tr w:rsidR="001B3460" w:rsidRPr="00890C68" w:rsidTr="00EB6523">
        <w:trPr>
          <w:trHeight w:val="712"/>
        </w:trPr>
        <w:tc>
          <w:tcPr>
            <w:tcW w:w="2127" w:type="dxa"/>
            <w:gridSpan w:val="2"/>
            <w:shd w:val="clear" w:color="auto" w:fill="FFFFFF"/>
            <w:vAlign w:val="center"/>
          </w:tcPr>
          <w:p w:rsidR="001B3460" w:rsidRPr="00890C68" w:rsidRDefault="001B3460" w:rsidP="00254DED">
            <w:pPr>
              <w:spacing w:line="240" w:lineRule="auto"/>
              <w:rPr>
                <w:rFonts w:ascii="Times New Roman" w:hAnsi="Times New Roman"/>
                <w:color w:val="000000"/>
              </w:rPr>
            </w:pPr>
            <w:r w:rsidRPr="00890C68">
              <w:rPr>
                <w:rFonts w:ascii="Times New Roman" w:hAnsi="Times New Roman"/>
                <w:color w:val="000000"/>
              </w:rPr>
              <w:t>Omówienie wpływu</w:t>
            </w:r>
          </w:p>
        </w:tc>
        <w:tc>
          <w:tcPr>
            <w:tcW w:w="8930" w:type="dxa"/>
            <w:gridSpan w:val="13"/>
            <w:shd w:val="clear" w:color="auto" w:fill="FFFFFF"/>
            <w:vAlign w:val="center"/>
          </w:tcPr>
          <w:p w:rsidR="001B3460" w:rsidRPr="00890C68" w:rsidRDefault="008B039D" w:rsidP="00B37C80">
            <w:pPr>
              <w:spacing w:line="240" w:lineRule="auto"/>
              <w:jc w:val="both"/>
              <w:rPr>
                <w:rFonts w:ascii="Times New Roman" w:hAnsi="Times New Roman"/>
                <w:color w:val="000000"/>
                <w:spacing w:val="-2"/>
              </w:rPr>
            </w:pPr>
            <w:r w:rsidRPr="00890C68">
              <w:rPr>
                <w:rFonts w:ascii="Times New Roman" w:hAnsi="Times New Roman"/>
                <w:color w:val="000000"/>
                <w:spacing w:val="-2"/>
              </w:rPr>
              <w:t>Użytkownicy systemu elektroenergetycznego będą mieli stały dostęp do danych o zużyciu energii elektrycznej, dzięki czemu zostanie ułatwiona procedura zmiany sprzedawcy, odbiorca będzie rozliczany według rzeczywistego zużycia energii elektrycznej, natomiast  w odniesieniu do operatorów usprawnione</w:t>
            </w:r>
            <w:r w:rsidR="000E7A3F" w:rsidRPr="00890C68">
              <w:rPr>
                <w:rFonts w:ascii="Times New Roman" w:hAnsi="Times New Roman"/>
                <w:color w:val="000000"/>
                <w:spacing w:val="-2"/>
              </w:rPr>
              <w:t xml:space="preserve"> zostanie</w:t>
            </w:r>
            <w:r w:rsidRPr="00890C68">
              <w:rPr>
                <w:rFonts w:ascii="Times New Roman" w:hAnsi="Times New Roman"/>
                <w:color w:val="000000"/>
                <w:spacing w:val="-2"/>
              </w:rPr>
              <w:t xml:space="preserve"> zarządzani</w:t>
            </w:r>
            <w:r w:rsidR="000E7A3F" w:rsidRPr="00890C68">
              <w:rPr>
                <w:rFonts w:ascii="Times New Roman" w:hAnsi="Times New Roman"/>
                <w:color w:val="000000"/>
                <w:spacing w:val="-2"/>
              </w:rPr>
              <w:t>e</w:t>
            </w:r>
            <w:r w:rsidRPr="00890C68">
              <w:rPr>
                <w:rFonts w:ascii="Times New Roman" w:hAnsi="Times New Roman"/>
                <w:color w:val="000000"/>
                <w:spacing w:val="-2"/>
              </w:rPr>
              <w:t xml:space="preserve"> popytem</w:t>
            </w:r>
            <w:r w:rsidR="00CC5172" w:rsidRPr="00890C68">
              <w:rPr>
                <w:rFonts w:ascii="Times New Roman" w:hAnsi="Times New Roman"/>
                <w:color w:val="000000"/>
                <w:spacing w:val="-2"/>
              </w:rPr>
              <w:t>,</w:t>
            </w:r>
            <w:r w:rsidRPr="00890C68">
              <w:rPr>
                <w:rFonts w:ascii="Times New Roman" w:hAnsi="Times New Roman"/>
                <w:color w:val="000000"/>
                <w:spacing w:val="-2"/>
              </w:rPr>
              <w:t xml:space="preserve"> </w:t>
            </w:r>
            <w:r w:rsidR="000E7A3F" w:rsidRPr="00890C68">
              <w:rPr>
                <w:rFonts w:ascii="Times New Roman" w:hAnsi="Times New Roman"/>
                <w:color w:val="000000"/>
                <w:spacing w:val="-2"/>
              </w:rPr>
              <w:t>nastąpi</w:t>
            </w:r>
            <w:r w:rsidR="006C6898" w:rsidRPr="00890C68">
              <w:rPr>
                <w:rFonts w:ascii="Times New Roman" w:hAnsi="Times New Roman"/>
                <w:color w:val="000000"/>
                <w:spacing w:val="-2"/>
              </w:rPr>
              <w:t xml:space="preserve"> </w:t>
            </w:r>
            <w:r w:rsidRPr="00890C68">
              <w:rPr>
                <w:rFonts w:ascii="Times New Roman" w:hAnsi="Times New Roman"/>
                <w:color w:val="000000"/>
                <w:spacing w:val="-2"/>
              </w:rPr>
              <w:t>obniżenie szczytowego zapotrzebowania na moc, a także polepszenie skuteczności planowania zadań eksploatacyjnych, remontów i prac modernizacyjnych. Ustawa stanowi również szansę dla polskich producentów liczników energii elektrycznej.</w:t>
            </w:r>
          </w:p>
        </w:tc>
      </w:tr>
      <w:tr w:rsidR="001B3460" w:rsidRPr="00890C68" w:rsidTr="00641996">
        <w:trPr>
          <w:trHeight w:val="142"/>
        </w:trPr>
        <w:tc>
          <w:tcPr>
            <w:tcW w:w="11057" w:type="dxa"/>
            <w:gridSpan w:val="15"/>
            <w:shd w:val="clear" w:color="auto" w:fill="99CCFF"/>
          </w:tcPr>
          <w:p w:rsidR="001B3460" w:rsidRPr="00890C68" w:rsidRDefault="00AB04A1" w:rsidP="00AB04A1">
            <w:pPr>
              <w:spacing w:before="60" w:after="60" w:line="240" w:lineRule="auto"/>
              <w:jc w:val="both"/>
              <w:rPr>
                <w:rFonts w:ascii="Times New Roman" w:hAnsi="Times New Roman"/>
                <w:b/>
              </w:rPr>
            </w:pPr>
            <w:r>
              <w:rPr>
                <w:rFonts w:ascii="Times New Roman" w:hAnsi="Times New Roman"/>
                <w:b/>
                <w:spacing w:val="-2"/>
                <w:sz w:val="21"/>
                <w:szCs w:val="21"/>
              </w:rPr>
              <w:t xml:space="preserve">11. </w:t>
            </w:r>
            <w:r w:rsidR="00A767D2" w:rsidRPr="00890C68">
              <w:rPr>
                <w:rFonts w:ascii="Times New Roman" w:hAnsi="Times New Roman"/>
                <w:b/>
                <w:spacing w:val="-2"/>
                <w:sz w:val="21"/>
                <w:szCs w:val="21"/>
              </w:rPr>
              <w:t>Plan</w:t>
            </w:r>
            <w:r w:rsidR="00CF5F4F" w:rsidRPr="00890C68">
              <w:rPr>
                <w:rFonts w:ascii="Times New Roman" w:hAnsi="Times New Roman"/>
                <w:b/>
                <w:spacing w:val="-2"/>
                <w:sz w:val="21"/>
                <w:szCs w:val="21"/>
              </w:rPr>
              <w:t>owane</w:t>
            </w:r>
            <w:r w:rsidR="00A767D2" w:rsidRPr="00890C68">
              <w:rPr>
                <w:rFonts w:ascii="Times New Roman" w:hAnsi="Times New Roman"/>
                <w:b/>
                <w:spacing w:val="-2"/>
                <w:sz w:val="21"/>
                <w:szCs w:val="21"/>
              </w:rPr>
              <w:t xml:space="preserve"> w</w:t>
            </w:r>
            <w:r w:rsidR="00627221" w:rsidRPr="00890C68">
              <w:rPr>
                <w:rFonts w:ascii="Times New Roman" w:hAnsi="Times New Roman"/>
                <w:b/>
                <w:spacing w:val="-2"/>
                <w:sz w:val="21"/>
                <w:szCs w:val="21"/>
              </w:rPr>
              <w:t>ykonani</w:t>
            </w:r>
            <w:r w:rsidR="00CF5F4F" w:rsidRPr="00890C68">
              <w:rPr>
                <w:rFonts w:ascii="Times New Roman" w:hAnsi="Times New Roman"/>
                <w:b/>
                <w:spacing w:val="-2"/>
                <w:sz w:val="21"/>
                <w:szCs w:val="21"/>
              </w:rPr>
              <w:t>e</w:t>
            </w:r>
            <w:r w:rsidR="00627221" w:rsidRPr="00890C68">
              <w:rPr>
                <w:rFonts w:ascii="Times New Roman" w:hAnsi="Times New Roman"/>
                <w:b/>
                <w:spacing w:val="-2"/>
                <w:sz w:val="21"/>
                <w:szCs w:val="21"/>
              </w:rPr>
              <w:t xml:space="preserve"> przepisów aktu prawnego</w:t>
            </w:r>
          </w:p>
        </w:tc>
      </w:tr>
      <w:tr w:rsidR="001B3460" w:rsidRPr="00890C68" w:rsidTr="00641996">
        <w:trPr>
          <w:trHeight w:val="142"/>
        </w:trPr>
        <w:tc>
          <w:tcPr>
            <w:tcW w:w="11057" w:type="dxa"/>
            <w:gridSpan w:val="15"/>
            <w:shd w:val="clear" w:color="auto" w:fill="FFFFFF"/>
          </w:tcPr>
          <w:p w:rsidR="008B039D" w:rsidRPr="00890C68" w:rsidRDefault="008B039D" w:rsidP="008B039D">
            <w:pPr>
              <w:spacing w:line="240" w:lineRule="auto"/>
              <w:jc w:val="both"/>
              <w:rPr>
                <w:rFonts w:ascii="Times New Roman" w:hAnsi="Times New Roman"/>
                <w:spacing w:val="-2"/>
              </w:rPr>
            </w:pPr>
            <w:r w:rsidRPr="00890C68">
              <w:rPr>
                <w:rFonts w:ascii="Times New Roman" w:hAnsi="Times New Roman"/>
                <w:spacing w:val="-2"/>
              </w:rPr>
              <w:t xml:space="preserve">1. Planowane wejście przepisów w życie – </w:t>
            </w:r>
            <w:r w:rsidR="00A37257" w:rsidRPr="00890C68">
              <w:rPr>
                <w:rFonts w:ascii="Times New Roman" w:hAnsi="Times New Roman"/>
                <w:spacing w:val="-2"/>
              </w:rPr>
              <w:t>14 dni od dnia ogłoszenia</w:t>
            </w:r>
            <w:r w:rsidRPr="00890C68">
              <w:rPr>
                <w:rFonts w:ascii="Times New Roman" w:hAnsi="Times New Roman"/>
                <w:spacing w:val="-2"/>
              </w:rPr>
              <w:t>.</w:t>
            </w:r>
          </w:p>
          <w:p w:rsidR="008B039D" w:rsidRPr="00890C68" w:rsidRDefault="008B039D" w:rsidP="008B039D">
            <w:pPr>
              <w:spacing w:line="240" w:lineRule="auto"/>
              <w:jc w:val="both"/>
              <w:rPr>
                <w:rFonts w:ascii="Times New Roman" w:hAnsi="Times New Roman"/>
                <w:spacing w:val="-2"/>
              </w:rPr>
            </w:pPr>
            <w:r w:rsidRPr="00890C68">
              <w:rPr>
                <w:rFonts w:ascii="Times New Roman" w:hAnsi="Times New Roman"/>
                <w:spacing w:val="-2"/>
              </w:rPr>
              <w:t>2. Udostępnienie CSI</w:t>
            </w:r>
            <w:r w:rsidR="006C6898" w:rsidRPr="00890C68">
              <w:rPr>
                <w:rFonts w:ascii="Times New Roman" w:hAnsi="Times New Roman"/>
                <w:spacing w:val="-2"/>
              </w:rPr>
              <w:t>RE</w:t>
            </w:r>
            <w:r w:rsidRPr="00890C68">
              <w:rPr>
                <w:rFonts w:ascii="Times New Roman" w:hAnsi="Times New Roman"/>
                <w:spacing w:val="-2"/>
              </w:rPr>
              <w:t xml:space="preserve"> i wprowadzenie obowiązku rozliczeń wg danych pomiarowych uzyskiwanych od OI</w:t>
            </w:r>
            <w:r w:rsidR="006C6898" w:rsidRPr="00890C68">
              <w:rPr>
                <w:rFonts w:ascii="Times New Roman" w:hAnsi="Times New Roman"/>
                <w:spacing w:val="-2"/>
              </w:rPr>
              <w:t>RE</w:t>
            </w:r>
            <w:r w:rsidRPr="00890C68">
              <w:rPr>
                <w:rFonts w:ascii="Times New Roman" w:hAnsi="Times New Roman"/>
                <w:spacing w:val="-2"/>
              </w:rPr>
              <w:t xml:space="preserve"> w okresie 36 miesięcy od daty wejścia przepisów w życie.</w:t>
            </w:r>
          </w:p>
        </w:tc>
      </w:tr>
      <w:tr w:rsidR="001B3460" w:rsidRPr="00890C68" w:rsidTr="00641996">
        <w:trPr>
          <w:trHeight w:val="142"/>
        </w:trPr>
        <w:tc>
          <w:tcPr>
            <w:tcW w:w="11057" w:type="dxa"/>
            <w:gridSpan w:val="15"/>
            <w:shd w:val="clear" w:color="auto" w:fill="99CCFF"/>
          </w:tcPr>
          <w:p w:rsidR="001B3460" w:rsidRPr="00890C68" w:rsidRDefault="00AB04A1" w:rsidP="00AB04A1">
            <w:pPr>
              <w:spacing w:before="60" w:after="60" w:line="240" w:lineRule="auto"/>
              <w:jc w:val="both"/>
              <w:rPr>
                <w:rFonts w:ascii="Times New Roman" w:hAnsi="Times New Roman"/>
                <w:b/>
                <w:color w:val="000000"/>
              </w:rPr>
            </w:pPr>
            <w:r>
              <w:rPr>
                <w:rFonts w:ascii="Times New Roman" w:hAnsi="Times New Roman"/>
                <w:b/>
                <w:color w:val="000000"/>
              </w:rPr>
              <w:t xml:space="preserve">12. </w:t>
            </w:r>
            <w:r w:rsidR="001B3460" w:rsidRPr="00890C68">
              <w:rPr>
                <w:rFonts w:ascii="Times New Roman" w:hAnsi="Times New Roman"/>
                <w:b/>
                <w:spacing w:val="-2"/>
                <w:sz w:val="21"/>
                <w:szCs w:val="21"/>
              </w:rPr>
              <w:t xml:space="preserve">W jaki sposób i kiedy nastąpi ewaluacja efektów projektu </w:t>
            </w:r>
            <w:r w:rsidR="00A47BDF" w:rsidRPr="00890C68">
              <w:rPr>
                <w:rFonts w:ascii="Times New Roman" w:hAnsi="Times New Roman"/>
                <w:b/>
                <w:spacing w:val="-2"/>
                <w:sz w:val="21"/>
                <w:szCs w:val="21"/>
              </w:rPr>
              <w:t>oraz</w:t>
            </w:r>
            <w:r w:rsidR="001B3460" w:rsidRPr="00890C68">
              <w:rPr>
                <w:rFonts w:ascii="Times New Roman" w:hAnsi="Times New Roman"/>
                <w:b/>
                <w:spacing w:val="-2"/>
                <w:sz w:val="21"/>
                <w:szCs w:val="21"/>
              </w:rPr>
              <w:t xml:space="preserve"> jakie mierniki zostaną </w:t>
            </w:r>
            <w:r w:rsidR="00C33027" w:rsidRPr="00890C68">
              <w:rPr>
                <w:rFonts w:ascii="Times New Roman" w:hAnsi="Times New Roman"/>
                <w:b/>
                <w:spacing w:val="-2"/>
                <w:sz w:val="21"/>
                <w:szCs w:val="21"/>
              </w:rPr>
              <w:t>zastosowane?</w:t>
            </w:r>
          </w:p>
        </w:tc>
      </w:tr>
      <w:tr w:rsidR="001B3460" w:rsidRPr="00890C68" w:rsidTr="00641996">
        <w:trPr>
          <w:trHeight w:val="142"/>
        </w:trPr>
        <w:tc>
          <w:tcPr>
            <w:tcW w:w="11057" w:type="dxa"/>
            <w:gridSpan w:val="15"/>
            <w:shd w:val="clear" w:color="auto" w:fill="FFFFFF"/>
          </w:tcPr>
          <w:p w:rsidR="001B3460" w:rsidRPr="00890C68" w:rsidRDefault="00002A4B" w:rsidP="00B37C80">
            <w:pPr>
              <w:spacing w:line="240" w:lineRule="auto"/>
              <w:jc w:val="both"/>
              <w:rPr>
                <w:rFonts w:ascii="Times New Roman" w:hAnsi="Times New Roman"/>
                <w:color w:val="000000"/>
                <w:spacing w:val="-2"/>
              </w:rPr>
            </w:pPr>
            <w:r w:rsidRPr="00890C68">
              <w:rPr>
                <w:rFonts w:ascii="Times New Roman" w:hAnsi="Times New Roman"/>
                <w:color w:val="000000"/>
                <w:spacing w:val="-2"/>
              </w:rPr>
              <w:t>Ewaluacja projektu nastąpi m.in. ujęcie zagadnień regulowanych w projekcie w sprawozdaniu przygotowywanym corocznie przez regulatora ze swojej działalności oraz monitoring spraw i postępowań wynikających z tych spraw.</w:t>
            </w:r>
          </w:p>
          <w:p w:rsidR="008B039D" w:rsidRPr="00890C68" w:rsidRDefault="008B039D" w:rsidP="00B37C80">
            <w:pPr>
              <w:spacing w:line="240" w:lineRule="auto"/>
              <w:jc w:val="both"/>
              <w:rPr>
                <w:rFonts w:ascii="Times New Roman" w:hAnsi="Times New Roman"/>
                <w:color w:val="000000"/>
                <w:spacing w:val="-2"/>
              </w:rPr>
            </w:pPr>
          </w:p>
          <w:p w:rsidR="008B039D" w:rsidRPr="00890C68" w:rsidRDefault="008B039D" w:rsidP="008B039D">
            <w:pPr>
              <w:spacing w:line="240" w:lineRule="auto"/>
              <w:jc w:val="both"/>
              <w:rPr>
                <w:rFonts w:ascii="Times New Roman" w:hAnsi="Times New Roman"/>
                <w:color w:val="000000"/>
                <w:spacing w:val="-2"/>
              </w:rPr>
            </w:pPr>
            <w:r w:rsidRPr="00890C68">
              <w:rPr>
                <w:rFonts w:ascii="Times New Roman" w:hAnsi="Times New Roman"/>
                <w:color w:val="000000"/>
                <w:spacing w:val="-2"/>
              </w:rPr>
              <w:t>Ponadto, w zakresie wprowadzenia systemu inteligentnego opomiarowania, ewaluacja projektu powinna obejmować:</w:t>
            </w:r>
          </w:p>
          <w:p w:rsidR="008B039D" w:rsidRPr="00890C68" w:rsidRDefault="008B039D" w:rsidP="008B039D">
            <w:pPr>
              <w:spacing w:line="240" w:lineRule="auto"/>
              <w:jc w:val="both"/>
              <w:rPr>
                <w:rFonts w:ascii="Times New Roman" w:hAnsi="Times New Roman"/>
                <w:color w:val="000000"/>
                <w:spacing w:val="-2"/>
              </w:rPr>
            </w:pPr>
            <w:r w:rsidRPr="00890C68">
              <w:rPr>
                <w:rFonts w:ascii="Times New Roman" w:hAnsi="Times New Roman"/>
                <w:color w:val="000000"/>
                <w:spacing w:val="-2"/>
              </w:rPr>
              <w:t>1. Kontrolę postępów w instalacji liczników przez OSD w terminach skorelowanych z określonymi w ustawie (oceniana przez Prezesa URE);</w:t>
            </w:r>
          </w:p>
          <w:p w:rsidR="008B039D" w:rsidRPr="00890C68" w:rsidRDefault="008B039D" w:rsidP="008B039D">
            <w:pPr>
              <w:spacing w:line="240" w:lineRule="auto"/>
              <w:jc w:val="both"/>
              <w:rPr>
                <w:rFonts w:ascii="Times New Roman" w:hAnsi="Times New Roman"/>
                <w:color w:val="000000"/>
                <w:spacing w:val="-2"/>
              </w:rPr>
            </w:pPr>
            <w:r w:rsidRPr="00890C68">
              <w:rPr>
                <w:rFonts w:ascii="Times New Roman" w:hAnsi="Times New Roman"/>
                <w:color w:val="000000"/>
                <w:spacing w:val="-2"/>
              </w:rPr>
              <w:t>2. Liczba dni potrzebnych odbiorcom do skutecznej zmiany umowy na zakup (lub sprzedaż i zakup) energii elektrycznej (oceniana przez Prezesa URE).</w:t>
            </w:r>
          </w:p>
          <w:p w:rsidR="008B039D" w:rsidRPr="00890C68" w:rsidRDefault="00A37257" w:rsidP="008B039D">
            <w:pPr>
              <w:spacing w:line="240" w:lineRule="auto"/>
              <w:jc w:val="both"/>
              <w:rPr>
                <w:rFonts w:ascii="Times New Roman" w:hAnsi="Times New Roman"/>
                <w:color w:val="000000"/>
                <w:spacing w:val="-2"/>
              </w:rPr>
            </w:pPr>
            <w:r w:rsidRPr="00890C68">
              <w:rPr>
                <w:rFonts w:ascii="Times New Roman" w:hAnsi="Times New Roman"/>
                <w:color w:val="000000"/>
                <w:spacing w:val="-2"/>
              </w:rPr>
              <w:t>3</w:t>
            </w:r>
            <w:r w:rsidR="008B039D" w:rsidRPr="00890C68">
              <w:rPr>
                <w:rFonts w:ascii="Times New Roman" w:hAnsi="Times New Roman"/>
                <w:color w:val="000000"/>
                <w:spacing w:val="-2"/>
              </w:rPr>
              <w:t>. Liczba zmian umowy na zakup (lub zakup i sprzedaż) energii elektrycznej przez odbiorców końcowych</w:t>
            </w:r>
          </w:p>
          <w:p w:rsidR="008B039D" w:rsidRPr="00890C68" w:rsidRDefault="008B039D" w:rsidP="008B039D">
            <w:pPr>
              <w:spacing w:line="240" w:lineRule="auto"/>
              <w:jc w:val="both"/>
              <w:rPr>
                <w:rFonts w:ascii="Times New Roman" w:hAnsi="Times New Roman"/>
                <w:color w:val="000000"/>
                <w:spacing w:val="-2"/>
              </w:rPr>
            </w:pPr>
          </w:p>
          <w:p w:rsidR="008B039D" w:rsidRPr="00890C68" w:rsidRDefault="008B039D" w:rsidP="008B039D">
            <w:pPr>
              <w:spacing w:line="240" w:lineRule="auto"/>
              <w:jc w:val="both"/>
              <w:rPr>
                <w:rFonts w:ascii="Times New Roman" w:hAnsi="Times New Roman"/>
                <w:color w:val="000000"/>
                <w:spacing w:val="-2"/>
              </w:rPr>
            </w:pPr>
            <w:r w:rsidRPr="00890C68">
              <w:rPr>
                <w:rFonts w:ascii="Times New Roman" w:hAnsi="Times New Roman"/>
                <w:color w:val="000000"/>
                <w:spacing w:val="-2"/>
              </w:rPr>
              <w:t>Mierniki:</w:t>
            </w:r>
          </w:p>
          <w:p w:rsidR="008B039D" w:rsidRPr="00890C68" w:rsidRDefault="008B039D" w:rsidP="008B039D">
            <w:pPr>
              <w:spacing w:line="240" w:lineRule="auto"/>
              <w:jc w:val="both"/>
              <w:rPr>
                <w:rFonts w:ascii="Times New Roman" w:hAnsi="Times New Roman"/>
                <w:color w:val="000000"/>
                <w:spacing w:val="-2"/>
              </w:rPr>
            </w:pPr>
            <w:r w:rsidRPr="00890C68">
              <w:rPr>
                <w:rFonts w:ascii="Times New Roman" w:hAnsi="Times New Roman"/>
                <w:color w:val="000000"/>
                <w:spacing w:val="-2"/>
              </w:rPr>
              <w:t>Ad. 1. Liczba liczników zdalnego odczytu zainstalowana i skomunikowana w systemie CSI</w:t>
            </w:r>
            <w:r w:rsidR="00066ECB" w:rsidRPr="00890C68">
              <w:rPr>
                <w:rFonts w:ascii="Times New Roman" w:hAnsi="Times New Roman"/>
                <w:color w:val="000000"/>
                <w:spacing w:val="-2"/>
              </w:rPr>
              <w:t>RE</w:t>
            </w:r>
            <w:r w:rsidRPr="00890C68">
              <w:rPr>
                <w:rFonts w:ascii="Times New Roman" w:hAnsi="Times New Roman"/>
                <w:color w:val="000000"/>
                <w:spacing w:val="-2"/>
              </w:rPr>
              <w:t xml:space="preserve"> .</w:t>
            </w:r>
          </w:p>
          <w:p w:rsidR="008B039D" w:rsidRPr="00890C68" w:rsidRDefault="008B039D" w:rsidP="008B039D">
            <w:pPr>
              <w:spacing w:line="240" w:lineRule="auto"/>
              <w:jc w:val="both"/>
              <w:rPr>
                <w:rFonts w:ascii="Times New Roman" w:hAnsi="Times New Roman"/>
                <w:color w:val="000000"/>
                <w:spacing w:val="-2"/>
              </w:rPr>
            </w:pPr>
            <w:r w:rsidRPr="00890C68">
              <w:rPr>
                <w:rFonts w:ascii="Times New Roman" w:hAnsi="Times New Roman"/>
                <w:color w:val="000000"/>
                <w:spacing w:val="-2"/>
              </w:rPr>
              <w:t>1. Do 31 grudnia 20</w:t>
            </w:r>
            <w:r w:rsidR="00066ECB" w:rsidRPr="00890C68">
              <w:rPr>
                <w:rFonts w:ascii="Times New Roman" w:hAnsi="Times New Roman"/>
                <w:color w:val="000000"/>
                <w:spacing w:val="-2"/>
              </w:rPr>
              <w:t>23</w:t>
            </w:r>
            <w:r w:rsidRPr="00890C68">
              <w:rPr>
                <w:rFonts w:ascii="Times New Roman" w:hAnsi="Times New Roman"/>
                <w:color w:val="000000"/>
                <w:spacing w:val="-2"/>
              </w:rPr>
              <w:t xml:space="preserve"> r. u co najmniej </w:t>
            </w:r>
            <w:r w:rsidR="00066ECB" w:rsidRPr="00890C68">
              <w:rPr>
                <w:rFonts w:ascii="Times New Roman" w:hAnsi="Times New Roman"/>
                <w:color w:val="000000"/>
                <w:spacing w:val="-2"/>
              </w:rPr>
              <w:t>1</w:t>
            </w:r>
            <w:r w:rsidRPr="00890C68">
              <w:rPr>
                <w:rFonts w:ascii="Times New Roman" w:hAnsi="Times New Roman"/>
                <w:color w:val="000000"/>
                <w:spacing w:val="-2"/>
              </w:rPr>
              <w:t>5 % odbiorców końcowych.</w:t>
            </w:r>
          </w:p>
          <w:p w:rsidR="008B039D" w:rsidRPr="00890C68" w:rsidRDefault="008B039D" w:rsidP="008B039D">
            <w:pPr>
              <w:spacing w:line="240" w:lineRule="auto"/>
              <w:jc w:val="both"/>
              <w:rPr>
                <w:rFonts w:ascii="Times New Roman" w:hAnsi="Times New Roman"/>
                <w:color w:val="000000"/>
                <w:spacing w:val="-2"/>
              </w:rPr>
            </w:pPr>
            <w:r w:rsidRPr="00890C68">
              <w:rPr>
                <w:rFonts w:ascii="Times New Roman" w:hAnsi="Times New Roman"/>
                <w:color w:val="000000"/>
                <w:spacing w:val="-2"/>
              </w:rPr>
              <w:t>2. Do 31 grudnia 202</w:t>
            </w:r>
            <w:r w:rsidR="00066ECB" w:rsidRPr="00890C68">
              <w:rPr>
                <w:rFonts w:ascii="Times New Roman" w:hAnsi="Times New Roman"/>
                <w:color w:val="000000"/>
                <w:spacing w:val="-2"/>
              </w:rPr>
              <w:t>5</w:t>
            </w:r>
            <w:r w:rsidRPr="00890C68">
              <w:rPr>
                <w:rFonts w:ascii="Times New Roman" w:hAnsi="Times New Roman"/>
                <w:color w:val="000000"/>
                <w:spacing w:val="-2"/>
              </w:rPr>
              <w:t xml:space="preserve"> r. u co najmniej </w:t>
            </w:r>
            <w:r w:rsidR="00066ECB" w:rsidRPr="00890C68">
              <w:rPr>
                <w:rFonts w:ascii="Times New Roman" w:hAnsi="Times New Roman"/>
                <w:color w:val="000000"/>
                <w:spacing w:val="-2"/>
              </w:rPr>
              <w:t>35</w:t>
            </w:r>
            <w:r w:rsidRPr="00890C68">
              <w:rPr>
                <w:rFonts w:ascii="Times New Roman" w:hAnsi="Times New Roman"/>
                <w:color w:val="000000"/>
                <w:spacing w:val="-2"/>
              </w:rPr>
              <w:t xml:space="preserve"> % odbiorców końcowych.</w:t>
            </w:r>
          </w:p>
          <w:p w:rsidR="008B039D" w:rsidRPr="00890C68" w:rsidRDefault="008B039D" w:rsidP="008B039D">
            <w:pPr>
              <w:spacing w:line="240" w:lineRule="auto"/>
              <w:jc w:val="both"/>
              <w:rPr>
                <w:rFonts w:ascii="Times New Roman" w:hAnsi="Times New Roman"/>
                <w:color w:val="000000"/>
                <w:spacing w:val="-2"/>
              </w:rPr>
            </w:pPr>
            <w:r w:rsidRPr="00890C68">
              <w:rPr>
                <w:rFonts w:ascii="Times New Roman" w:hAnsi="Times New Roman"/>
                <w:color w:val="000000"/>
                <w:spacing w:val="-2"/>
              </w:rPr>
              <w:t>3. Do 31 grudnia 20</w:t>
            </w:r>
            <w:r w:rsidR="00066ECB" w:rsidRPr="00890C68">
              <w:rPr>
                <w:rFonts w:ascii="Times New Roman" w:hAnsi="Times New Roman"/>
                <w:color w:val="000000"/>
                <w:spacing w:val="-2"/>
              </w:rPr>
              <w:t>27</w:t>
            </w:r>
            <w:r w:rsidRPr="00890C68">
              <w:rPr>
                <w:rFonts w:ascii="Times New Roman" w:hAnsi="Times New Roman"/>
                <w:color w:val="000000"/>
                <w:spacing w:val="-2"/>
              </w:rPr>
              <w:t xml:space="preserve"> r. u co najmniej </w:t>
            </w:r>
            <w:r w:rsidR="00066ECB" w:rsidRPr="00890C68">
              <w:rPr>
                <w:rFonts w:ascii="Times New Roman" w:hAnsi="Times New Roman"/>
                <w:color w:val="000000"/>
                <w:spacing w:val="-2"/>
              </w:rPr>
              <w:t>65</w:t>
            </w:r>
            <w:r w:rsidRPr="00890C68">
              <w:rPr>
                <w:rFonts w:ascii="Times New Roman" w:hAnsi="Times New Roman"/>
                <w:color w:val="000000"/>
                <w:spacing w:val="-2"/>
              </w:rPr>
              <w:t xml:space="preserve"> % odbiorców końcowych.</w:t>
            </w:r>
          </w:p>
          <w:p w:rsidR="008B039D" w:rsidRPr="00890C68" w:rsidRDefault="008B039D" w:rsidP="008B039D">
            <w:pPr>
              <w:spacing w:line="240" w:lineRule="auto"/>
              <w:jc w:val="both"/>
              <w:rPr>
                <w:rFonts w:ascii="Times New Roman" w:hAnsi="Times New Roman"/>
                <w:color w:val="000000"/>
                <w:spacing w:val="-2"/>
              </w:rPr>
            </w:pPr>
            <w:r w:rsidRPr="00890C68">
              <w:rPr>
                <w:rFonts w:ascii="Times New Roman" w:hAnsi="Times New Roman"/>
                <w:color w:val="000000"/>
                <w:spacing w:val="-2"/>
              </w:rPr>
              <w:t>4. Do 31 grudnia 202</w:t>
            </w:r>
            <w:r w:rsidR="00066ECB" w:rsidRPr="00890C68">
              <w:rPr>
                <w:rFonts w:ascii="Times New Roman" w:hAnsi="Times New Roman"/>
                <w:color w:val="000000"/>
                <w:spacing w:val="-2"/>
              </w:rPr>
              <w:t>8</w:t>
            </w:r>
            <w:r w:rsidRPr="00890C68">
              <w:rPr>
                <w:rFonts w:ascii="Times New Roman" w:hAnsi="Times New Roman"/>
                <w:color w:val="000000"/>
                <w:spacing w:val="-2"/>
              </w:rPr>
              <w:t xml:space="preserve"> r. u co najmniej </w:t>
            </w:r>
            <w:r w:rsidR="00066ECB" w:rsidRPr="00890C68">
              <w:rPr>
                <w:rFonts w:ascii="Times New Roman" w:hAnsi="Times New Roman"/>
                <w:color w:val="000000"/>
                <w:spacing w:val="-2"/>
              </w:rPr>
              <w:t>80</w:t>
            </w:r>
            <w:r w:rsidRPr="00890C68">
              <w:rPr>
                <w:rFonts w:ascii="Times New Roman" w:hAnsi="Times New Roman"/>
                <w:color w:val="000000"/>
                <w:spacing w:val="-2"/>
              </w:rPr>
              <w:t xml:space="preserve"> % odbiorców końcowych.</w:t>
            </w:r>
          </w:p>
          <w:p w:rsidR="008B039D" w:rsidRPr="00890C68" w:rsidRDefault="008B039D" w:rsidP="008B039D">
            <w:pPr>
              <w:spacing w:line="240" w:lineRule="auto"/>
              <w:jc w:val="both"/>
              <w:rPr>
                <w:rFonts w:ascii="Times New Roman" w:hAnsi="Times New Roman"/>
                <w:color w:val="000000"/>
                <w:spacing w:val="-2"/>
              </w:rPr>
            </w:pPr>
            <w:r w:rsidRPr="00890C68">
              <w:rPr>
                <w:rFonts w:ascii="Times New Roman" w:hAnsi="Times New Roman"/>
                <w:color w:val="000000"/>
                <w:spacing w:val="-2"/>
              </w:rPr>
              <w:t xml:space="preserve">Ad. 2. Liczba dni potrzebna odbiorcom do skutecznej zmiany sprzedawcy energii elektrycznej (w dniach): </w:t>
            </w:r>
          </w:p>
          <w:p w:rsidR="008B039D" w:rsidRPr="00890C68" w:rsidRDefault="008B039D" w:rsidP="008B039D">
            <w:pPr>
              <w:spacing w:line="240" w:lineRule="auto"/>
              <w:jc w:val="both"/>
              <w:rPr>
                <w:rFonts w:ascii="Times New Roman" w:hAnsi="Times New Roman"/>
                <w:color w:val="000000"/>
                <w:spacing w:val="-2"/>
              </w:rPr>
            </w:pPr>
            <w:r w:rsidRPr="00890C68">
              <w:rPr>
                <w:rFonts w:ascii="Times New Roman" w:hAnsi="Times New Roman"/>
                <w:color w:val="000000"/>
                <w:spacing w:val="-2"/>
              </w:rPr>
              <w:t>a)</w:t>
            </w:r>
            <w:r w:rsidRPr="00890C68">
              <w:rPr>
                <w:rFonts w:ascii="Times New Roman" w:hAnsi="Times New Roman"/>
                <w:color w:val="000000"/>
                <w:spacing w:val="-2"/>
              </w:rPr>
              <w:tab/>
            </w:r>
            <w:r w:rsidR="00CC1321" w:rsidRPr="00890C68">
              <w:rPr>
                <w:rFonts w:ascii="Times New Roman" w:hAnsi="Times New Roman"/>
                <w:color w:val="000000"/>
                <w:spacing w:val="-2"/>
              </w:rPr>
              <w:t xml:space="preserve">w roku uruchomienia CSIRE </w:t>
            </w:r>
            <w:r w:rsidRPr="00890C68">
              <w:rPr>
                <w:rFonts w:ascii="Times New Roman" w:hAnsi="Times New Roman"/>
                <w:color w:val="000000"/>
                <w:spacing w:val="-2"/>
              </w:rPr>
              <w:t xml:space="preserve">– </w:t>
            </w:r>
            <w:r w:rsidR="00CC1321" w:rsidRPr="00890C68">
              <w:rPr>
                <w:rFonts w:ascii="Times New Roman" w:hAnsi="Times New Roman"/>
                <w:color w:val="000000"/>
                <w:spacing w:val="-2"/>
              </w:rPr>
              <w:t>3</w:t>
            </w:r>
            <w:r w:rsidRPr="00890C68">
              <w:rPr>
                <w:rFonts w:ascii="Times New Roman" w:hAnsi="Times New Roman"/>
                <w:color w:val="000000"/>
                <w:spacing w:val="-2"/>
              </w:rPr>
              <w:t xml:space="preserve"> dni; </w:t>
            </w:r>
          </w:p>
          <w:p w:rsidR="008B039D" w:rsidRPr="00890C68" w:rsidRDefault="008B039D" w:rsidP="008B039D">
            <w:pPr>
              <w:spacing w:line="240" w:lineRule="auto"/>
              <w:jc w:val="both"/>
              <w:rPr>
                <w:rFonts w:ascii="Times New Roman" w:hAnsi="Times New Roman"/>
                <w:color w:val="000000"/>
                <w:spacing w:val="-2"/>
              </w:rPr>
            </w:pPr>
            <w:r w:rsidRPr="00890C68">
              <w:rPr>
                <w:rFonts w:ascii="Times New Roman" w:hAnsi="Times New Roman"/>
                <w:color w:val="000000"/>
                <w:spacing w:val="-2"/>
              </w:rPr>
              <w:t>b)</w:t>
            </w:r>
            <w:r w:rsidRPr="00890C68">
              <w:rPr>
                <w:rFonts w:ascii="Times New Roman" w:hAnsi="Times New Roman"/>
                <w:color w:val="000000"/>
                <w:spacing w:val="-2"/>
              </w:rPr>
              <w:tab/>
            </w:r>
            <w:r w:rsidR="00CC1321" w:rsidRPr="00890C68">
              <w:rPr>
                <w:rFonts w:ascii="Times New Roman" w:hAnsi="Times New Roman"/>
                <w:color w:val="000000"/>
                <w:spacing w:val="-2"/>
              </w:rPr>
              <w:t>rok po roku uruchomienia CSIRE</w:t>
            </w:r>
            <w:r w:rsidRPr="00890C68">
              <w:rPr>
                <w:rFonts w:ascii="Times New Roman" w:hAnsi="Times New Roman"/>
                <w:color w:val="000000"/>
                <w:spacing w:val="-2"/>
              </w:rPr>
              <w:t xml:space="preserve"> – </w:t>
            </w:r>
            <w:r w:rsidR="00CC1321" w:rsidRPr="00890C68">
              <w:rPr>
                <w:rFonts w:ascii="Times New Roman" w:hAnsi="Times New Roman"/>
                <w:color w:val="000000"/>
                <w:spacing w:val="-2"/>
              </w:rPr>
              <w:t>1</w:t>
            </w:r>
            <w:r w:rsidRPr="00890C68">
              <w:rPr>
                <w:rFonts w:ascii="Times New Roman" w:hAnsi="Times New Roman"/>
                <w:color w:val="000000"/>
                <w:spacing w:val="-2"/>
              </w:rPr>
              <w:t>d</w:t>
            </w:r>
            <w:r w:rsidR="00CC1321" w:rsidRPr="00890C68">
              <w:rPr>
                <w:rFonts w:ascii="Times New Roman" w:hAnsi="Times New Roman"/>
                <w:color w:val="000000"/>
                <w:spacing w:val="-2"/>
              </w:rPr>
              <w:t>zień</w:t>
            </w:r>
            <w:r w:rsidRPr="00890C68">
              <w:rPr>
                <w:rFonts w:ascii="Times New Roman" w:hAnsi="Times New Roman"/>
                <w:color w:val="000000"/>
                <w:spacing w:val="-2"/>
              </w:rPr>
              <w:t xml:space="preserve"> ; </w:t>
            </w:r>
          </w:p>
          <w:p w:rsidR="008B039D" w:rsidRPr="00890C68" w:rsidRDefault="00A37257" w:rsidP="008B039D">
            <w:pPr>
              <w:spacing w:line="240" w:lineRule="auto"/>
              <w:jc w:val="both"/>
              <w:rPr>
                <w:rFonts w:ascii="Times New Roman" w:hAnsi="Times New Roman"/>
                <w:color w:val="000000"/>
                <w:spacing w:val="-2"/>
              </w:rPr>
            </w:pPr>
            <w:r w:rsidRPr="00890C68">
              <w:rPr>
                <w:rFonts w:ascii="Times New Roman" w:hAnsi="Times New Roman"/>
                <w:color w:val="000000"/>
                <w:spacing w:val="-2"/>
              </w:rPr>
              <w:t>Ad. 3</w:t>
            </w:r>
            <w:r w:rsidR="008B039D" w:rsidRPr="00890C68">
              <w:rPr>
                <w:rFonts w:ascii="Times New Roman" w:hAnsi="Times New Roman"/>
                <w:color w:val="000000"/>
                <w:spacing w:val="-2"/>
              </w:rPr>
              <w:t>. Liczba zmian sprzedawcy energii elektrycznej przez odbiorców końcowych rocznie – dopuszczalna tolerancja 20%:</w:t>
            </w:r>
          </w:p>
          <w:p w:rsidR="008B039D" w:rsidRPr="00890C68" w:rsidRDefault="008B039D" w:rsidP="008B039D">
            <w:pPr>
              <w:spacing w:line="240" w:lineRule="auto"/>
              <w:jc w:val="both"/>
              <w:rPr>
                <w:rFonts w:ascii="Times New Roman" w:hAnsi="Times New Roman"/>
                <w:color w:val="000000"/>
                <w:spacing w:val="-2"/>
              </w:rPr>
            </w:pPr>
            <w:r w:rsidRPr="00890C68">
              <w:rPr>
                <w:rFonts w:ascii="Times New Roman" w:hAnsi="Times New Roman"/>
                <w:color w:val="000000"/>
                <w:spacing w:val="-2"/>
              </w:rPr>
              <w:t>b)</w:t>
            </w:r>
            <w:r w:rsidRPr="00890C68">
              <w:rPr>
                <w:rFonts w:ascii="Times New Roman" w:hAnsi="Times New Roman"/>
                <w:color w:val="000000"/>
                <w:spacing w:val="-2"/>
              </w:rPr>
              <w:tab/>
              <w:t>3</w:t>
            </w:r>
            <w:r w:rsidR="00BA7486" w:rsidRPr="00890C68">
              <w:rPr>
                <w:rFonts w:ascii="Times New Roman" w:hAnsi="Times New Roman"/>
                <w:color w:val="000000"/>
                <w:spacing w:val="-2"/>
              </w:rPr>
              <w:t>1</w:t>
            </w:r>
            <w:r w:rsidRPr="00890C68">
              <w:rPr>
                <w:rFonts w:ascii="Times New Roman" w:hAnsi="Times New Roman"/>
                <w:color w:val="000000"/>
                <w:spacing w:val="-2"/>
              </w:rPr>
              <w:t xml:space="preserve"> grudnia 202</w:t>
            </w:r>
            <w:r w:rsidR="00BA7486" w:rsidRPr="00890C68">
              <w:rPr>
                <w:rFonts w:ascii="Times New Roman" w:hAnsi="Times New Roman"/>
                <w:color w:val="000000"/>
                <w:spacing w:val="-2"/>
              </w:rPr>
              <w:t>3</w:t>
            </w:r>
            <w:r w:rsidRPr="00890C68">
              <w:rPr>
                <w:rFonts w:ascii="Times New Roman" w:hAnsi="Times New Roman"/>
                <w:color w:val="000000"/>
                <w:spacing w:val="-2"/>
              </w:rPr>
              <w:t xml:space="preserve"> roku – co najmniej 50 tys.</w:t>
            </w:r>
          </w:p>
          <w:p w:rsidR="008B039D" w:rsidRPr="00890C68" w:rsidRDefault="008B039D" w:rsidP="008B039D">
            <w:pPr>
              <w:spacing w:line="240" w:lineRule="auto"/>
              <w:jc w:val="both"/>
              <w:rPr>
                <w:rFonts w:ascii="Times New Roman" w:hAnsi="Times New Roman"/>
                <w:color w:val="000000"/>
                <w:spacing w:val="-2"/>
              </w:rPr>
            </w:pPr>
            <w:r w:rsidRPr="00890C68">
              <w:rPr>
                <w:rFonts w:ascii="Times New Roman" w:hAnsi="Times New Roman"/>
                <w:color w:val="000000"/>
                <w:spacing w:val="-2"/>
              </w:rPr>
              <w:t>c)</w:t>
            </w:r>
            <w:r w:rsidRPr="00890C68">
              <w:rPr>
                <w:rFonts w:ascii="Times New Roman" w:hAnsi="Times New Roman"/>
                <w:color w:val="000000"/>
                <w:spacing w:val="-2"/>
              </w:rPr>
              <w:tab/>
              <w:t>3</w:t>
            </w:r>
            <w:r w:rsidR="00BA7486" w:rsidRPr="00890C68">
              <w:rPr>
                <w:rFonts w:ascii="Times New Roman" w:hAnsi="Times New Roman"/>
                <w:color w:val="000000"/>
                <w:spacing w:val="-2"/>
              </w:rPr>
              <w:t>1</w:t>
            </w:r>
            <w:r w:rsidRPr="00890C68">
              <w:rPr>
                <w:rFonts w:ascii="Times New Roman" w:hAnsi="Times New Roman"/>
                <w:color w:val="000000"/>
                <w:spacing w:val="-2"/>
              </w:rPr>
              <w:t xml:space="preserve"> grudnia 202</w:t>
            </w:r>
            <w:r w:rsidR="00BA7486" w:rsidRPr="00890C68">
              <w:rPr>
                <w:rFonts w:ascii="Times New Roman" w:hAnsi="Times New Roman"/>
                <w:color w:val="000000"/>
                <w:spacing w:val="-2"/>
              </w:rPr>
              <w:t>5</w:t>
            </w:r>
            <w:r w:rsidRPr="00890C68">
              <w:rPr>
                <w:rFonts w:ascii="Times New Roman" w:hAnsi="Times New Roman"/>
                <w:color w:val="000000"/>
                <w:spacing w:val="-2"/>
              </w:rPr>
              <w:t xml:space="preserve"> roku – co najmniej 100 tys.</w:t>
            </w:r>
          </w:p>
          <w:p w:rsidR="008B039D" w:rsidRPr="00890C68" w:rsidRDefault="008B039D" w:rsidP="008B039D">
            <w:pPr>
              <w:spacing w:line="240" w:lineRule="auto"/>
              <w:jc w:val="both"/>
              <w:rPr>
                <w:rFonts w:ascii="Times New Roman" w:hAnsi="Times New Roman"/>
                <w:color w:val="000000"/>
                <w:spacing w:val="-2"/>
              </w:rPr>
            </w:pPr>
            <w:r w:rsidRPr="00890C68">
              <w:rPr>
                <w:rFonts w:ascii="Times New Roman" w:hAnsi="Times New Roman"/>
                <w:color w:val="000000"/>
                <w:spacing w:val="-2"/>
              </w:rPr>
              <w:t>d)</w:t>
            </w:r>
            <w:r w:rsidRPr="00890C68">
              <w:rPr>
                <w:rFonts w:ascii="Times New Roman" w:hAnsi="Times New Roman"/>
                <w:color w:val="000000"/>
                <w:spacing w:val="-2"/>
              </w:rPr>
              <w:tab/>
              <w:t>31 grudnia 202</w:t>
            </w:r>
            <w:r w:rsidR="00BA7486" w:rsidRPr="00890C68">
              <w:rPr>
                <w:rFonts w:ascii="Times New Roman" w:hAnsi="Times New Roman"/>
                <w:color w:val="000000"/>
                <w:spacing w:val="-2"/>
              </w:rPr>
              <w:t>7</w:t>
            </w:r>
            <w:r w:rsidRPr="00890C68">
              <w:rPr>
                <w:rFonts w:ascii="Times New Roman" w:hAnsi="Times New Roman"/>
                <w:color w:val="000000"/>
                <w:spacing w:val="-2"/>
              </w:rPr>
              <w:t xml:space="preserve"> roku – co najmniej 300 tys.</w:t>
            </w:r>
          </w:p>
          <w:p w:rsidR="001B3460" w:rsidRPr="00890C68" w:rsidRDefault="008B039D" w:rsidP="00B37C80">
            <w:pPr>
              <w:spacing w:line="240" w:lineRule="auto"/>
              <w:jc w:val="both"/>
              <w:rPr>
                <w:rFonts w:ascii="Times New Roman" w:hAnsi="Times New Roman"/>
                <w:color w:val="000000"/>
                <w:spacing w:val="-2"/>
              </w:rPr>
            </w:pPr>
            <w:r w:rsidRPr="00890C68">
              <w:rPr>
                <w:rFonts w:ascii="Times New Roman" w:hAnsi="Times New Roman"/>
                <w:color w:val="000000"/>
                <w:spacing w:val="-2"/>
              </w:rPr>
              <w:t>e)</w:t>
            </w:r>
            <w:r w:rsidRPr="00890C68">
              <w:rPr>
                <w:rFonts w:ascii="Times New Roman" w:hAnsi="Times New Roman"/>
                <w:color w:val="000000"/>
                <w:spacing w:val="-2"/>
              </w:rPr>
              <w:tab/>
              <w:t>31 grudnia 202</w:t>
            </w:r>
            <w:r w:rsidR="00BA7486" w:rsidRPr="00890C68">
              <w:rPr>
                <w:rFonts w:ascii="Times New Roman" w:hAnsi="Times New Roman"/>
                <w:color w:val="000000"/>
                <w:spacing w:val="-2"/>
              </w:rPr>
              <w:t>8</w:t>
            </w:r>
            <w:r w:rsidRPr="00890C68">
              <w:rPr>
                <w:rFonts w:ascii="Times New Roman" w:hAnsi="Times New Roman"/>
                <w:color w:val="000000"/>
                <w:spacing w:val="-2"/>
              </w:rPr>
              <w:t xml:space="preserve"> – co najmniej 500 tys.</w:t>
            </w:r>
          </w:p>
        </w:tc>
      </w:tr>
      <w:tr w:rsidR="001B3460" w:rsidRPr="00890C68" w:rsidTr="00641996">
        <w:trPr>
          <w:trHeight w:val="142"/>
        </w:trPr>
        <w:tc>
          <w:tcPr>
            <w:tcW w:w="11057" w:type="dxa"/>
            <w:gridSpan w:val="15"/>
            <w:shd w:val="clear" w:color="auto" w:fill="99CCFF"/>
          </w:tcPr>
          <w:p w:rsidR="001B3460" w:rsidRPr="00890C68" w:rsidRDefault="00AB04A1" w:rsidP="00AB04A1">
            <w:pPr>
              <w:spacing w:before="60" w:after="60" w:line="240" w:lineRule="auto"/>
              <w:jc w:val="both"/>
              <w:rPr>
                <w:rFonts w:ascii="Times New Roman" w:hAnsi="Times New Roman"/>
                <w:b/>
                <w:color w:val="000000"/>
                <w:spacing w:val="-2"/>
              </w:rPr>
            </w:pPr>
            <w:r>
              <w:rPr>
                <w:rFonts w:ascii="Times New Roman" w:hAnsi="Times New Roman"/>
                <w:b/>
                <w:color w:val="000000"/>
                <w:spacing w:val="-2"/>
              </w:rPr>
              <w:t xml:space="preserve">13. </w:t>
            </w:r>
            <w:r w:rsidR="001B3460" w:rsidRPr="00890C68">
              <w:rPr>
                <w:rFonts w:ascii="Times New Roman" w:hAnsi="Times New Roman"/>
                <w:b/>
                <w:color w:val="000000"/>
                <w:spacing w:val="-2"/>
              </w:rPr>
              <w:t xml:space="preserve">Załączniki </w:t>
            </w:r>
            <w:r w:rsidR="001B3460" w:rsidRPr="00890C68">
              <w:rPr>
                <w:rFonts w:ascii="Times New Roman" w:hAnsi="Times New Roman"/>
                <w:b/>
                <w:spacing w:val="-2"/>
                <w:sz w:val="21"/>
                <w:szCs w:val="21"/>
              </w:rPr>
              <w:t xml:space="preserve">(istotne dokumenty źródłowe, badania, analizy </w:t>
            </w:r>
            <w:r w:rsidR="00C33027" w:rsidRPr="00890C68">
              <w:rPr>
                <w:rFonts w:ascii="Times New Roman" w:hAnsi="Times New Roman"/>
                <w:b/>
                <w:spacing w:val="-2"/>
                <w:sz w:val="21"/>
                <w:szCs w:val="21"/>
              </w:rPr>
              <w:t>itp.</w:t>
            </w:r>
            <w:r w:rsidR="001B3460" w:rsidRPr="00890C68">
              <w:rPr>
                <w:rFonts w:ascii="Times New Roman" w:hAnsi="Times New Roman"/>
                <w:b/>
                <w:color w:val="000000"/>
                <w:spacing w:val="-2"/>
              </w:rPr>
              <w:t xml:space="preserve">) </w:t>
            </w:r>
          </w:p>
        </w:tc>
      </w:tr>
      <w:tr w:rsidR="001B3460" w:rsidRPr="00890C68" w:rsidTr="00641996">
        <w:trPr>
          <w:trHeight w:val="142"/>
        </w:trPr>
        <w:tc>
          <w:tcPr>
            <w:tcW w:w="11057" w:type="dxa"/>
            <w:gridSpan w:val="15"/>
            <w:shd w:val="clear" w:color="auto" w:fill="FFFFFF"/>
          </w:tcPr>
          <w:p w:rsidR="008B039D" w:rsidRPr="00890C68" w:rsidRDefault="008B039D" w:rsidP="008B039D">
            <w:pPr>
              <w:spacing w:line="240" w:lineRule="auto"/>
              <w:jc w:val="both"/>
              <w:rPr>
                <w:rFonts w:ascii="Times New Roman" w:hAnsi="Times New Roman"/>
                <w:color w:val="000000"/>
                <w:spacing w:val="-2"/>
              </w:rPr>
            </w:pPr>
            <w:r w:rsidRPr="00890C68">
              <w:rPr>
                <w:rFonts w:ascii="Times New Roman" w:hAnsi="Times New Roman"/>
                <w:color w:val="000000"/>
                <w:spacing w:val="-2"/>
              </w:rPr>
              <w:t xml:space="preserve">1. Aktualizacja istotnych założeń do modelu kosztów i korzyści wdrożenia inteligentnego opomiarowania w Polsce, </w:t>
            </w:r>
            <w:r w:rsidR="00BE0C72" w:rsidRPr="00890C68">
              <w:rPr>
                <w:rFonts w:ascii="Times New Roman" w:hAnsi="Times New Roman"/>
                <w:color w:val="000000"/>
                <w:spacing w:val="-2"/>
              </w:rPr>
              <w:t xml:space="preserve">kwiecień </w:t>
            </w:r>
            <w:r w:rsidRPr="00890C68">
              <w:rPr>
                <w:rFonts w:ascii="Times New Roman" w:hAnsi="Times New Roman"/>
                <w:color w:val="000000"/>
                <w:spacing w:val="-2"/>
              </w:rPr>
              <w:t>201</w:t>
            </w:r>
            <w:r w:rsidR="00BE0C72" w:rsidRPr="00890C68">
              <w:rPr>
                <w:rFonts w:ascii="Times New Roman" w:hAnsi="Times New Roman"/>
                <w:color w:val="000000"/>
                <w:spacing w:val="-2"/>
              </w:rPr>
              <w:t>9</w:t>
            </w:r>
            <w:r w:rsidRPr="00890C68">
              <w:rPr>
                <w:rFonts w:ascii="Times New Roman" w:hAnsi="Times New Roman"/>
                <w:color w:val="000000"/>
                <w:spacing w:val="-2"/>
              </w:rPr>
              <w:t xml:space="preserve"> r. </w:t>
            </w:r>
          </w:p>
          <w:p w:rsidR="008B039D" w:rsidRPr="00890C68" w:rsidRDefault="008B039D" w:rsidP="008B039D">
            <w:pPr>
              <w:spacing w:line="240" w:lineRule="auto"/>
              <w:jc w:val="both"/>
              <w:rPr>
                <w:rFonts w:ascii="Times New Roman" w:hAnsi="Times New Roman"/>
                <w:color w:val="000000"/>
                <w:spacing w:val="-2"/>
              </w:rPr>
            </w:pPr>
            <w:r w:rsidRPr="00890C68">
              <w:rPr>
                <w:rFonts w:ascii="Times New Roman" w:hAnsi="Times New Roman"/>
                <w:color w:val="000000"/>
                <w:spacing w:val="-2"/>
                <w:lang w:val="en-US"/>
              </w:rPr>
              <w:t xml:space="preserve">2. European Smart Metering Landscape Report „Utilities and Consumers”. </w:t>
            </w:r>
            <w:r w:rsidRPr="00890C68">
              <w:rPr>
                <w:rFonts w:ascii="Times New Roman" w:hAnsi="Times New Roman"/>
                <w:color w:val="000000"/>
                <w:spacing w:val="-2"/>
              </w:rPr>
              <w:t>USmartConsumer Project. Madryt, listopad 2016 r.</w:t>
            </w:r>
          </w:p>
          <w:p w:rsidR="008B039D" w:rsidRDefault="008B039D" w:rsidP="008B039D">
            <w:pPr>
              <w:spacing w:line="240" w:lineRule="auto"/>
              <w:jc w:val="both"/>
              <w:rPr>
                <w:rFonts w:ascii="Times New Roman" w:hAnsi="Times New Roman"/>
                <w:color w:val="000000"/>
                <w:spacing w:val="-2"/>
              </w:rPr>
            </w:pPr>
            <w:r w:rsidRPr="00890C68">
              <w:rPr>
                <w:rFonts w:ascii="Times New Roman" w:hAnsi="Times New Roman"/>
                <w:color w:val="000000"/>
                <w:spacing w:val="-2"/>
              </w:rPr>
              <w:lastRenderedPageBreak/>
              <w:t xml:space="preserve">3. Analiza w zakresie ekonomicznej oceny zasadności wprowadzenia inteligentnych form pomiaru zużycia energii elektrycznej w Polsce, 20 sierpnia 2012 r. </w:t>
            </w:r>
            <w:r w:rsidR="00EC3940">
              <w:rPr>
                <w:rFonts w:ascii="Times New Roman" w:hAnsi="Times New Roman"/>
                <w:color w:val="000000"/>
                <w:spacing w:val="-2"/>
              </w:rPr>
              <w:t>– podstawowy dokument, na podstawie którego dokonano zgłoszenia do Komisji Europejskiej w 2012 r.</w:t>
            </w:r>
          </w:p>
          <w:p w:rsidR="005E7690" w:rsidRPr="00890C68" w:rsidRDefault="005E7690" w:rsidP="00F32C23">
            <w:pPr>
              <w:spacing w:line="240" w:lineRule="auto"/>
              <w:jc w:val="both"/>
              <w:rPr>
                <w:rFonts w:ascii="Times New Roman" w:hAnsi="Times New Roman"/>
                <w:color w:val="000000"/>
                <w:spacing w:val="-2"/>
              </w:rPr>
            </w:pPr>
            <w:r>
              <w:rPr>
                <w:rFonts w:ascii="Times New Roman" w:hAnsi="Times New Roman"/>
                <w:color w:val="000000"/>
                <w:spacing w:val="-2"/>
              </w:rPr>
              <w:t>4. Załącznik do zgłoszenia do Komisji Europejskiej w 2012 r. przygotowany w ówczesnym ministerstwie Gospodarki i bazujący na analizie PTPiREE z 20 sierpnia 2012 r.</w:t>
            </w:r>
            <w:r w:rsidR="00F32C23">
              <w:rPr>
                <w:rFonts w:ascii="Times New Roman" w:hAnsi="Times New Roman"/>
                <w:color w:val="000000"/>
                <w:spacing w:val="-2"/>
              </w:rPr>
              <w:t xml:space="preserve">, zatytułowany: </w:t>
            </w:r>
            <w:r w:rsidR="00F32C23" w:rsidRPr="00F32C23">
              <w:rPr>
                <w:rFonts w:ascii="Times New Roman" w:hAnsi="Times New Roman"/>
                <w:color w:val="000000"/>
                <w:spacing w:val="-2"/>
              </w:rPr>
              <w:t>Informacja do</w:t>
            </w:r>
            <w:r w:rsidR="00F32C23">
              <w:rPr>
                <w:rFonts w:ascii="Times New Roman" w:hAnsi="Times New Roman"/>
                <w:color w:val="000000"/>
                <w:spacing w:val="-2"/>
              </w:rPr>
              <w:t xml:space="preserve">tycząca zasadności wprowadzenia </w:t>
            </w:r>
            <w:r w:rsidR="00F32C23" w:rsidRPr="00F32C23">
              <w:rPr>
                <w:rFonts w:ascii="Times New Roman" w:hAnsi="Times New Roman"/>
                <w:color w:val="000000"/>
                <w:spacing w:val="-2"/>
              </w:rPr>
              <w:t>inteligentnych form pomia</w:t>
            </w:r>
            <w:r w:rsidR="00F32C23">
              <w:rPr>
                <w:rFonts w:ascii="Times New Roman" w:hAnsi="Times New Roman"/>
                <w:color w:val="000000"/>
                <w:spacing w:val="-2"/>
              </w:rPr>
              <w:t xml:space="preserve">ru zużycia energii elektrycznej </w:t>
            </w:r>
            <w:r w:rsidR="00F32C23" w:rsidRPr="00F32C23">
              <w:rPr>
                <w:rFonts w:ascii="Times New Roman" w:hAnsi="Times New Roman"/>
                <w:color w:val="000000"/>
                <w:spacing w:val="-2"/>
              </w:rPr>
              <w:t>w Polsce</w:t>
            </w:r>
            <w:r w:rsidR="00F32C23">
              <w:rPr>
                <w:rFonts w:ascii="Times New Roman" w:hAnsi="Times New Roman"/>
                <w:color w:val="000000"/>
                <w:spacing w:val="-2"/>
              </w:rPr>
              <w:t>.</w:t>
            </w:r>
          </w:p>
          <w:p w:rsidR="008B039D" w:rsidRPr="00890C68" w:rsidRDefault="005E7690" w:rsidP="008B039D">
            <w:pPr>
              <w:spacing w:line="240" w:lineRule="auto"/>
              <w:jc w:val="both"/>
              <w:rPr>
                <w:rFonts w:ascii="Times New Roman" w:hAnsi="Times New Roman"/>
                <w:color w:val="000000"/>
                <w:spacing w:val="-2"/>
              </w:rPr>
            </w:pPr>
            <w:r>
              <w:rPr>
                <w:rFonts w:ascii="Times New Roman" w:hAnsi="Times New Roman"/>
                <w:color w:val="000000"/>
                <w:spacing w:val="-2"/>
              </w:rPr>
              <w:t>5</w:t>
            </w:r>
            <w:r w:rsidR="008B039D" w:rsidRPr="00890C68">
              <w:rPr>
                <w:rFonts w:ascii="Times New Roman" w:hAnsi="Times New Roman"/>
                <w:color w:val="000000"/>
                <w:spacing w:val="-2"/>
              </w:rPr>
              <w:t>. Analiza skutków społeczno-gospodarczych wdrożenia inteligentnego opomiarowania, Warszawa, kwiecień 2013 r.</w:t>
            </w:r>
          </w:p>
          <w:p w:rsidR="008B039D" w:rsidRPr="00890C68" w:rsidRDefault="005E7690" w:rsidP="008B039D">
            <w:pPr>
              <w:spacing w:line="240" w:lineRule="auto"/>
              <w:jc w:val="both"/>
              <w:rPr>
                <w:rFonts w:ascii="Times New Roman" w:hAnsi="Times New Roman"/>
                <w:color w:val="000000"/>
                <w:spacing w:val="-2"/>
              </w:rPr>
            </w:pPr>
            <w:r>
              <w:rPr>
                <w:rFonts w:ascii="Times New Roman" w:hAnsi="Times New Roman"/>
                <w:color w:val="000000"/>
                <w:spacing w:val="-2"/>
              </w:rPr>
              <w:t>6</w:t>
            </w:r>
            <w:r w:rsidR="008B039D" w:rsidRPr="00890C68">
              <w:rPr>
                <w:rFonts w:ascii="Times New Roman" w:hAnsi="Times New Roman"/>
                <w:color w:val="000000"/>
                <w:spacing w:val="-2"/>
              </w:rPr>
              <w:t xml:space="preserve">. Aneks do Analizy skutków społeczno – gospodarczych wdrożenia inteligentnego opomiarowania, Warszawa, kwiecień 2013 r. </w:t>
            </w:r>
          </w:p>
          <w:p w:rsidR="008B039D" w:rsidRPr="00890C68" w:rsidRDefault="005E7690" w:rsidP="008B039D">
            <w:pPr>
              <w:spacing w:line="240" w:lineRule="auto"/>
              <w:jc w:val="both"/>
              <w:rPr>
                <w:rFonts w:ascii="Times New Roman" w:hAnsi="Times New Roman"/>
                <w:color w:val="000000"/>
                <w:spacing w:val="-2"/>
              </w:rPr>
            </w:pPr>
            <w:r>
              <w:rPr>
                <w:rFonts w:ascii="Times New Roman" w:hAnsi="Times New Roman"/>
                <w:color w:val="000000"/>
                <w:spacing w:val="-2"/>
              </w:rPr>
              <w:t>7</w:t>
            </w:r>
            <w:r w:rsidR="008B039D" w:rsidRPr="00890C68">
              <w:rPr>
                <w:rFonts w:ascii="Times New Roman" w:hAnsi="Times New Roman"/>
                <w:color w:val="000000"/>
                <w:spacing w:val="-2"/>
              </w:rPr>
              <w:t xml:space="preserve">. </w:t>
            </w:r>
            <w:r w:rsidR="00334381" w:rsidRPr="00890C68">
              <w:rPr>
                <w:rFonts w:ascii="Times New Roman" w:hAnsi="Times New Roman"/>
                <w:color w:val="000000"/>
                <w:spacing w:val="-2"/>
              </w:rPr>
              <w:t>M</w:t>
            </w:r>
            <w:r w:rsidR="00C37ED4" w:rsidRPr="00890C68">
              <w:rPr>
                <w:rFonts w:ascii="Times New Roman" w:hAnsi="Times New Roman"/>
                <w:color w:val="000000"/>
                <w:spacing w:val="-2"/>
              </w:rPr>
              <w:t>ateriał</w:t>
            </w:r>
            <w:r w:rsidR="00334381" w:rsidRPr="00890C68">
              <w:rPr>
                <w:rFonts w:ascii="Times New Roman" w:hAnsi="Times New Roman"/>
                <w:color w:val="000000"/>
                <w:spacing w:val="-2"/>
              </w:rPr>
              <w:t xml:space="preserve"> </w:t>
            </w:r>
            <w:r w:rsidR="008B039D" w:rsidRPr="00890C68">
              <w:rPr>
                <w:rFonts w:ascii="Times New Roman" w:hAnsi="Times New Roman"/>
                <w:color w:val="000000"/>
                <w:spacing w:val="-2"/>
              </w:rPr>
              <w:t>PSE S.A. dot</w:t>
            </w:r>
            <w:r w:rsidR="00C37ED4" w:rsidRPr="00890C68">
              <w:rPr>
                <w:rFonts w:ascii="Times New Roman" w:hAnsi="Times New Roman"/>
                <w:color w:val="000000"/>
                <w:spacing w:val="-2"/>
              </w:rPr>
              <w:t>yczący</w:t>
            </w:r>
            <w:r w:rsidR="008B039D" w:rsidRPr="00890C68">
              <w:rPr>
                <w:rFonts w:ascii="Times New Roman" w:hAnsi="Times New Roman"/>
                <w:color w:val="000000"/>
                <w:spacing w:val="-2"/>
              </w:rPr>
              <w:t xml:space="preserve"> kosztów do poniesienia w latach 20</w:t>
            </w:r>
            <w:r w:rsidR="00C37ED4" w:rsidRPr="00890C68">
              <w:rPr>
                <w:rFonts w:ascii="Times New Roman" w:hAnsi="Times New Roman"/>
                <w:color w:val="000000"/>
                <w:spacing w:val="-2"/>
              </w:rPr>
              <w:t>20</w:t>
            </w:r>
            <w:r w:rsidR="008B039D" w:rsidRPr="00890C68">
              <w:rPr>
                <w:rFonts w:ascii="Times New Roman" w:hAnsi="Times New Roman"/>
                <w:color w:val="000000"/>
                <w:spacing w:val="-2"/>
              </w:rPr>
              <w:t xml:space="preserve"> – 2028 związanych z budową i funkcjonowaniem Operatora Informacji </w:t>
            </w:r>
            <w:r w:rsidR="00C37ED4" w:rsidRPr="00890C68">
              <w:rPr>
                <w:rFonts w:ascii="Times New Roman" w:hAnsi="Times New Roman"/>
                <w:color w:val="000000"/>
                <w:spacing w:val="-2"/>
              </w:rPr>
              <w:t xml:space="preserve">Rynku Energii </w:t>
            </w:r>
            <w:r w:rsidR="008B039D" w:rsidRPr="00890C68">
              <w:rPr>
                <w:rFonts w:ascii="Times New Roman" w:hAnsi="Times New Roman"/>
                <w:color w:val="000000"/>
                <w:spacing w:val="-2"/>
              </w:rPr>
              <w:t xml:space="preserve">z dnia </w:t>
            </w:r>
            <w:r w:rsidR="00C37ED4" w:rsidRPr="00890C68">
              <w:rPr>
                <w:rFonts w:ascii="Times New Roman" w:hAnsi="Times New Roman"/>
                <w:color w:val="000000"/>
                <w:spacing w:val="-2"/>
              </w:rPr>
              <w:t>16</w:t>
            </w:r>
            <w:r w:rsidR="008B039D" w:rsidRPr="00890C68">
              <w:rPr>
                <w:rFonts w:ascii="Times New Roman" w:hAnsi="Times New Roman"/>
                <w:color w:val="000000"/>
                <w:spacing w:val="-2"/>
              </w:rPr>
              <w:t xml:space="preserve"> </w:t>
            </w:r>
            <w:r w:rsidR="00C37ED4" w:rsidRPr="00890C68">
              <w:rPr>
                <w:rFonts w:ascii="Times New Roman" w:hAnsi="Times New Roman"/>
                <w:color w:val="000000"/>
                <w:spacing w:val="-2"/>
              </w:rPr>
              <w:t xml:space="preserve">kwietnia </w:t>
            </w:r>
            <w:r w:rsidR="008B039D" w:rsidRPr="00890C68">
              <w:rPr>
                <w:rFonts w:ascii="Times New Roman" w:hAnsi="Times New Roman"/>
                <w:color w:val="000000"/>
                <w:spacing w:val="-2"/>
              </w:rPr>
              <w:t>201</w:t>
            </w:r>
            <w:r w:rsidR="00C37ED4" w:rsidRPr="00890C68">
              <w:rPr>
                <w:rFonts w:ascii="Times New Roman" w:hAnsi="Times New Roman"/>
                <w:color w:val="000000"/>
                <w:spacing w:val="-2"/>
              </w:rPr>
              <w:t>9</w:t>
            </w:r>
            <w:r w:rsidR="008B039D" w:rsidRPr="00890C68">
              <w:rPr>
                <w:rFonts w:ascii="Times New Roman" w:hAnsi="Times New Roman"/>
                <w:color w:val="000000"/>
                <w:spacing w:val="-2"/>
              </w:rPr>
              <w:t xml:space="preserve"> r.</w:t>
            </w:r>
          </w:p>
          <w:p w:rsidR="001B3460" w:rsidRDefault="005E7690" w:rsidP="00B37C80">
            <w:pPr>
              <w:spacing w:line="240" w:lineRule="auto"/>
              <w:jc w:val="both"/>
              <w:rPr>
                <w:rFonts w:ascii="Times New Roman" w:hAnsi="Times New Roman"/>
                <w:color w:val="000000"/>
                <w:spacing w:val="-2"/>
              </w:rPr>
            </w:pPr>
            <w:r>
              <w:rPr>
                <w:rFonts w:ascii="Times New Roman" w:hAnsi="Times New Roman"/>
                <w:color w:val="000000"/>
                <w:spacing w:val="-2"/>
              </w:rPr>
              <w:t>8</w:t>
            </w:r>
            <w:r w:rsidR="008B039D" w:rsidRPr="00890C68">
              <w:rPr>
                <w:rFonts w:ascii="Times New Roman" w:hAnsi="Times New Roman"/>
                <w:color w:val="000000"/>
                <w:spacing w:val="-2"/>
              </w:rPr>
              <w:t xml:space="preserve">. </w:t>
            </w:r>
            <w:r w:rsidR="000D2A03" w:rsidRPr="00890C68">
              <w:rPr>
                <w:rFonts w:ascii="Times New Roman" w:hAnsi="Times New Roman"/>
                <w:color w:val="000000"/>
                <w:spacing w:val="-2"/>
              </w:rPr>
              <w:t>Pismo Prezesa URE z dnia 29 czerwca 2018 r. (znak: DPR.0230.16.2018.JK) w sprawie kosztów związanych z nowymi obowiązkami regulatora w zakresie kwalifikacji.</w:t>
            </w:r>
            <w:r w:rsidR="00935585" w:rsidRPr="00890C68">
              <w:rPr>
                <w:rFonts w:ascii="Times New Roman" w:hAnsi="Times New Roman"/>
                <w:color w:val="000000"/>
                <w:spacing w:val="-2"/>
              </w:rPr>
              <w:t xml:space="preserve"> W związku jednak ze zmianą koncepcji w ramach rozmów z Ministerstwem Finansów, Ministerstwo Energii przygotowało własne, nowe wyliczenia.</w:t>
            </w:r>
          </w:p>
          <w:p w:rsidR="00F05C55" w:rsidRPr="00890C68" w:rsidRDefault="005E7690" w:rsidP="00B37C80">
            <w:pPr>
              <w:spacing w:line="240" w:lineRule="auto"/>
              <w:jc w:val="both"/>
              <w:rPr>
                <w:rFonts w:ascii="Times New Roman" w:hAnsi="Times New Roman"/>
                <w:color w:val="000000"/>
                <w:spacing w:val="-2"/>
              </w:rPr>
            </w:pPr>
            <w:r>
              <w:rPr>
                <w:rFonts w:ascii="Times New Roman" w:hAnsi="Times New Roman"/>
                <w:color w:val="000000"/>
                <w:spacing w:val="-2"/>
              </w:rPr>
              <w:t>9</w:t>
            </w:r>
            <w:r w:rsidR="00F05C55">
              <w:rPr>
                <w:rFonts w:ascii="Times New Roman" w:hAnsi="Times New Roman"/>
                <w:color w:val="000000"/>
                <w:spacing w:val="-2"/>
              </w:rPr>
              <w:t>. Pismo Polskiego Towarzystwa Przesyłu i Rozdziału Energii Elektrycznej z dnia 12 lutego 2020 r. w sprawie etatów związanych z montażem oraz odczytami liczników energii elektrycznej.</w:t>
            </w:r>
          </w:p>
        </w:tc>
      </w:tr>
    </w:tbl>
    <w:p w:rsidR="006176ED" w:rsidRPr="00890C68" w:rsidRDefault="00C540BC" w:rsidP="006176ED">
      <w:pPr>
        <w:pStyle w:val="Nagwek1"/>
        <w:jc w:val="center"/>
        <w:rPr>
          <w:rFonts w:ascii="Times New Roman" w:hAnsi="Times New Roman" w:cs="Times New Roman"/>
          <w:sz w:val="20"/>
          <w:szCs w:val="20"/>
        </w:rPr>
      </w:pPr>
      <w:r w:rsidRPr="00890C68">
        <w:rPr>
          <w:rFonts w:ascii="Times New Roman" w:hAnsi="Times New Roman" w:cs="Times New Roman"/>
          <w:sz w:val="20"/>
          <w:szCs w:val="20"/>
        </w:rPr>
        <w:lastRenderedPageBreak/>
        <w:br w:type="page"/>
      </w:r>
      <w:r w:rsidR="006176ED" w:rsidRPr="00890C68">
        <w:rPr>
          <w:rFonts w:ascii="Times New Roman" w:hAnsi="Times New Roman" w:cs="Times New Roman"/>
          <w:sz w:val="20"/>
          <w:szCs w:val="20"/>
        </w:rPr>
        <w:lastRenderedPageBreak/>
        <w:t xml:space="preserve">Wyjaśnienia do </w:t>
      </w:r>
      <w:r w:rsidR="006176ED" w:rsidRPr="00890C68">
        <w:rPr>
          <w:rFonts w:ascii="Times New Roman" w:hAnsi="Times New Roman" w:cs="Times New Roman"/>
          <w:sz w:val="20"/>
          <w:szCs w:val="20"/>
        </w:rPr>
        <w:br/>
        <w:t>formularza oceny skutków regulacji</w:t>
      </w:r>
    </w:p>
    <w:p w:rsidR="006176ED" w:rsidRPr="00890C68" w:rsidRDefault="006176ED" w:rsidP="006176ED">
      <w:pPr>
        <w:rPr>
          <w:rFonts w:ascii="Times New Roman" w:hAnsi="Times New Roman"/>
          <w:sz w:val="20"/>
          <w:szCs w:val="20"/>
          <w:lang w:eastAsia="pl-PL"/>
        </w:rPr>
      </w:pPr>
    </w:p>
    <w:p w:rsidR="00522D94" w:rsidRPr="00890C68" w:rsidRDefault="00522D94" w:rsidP="00522D94">
      <w:pPr>
        <w:numPr>
          <w:ilvl w:val="0"/>
          <w:numId w:val="8"/>
        </w:numPr>
        <w:spacing w:after="120" w:line="240" w:lineRule="auto"/>
        <w:jc w:val="both"/>
        <w:rPr>
          <w:rFonts w:ascii="Times New Roman" w:hAnsi="Times New Roman"/>
          <w:b/>
          <w:sz w:val="20"/>
          <w:szCs w:val="20"/>
        </w:rPr>
      </w:pPr>
      <w:r w:rsidRPr="00890C68">
        <w:rPr>
          <w:rFonts w:ascii="Times New Roman" w:hAnsi="Times New Roman"/>
          <w:b/>
          <w:sz w:val="20"/>
          <w:szCs w:val="20"/>
        </w:rPr>
        <w:t>Metryczka</w:t>
      </w:r>
    </w:p>
    <w:p w:rsidR="00522D94" w:rsidRPr="00890C68" w:rsidRDefault="00522D94" w:rsidP="00522D94">
      <w:pPr>
        <w:spacing w:after="120"/>
        <w:jc w:val="both"/>
        <w:rPr>
          <w:rFonts w:ascii="Times New Roman" w:hAnsi="Times New Roman"/>
          <w:sz w:val="20"/>
          <w:szCs w:val="20"/>
        </w:rPr>
      </w:pPr>
      <w:r w:rsidRPr="00890C68">
        <w:rPr>
          <w:rFonts w:ascii="Times New Roman" w:hAnsi="Times New Roman"/>
          <w:sz w:val="20"/>
          <w:szCs w:val="20"/>
        </w:rPr>
        <w:t xml:space="preserve">W niniejszej części należy podać podstawowe informacje na temat </w:t>
      </w:r>
      <w:r w:rsidR="002172F1" w:rsidRPr="00890C68">
        <w:rPr>
          <w:rFonts w:ascii="Times New Roman" w:hAnsi="Times New Roman"/>
          <w:sz w:val="20"/>
          <w:szCs w:val="20"/>
        </w:rPr>
        <w:t>oceny skutków regulacji</w:t>
      </w:r>
      <w:r w:rsidRPr="00890C68">
        <w:rPr>
          <w:rFonts w:ascii="Times New Roman" w:hAnsi="Times New Roman"/>
          <w:sz w:val="20"/>
          <w:szCs w:val="20"/>
        </w:rPr>
        <w:t>:</w:t>
      </w:r>
    </w:p>
    <w:p w:rsidR="00C004B6" w:rsidRPr="00890C68" w:rsidRDefault="00C004B6" w:rsidP="00C004B6">
      <w:pPr>
        <w:numPr>
          <w:ilvl w:val="0"/>
          <w:numId w:val="15"/>
        </w:numPr>
        <w:spacing w:after="120" w:line="240" w:lineRule="auto"/>
        <w:jc w:val="both"/>
        <w:rPr>
          <w:rFonts w:ascii="Times New Roman" w:hAnsi="Times New Roman"/>
          <w:sz w:val="20"/>
          <w:szCs w:val="20"/>
        </w:rPr>
      </w:pPr>
      <w:r w:rsidRPr="00890C68">
        <w:rPr>
          <w:rFonts w:ascii="Times New Roman" w:hAnsi="Times New Roman"/>
          <w:sz w:val="20"/>
          <w:szCs w:val="20"/>
        </w:rPr>
        <w:t xml:space="preserve">Nazwa </w:t>
      </w:r>
      <w:r w:rsidR="001B75D8" w:rsidRPr="00890C68">
        <w:rPr>
          <w:rFonts w:ascii="Times New Roman" w:hAnsi="Times New Roman"/>
          <w:sz w:val="20"/>
          <w:szCs w:val="20"/>
        </w:rPr>
        <w:t>projektu</w:t>
      </w:r>
      <w:r w:rsidRPr="00890C68">
        <w:rPr>
          <w:rFonts w:ascii="Times New Roman" w:hAnsi="Times New Roman"/>
          <w:sz w:val="20"/>
          <w:szCs w:val="20"/>
        </w:rPr>
        <w:t xml:space="preserve">: </w:t>
      </w:r>
    </w:p>
    <w:p w:rsidR="00C004B6" w:rsidRPr="00890C68" w:rsidRDefault="00C004B6" w:rsidP="00C004B6">
      <w:pPr>
        <w:spacing w:after="120" w:line="240" w:lineRule="auto"/>
        <w:ind w:left="420"/>
        <w:jc w:val="both"/>
        <w:rPr>
          <w:rFonts w:ascii="Times New Roman" w:hAnsi="Times New Roman"/>
          <w:sz w:val="20"/>
          <w:szCs w:val="20"/>
        </w:rPr>
      </w:pPr>
      <w:r w:rsidRPr="00890C68">
        <w:rPr>
          <w:rFonts w:ascii="Times New Roman" w:hAnsi="Times New Roman"/>
          <w:sz w:val="20"/>
          <w:szCs w:val="20"/>
        </w:rPr>
        <w:t>Proszę podać np. wstępny tytuł projektu</w:t>
      </w:r>
      <w:r w:rsidR="00337DD2" w:rsidRPr="00890C68">
        <w:rPr>
          <w:rFonts w:ascii="Times New Roman" w:hAnsi="Times New Roman"/>
          <w:sz w:val="20"/>
          <w:szCs w:val="20"/>
        </w:rPr>
        <w:t xml:space="preserve"> wpisan</w:t>
      </w:r>
      <w:r w:rsidR="002172F1" w:rsidRPr="00890C68">
        <w:rPr>
          <w:rFonts w:ascii="Times New Roman" w:hAnsi="Times New Roman"/>
          <w:sz w:val="20"/>
          <w:szCs w:val="20"/>
        </w:rPr>
        <w:t>y</w:t>
      </w:r>
      <w:r w:rsidR="00337DD2" w:rsidRPr="00890C68">
        <w:rPr>
          <w:rFonts w:ascii="Times New Roman" w:hAnsi="Times New Roman"/>
          <w:sz w:val="20"/>
          <w:szCs w:val="20"/>
        </w:rPr>
        <w:t xml:space="preserve"> do </w:t>
      </w:r>
      <w:r w:rsidR="00BB0DCA" w:rsidRPr="00890C68">
        <w:rPr>
          <w:rFonts w:ascii="Times New Roman" w:hAnsi="Times New Roman"/>
          <w:sz w:val="20"/>
          <w:szCs w:val="20"/>
        </w:rPr>
        <w:t>w</w:t>
      </w:r>
      <w:r w:rsidR="00337DD2" w:rsidRPr="00890C68">
        <w:rPr>
          <w:rFonts w:ascii="Times New Roman" w:hAnsi="Times New Roman"/>
          <w:sz w:val="20"/>
          <w:szCs w:val="20"/>
        </w:rPr>
        <w:t>ykazu</w:t>
      </w:r>
      <w:r w:rsidR="00BB0DCA" w:rsidRPr="00890C68">
        <w:rPr>
          <w:rFonts w:ascii="Times New Roman" w:hAnsi="Times New Roman"/>
          <w:sz w:val="20"/>
          <w:szCs w:val="20"/>
        </w:rPr>
        <w:t xml:space="preserve"> prac legislacyjnych</w:t>
      </w:r>
      <w:r w:rsidRPr="00890C68">
        <w:rPr>
          <w:rFonts w:ascii="Times New Roman" w:hAnsi="Times New Roman"/>
          <w:sz w:val="20"/>
          <w:szCs w:val="20"/>
        </w:rPr>
        <w:t>.</w:t>
      </w:r>
    </w:p>
    <w:p w:rsidR="00C004B6" w:rsidRPr="00890C68" w:rsidRDefault="00C004B6" w:rsidP="00C004B6">
      <w:pPr>
        <w:numPr>
          <w:ilvl w:val="0"/>
          <w:numId w:val="15"/>
        </w:numPr>
        <w:spacing w:after="120" w:line="240" w:lineRule="auto"/>
        <w:jc w:val="both"/>
        <w:rPr>
          <w:rFonts w:ascii="Times New Roman" w:hAnsi="Times New Roman"/>
          <w:sz w:val="20"/>
          <w:szCs w:val="20"/>
        </w:rPr>
      </w:pPr>
      <w:r w:rsidRPr="00890C68">
        <w:rPr>
          <w:rFonts w:ascii="Times New Roman" w:hAnsi="Times New Roman"/>
          <w:sz w:val="20"/>
          <w:szCs w:val="20"/>
        </w:rPr>
        <w:t>Ministerstwo wiodące i ministerstwa współpracujące:</w:t>
      </w:r>
    </w:p>
    <w:p w:rsidR="00C004B6" w:rsidRPr="00890C68" w:rsidRDefault="00C004B6" w:rsidP="00C004B6">
      <w:pPr>
        <w:spacing w:after="120" w:line="240" w:lineRule="auto"/>
        <w:ind w:left="420"/>
        <w:jc w:val="both"/>
        <w:rPr>
          <w:rFonts w:ascii="Times New Roman" w:hAnsi="Times New Roman"/>
          <w:sz w:val="20"/>
          <w:szCs w:val="20"/>
        </w:rPr>
      </w:pPr>
      <w:r w:rsidRPr="00890C68">
        <w:rPr>
          <w:rFonts w:ascii="Times New Roman" w:hAnsi="Times New Roman"/>
          <w:sz w:val="20"/>
          <w:szCs w:val="20"/>
        </w:rPr>
        <w:t xml:space="preserve">Proszę wskazać </w:t>
      </w:r>
      <w:r w:rsidR="001C1060" w:rsidRPr="00890C68">
        <w:rPr>
          <w:rFonts w:ascii="Times New Roman" w:hAnsi="Times New Roman"/>
          <w:sz w:val="20"/>
          <w:szCs w:val="20"/>
        </w:rPr>
        <w:t>organ</w:t>
      </w:r>
      <w:r w:rsidRPr="00890C68">
        <w:rPr>
          <w:rFonts w:ascii="Times New Roman" w:hAnsi="Times New Roman"/>
          <w:sz w:val="20"/>
          <w:szCs w:val="20"/>
        </w:rPr>
        <w:t xml:space="preserve"> odpowiedzialny za przygotowanie projektu, jego koordynację oraz wdrożenie (ministerstwo wiodące). </w:t>
      </w:r>
      <w:r w:rsidR="004244A8" w:rsidRPr="00890C68">
        <w:rPr>
          <w:rFonts w:ascii="Times New Roman" w:hAnsi="Times New Roman"/>
          <w:sz w:val="20"/>
          <w:szCs w:val="20"/>
        </w:rPr>
        <w:t>W</w:t>
      </w:r>
      <w:r w:rsidRPr="00890C68">
        <w:rPr>
          <w:rFonts w:ascii="Times New Roman" w:hAnsi="Times New Roman"/>
          <w:sz w:val="20"/>
          <w:szCs w:val="20"/>
        </w:rPr>
        <w:t xml:space="preserve"> </w:t>
      </w:r>
      <w:r w:rsidR="00C33027" w:rsidRPr="00890C68">
        <w:rPr>
          <w:rFonts w:ascii="Times New Roman" w:hAnsi="Times New Roman"/>
          <w:sz w:val="20"/>
          <w:szCs w:val="20"/>
        </w:rPr>
        <w:t>przypadku, gdy</w:t>
      </w:r>
      <w:r w:rsidRPr="00890C68">
        <w:rPr>
          <w:rFonts w:ascii="Times New Roman" w:hAnsi="Times New Roman"/>
          <w:sz w:val="20"/>
          <w:szCs w:val="20"/>
        </w:rPr>
        <w:t xml:space="preserve"> projekt jest przedmiotem prac więcej niż jednego ministerstwa, proszę wskazać również podmioty współpracujące.</w:t>
      </w:r>
    </w:p>
    <w:p w:rsidR="00C004B6" w:rsidRPr="00890C68" w:rsidRDefault="00C004B6" w:rsidP="00C004B6">
      <w:pPr>
        <w:numPr>
          <w:ilvl w:val="0"/>
          <w:numId w:val="15"/>
        </w:numPr>
        <w:spacing w:after="120" w:line="240" w:lineRule="auto"/>
        <w:jc w:val="both"/>
        <w:rPr>
          <w:rFonts w:ascii="Times New Roman" w:hAnsi="Times New Roman"/>
          <w:sz w:val="20"/>
          <w:szCs w:val="20"/>
        </w:rPr>
      </w:pPr>
      <w:r w:rsidRPr="00890C68">
        <w:rPr>
          <w:rFonts w:ascii="Times New Roman" w:hAnsi="Times New Roman"/>
          <w:sz w:val="20"/>
          <w:szCs w:val="20"/>
        </w:rPr>
        <w:t xml:space="preserve">Osoba odpowiedzialna za </w:t>
      </w:r>
      <w:r w:rsidR="00BB0DCA" w:rsidRPr="00890C68">
        <w:rPr>
          <w:rFonts w:ascii="Times New Roman" w:hAnsi="Times New Roman"/>
          <w:sz w:val="20"/>
          <w:szCs w:val="20"/>
        </w:rPr>
        <w:t xml:space="preserve">projekt </w:t>
      </w:r>
      <w:r w:rsidRPr="00890C68">
        <w:rPr>
          <w:rFonts w:ascii="Times New Roman" w:hAnsi="Times New Roman"/>
          <w:sz w:val="20"/>
          <w:szCs w:val="20"/>
        </w:rPr>
        <w:t>w randze Ministra, Sekretarza Stanu lub Podsekretarza Stanu:</w:t>
      </w:r>
    </w:p>
    <w:p w:rsidR="00C004B6" w:rsidRPr="00890C68" w:rsidRDefault="00C004B6" w:rsidP="00C004B6">
      <w:pPr>
        <w:spacing w:after="120" w:line="240" w:lineRule="auto"/>
        <w:ind w:left="420"/>
        <w:jc w:val="both"/>
        <w:rPr>
          <w:rFonts w:ascii="Times New Roman" w:hAnsi="Times New Roman"/>
          <w:sz w:val="20"/>
          <w:szCs w:val="20"/>
        </w:rPr>
      </w:pPr>
      <w:r w:rsidRPr="00890C68">
        <w:rPr>
          <w:rFonts w:ascii="Times New Roman" w:hAnsi="Times New Roman"/>
          <w:sz w:val="20"/>
          <w:szCs w:val="20"/>
        </w:rPr>
        <w:t xml:space="preserve">Proszę wskazać osobę, która w ministerstwie wiodącym nadzoruje prace jednostki odpowiedzialnej za merytoryczne przygotowanie projektu. </w:t>
      </w:r>
    </w:p>
    <w:p w:rsidR="00C004B6" w:rsidRPr="00890C68" w:rsidRDefault="00C004B6" w:rsidP="00C004B6">
      <w:pPr>
        <w:numPr>
          <w:ilvl w:val="0"/>
          <w:numId w:val="15"/>
        </w:numPr>
        <w:spacing w:after="120" w:line="240" w:lineRule="auto"/>
        <w:jc w:val="both"/>
        <w:rPr>
          <w:rFonts w:ascii="Times New Roman" w:hAnsi="Times New Roman"/>
          <w:sz w:val="20"/>
          <w:szCs w:val="20"/>
        </w:rPr>
      </w:pPr>
      <w:r w:rsidRPr="00890C68">
        <w:rPr>
          <w:rFonts w:ascii="Times New Roman" w:hAnsi="Times New Roman"/>
          <w:sz w:val="20"/>
          <w:szCs w:val="20"/>
        </w:rPr>
        <w:t>Kontakt do opiekuna merytorycznego projektu:</w:t>
      </w:r>
    </w:p>
    <w:p w:rsidR="004244A8" w:rsidRPr="00890C68" w:rsidRDefault="004244A8" w:rsidP="004244A8">
      <w:pPr>
        <w:spacing w:after="120" w:line="240" w:lineRule="auto"/>
        <w:ind w:left="420"/>
        <w:jc w:val="both"/>
        <w:rPr>
          <w:rFonts w:ascii="Times New Roman" w:hAnsi="Times New Roman"/>
          <w:sz w:val="20"/>
          <w:szCs w:val="20"/>
        </w:rPr>
      </w:pPr>
      <w:r w:rsidRPr="00890C68">
        <w:rPr>
          <w:rFonts w:ascii="Times New Roman" w:hAnsi="Times New Roman"/>
          <w:sz w:val="20"/>
          <w:szCs w:val="20"/>
        </w:rPr>
        <w:t>Proszę podać kontakt (telefon, adres e-mail) do osoby, która jest odpowiedzialna za opracowanie projektu (np. kierownika komórki organizacyjnej) i będzie w stanie odpowiedzieć na ewentualne pytania związane z przedstawionymi w ocenie informacjami lub wskaże odpowiednią osobę.</w:t>
      </w:r>
    </w:p>
    <w:p w:rsidR="00C004B6" w:rsidRPr="00890C68" w:rsidRDefault="00C004B6" w:rsidP="00C004B6">
      <w:pPr>
        <w:numPr>
          <w:ilvl w:val="0"/>
          <w:numId w:val="15"/>
        </w:numPr>
        <w:spacing w:after="120" w:line="240" w:lineRule="auto"/>
        <w:jc w:val="both"/>
        <w:rPr>
          <w:rFonts w:ascii="Times New Roman" w:hAnsi="Times New Roman"/>
          <w:sz w:val="20"/>
          <w:szCs w:val="20"/>
        </w:rPr>
      </w:pPr>
      <w:r w:rsidRPr="00890C68">
        <w:rPr>
          <w:rFonts w:ascii="Times New Roman" w:hAnsi="Times New Roman"/>
          <w:sz w:val="20"/>
          <w:szCs w:val="20"/>
        </w:rPr>
        <w:t>Data sporządzenia:</w:t>
      </w:r>
    </w:p>
    <w:p w:rsidR="00C004B6" w:rsidRPr="00890C68" w:rsidRDefault="00C004B6" w:rsidP="00C004B6">
      <w:pPr>
        <w:spacing w:after="120" w:line="240" w:lineRule="auto"/>
        <w:ind w:left="420"/>
        <w:jc w:val="both"/>
        <w:rPr>
          <w:rFonts w:ascii="Times New Roman" w:hAnsi="Times New Roman"/>
          <w:sz w:val="20"/>
          <w:szCs w:val="20"/>
        </w:rPr>
      </w:pPr>
      <w:r w:rsidRPr="00890C68">
        <w:rPr>
          <w:rFonts w:ascii="Times New Roman" w:hAnsi="Times New Roman"/>
          <w:sz w:val="20"/>
          <w:szCs w:val="20"/>
        </w:rPr>
        <w:t xml:space="preserve">Proszę podać datę przygotowania </w:t>
      </w:r>
      <w:r w:rsidR="001C1060" w:rsidRPr="00890C68">
        <w:rPr>
          <w:rFonts w:ascii="Times New Roman" w:hAnsi="Times New Roman"/>
          <w:sz w:val="20"/>
          <w:szCs w:val="20"/>
        </w:rPr>
        <w:t>OSR</w:t>
      </w:r>
      <w:r w:rsidRPr="00890C68">
        <w:rPr>
          <w:rFonts w:ascii="Times New Roman" w:hAnsi="Times New Roman"/>
          <w:sz w:val="20"/>
          <w:szCs w:val="20"/>
        </w:rPr>
        <w:t xml:space="preserve">. </w:t>
      </w:r>
    </w:p>
    <w:p w:rsidR="00C004B6" w:rsidRPr="00890C68" w:rsidRDefault="00C004B6" w:rsidP="00C004B6">
      <w:pPr>
        <w:numPr>
          <w:ilvl w:val="0"/>
          <w:numId w:val="15"/>
        </w:numPr>
        <w:spacing w:after="120" w:line="240" w:lineRule="auto"/>
        <w:jc w:val="both"/>
        <w:rPr>
          <w:rFonts w:ascii="Times New Roman" w:hAnsi="Times New Roman"/>
          <w:sz w:val="20"/>
          <w:szCs w:val="20"/>
        </w:rPr>
      </w:pPr>
      <w:r w:rsidRPr="00890C68">
        <w:rPr>
          <w:rFonts w:ascii="Times New Roman" w:hAnsi="Times New Roman"/>
          <w:sz w:val="20"/>
          <w:szCs w:val="20"/>
        </w:rPr>
        <w:t>Źródło:</w:t>
      </w:r>
    </w:p>
    <w:p w:rsidR="00C004B6" w:rsidRPr="00890C68" w:rsidRDefault="00C004B6" w:rsidP="00C004B6">
      <w:pPr>
        <w:spacing w:after="120" w:line="240" w:lineRule="auto"/>
        <w:ind w:left="420"/>
        <w:jc w:val="both"/>
        <w:rPr>
          <w:rFonts w:ascii="Times New Roman" w:hAnsi="Times New Roman"/>
          <w:sz w:val="20"/>
          <w:szCs w:val="20"/>
        </w:rPr>
      </w:pPr>
      <w:r w:rsidRPr="00890C68">
        <w:rPr>
          <w:rFonts w:ascii="Times New Roman" w:hAnsi="Times New Roman"/>
          <w:sz w:val="20"/>
          <w:szCs w:val="20"/>
        </w:rPr>
        <w:t>Z rozwijanej listy proszę wybrać źródło</w:t>
      </w:r>
      <w:r w:rsidR="00BB0DCA" w:rsidRPr="00890C68">
        <w:rPr>
          <w:rFonts w:ascii="Times New Roman" w:hAnsi="Times New Roman"/>
          <w:sz w:val="20"/>
          <w:szCs w:val="20"/>
        </w:rPr>
        <w:t>,</w:t>
      </w:r>
      <w:r w:rsidRPr="00890C68">
        <w:rPr>
          <w:rFonts w:ascii="Times New Roman" w:hAnsi="Times New Roman"/>
          <w:sz w:val="20"/>
          <w:szCs w:val="20"/>
        </w:rPr>
        <w:t xml:space="preserve"> na podstawie którego przygotowywany jest projekt (punkt exposé, data decyzji, nazwa strategii, nr dyrektywy, syg</w:t>
      </w:r>
      <w:r w:rsidR="00BB0DCA" w:rsidRPr="00890C68">
        <w:rPr>
          <w:rFonts w:ascii="Times New Roman" w:hAnsi="Times New Roman"/>
          <w:sz w:val="20"/>
          <w:szCs w:val="20"/>
        </w:rPr>
        <w:t>n</w:t>
      </w:r>
      <w:r w:rsidRPr="00890C68">
        <w:rPr>
          <w:rFonts w:ascii="Times New Roman" w:hAnsi="Times New Roman"/>
          <w:sz w:val="20"/>
          <w:szCs w:val="20"/>
        </w:rPr>
        <w:t xml:space="preserve">. orzeczenia TK, nazwa ustawy, inne). </w:t>
      </w:r>
    </w:p>
    <w:p w:rsidR="00C004B6" w:rsidRPr="00890C68" w:rsidRDefault="00C004B6" w:rsidP="00C004B6">
      <w:pPr>
        <w:numPr>
          <w:ilvl w:val="0"/>
          <w:numId w:val="15"/>
        </w:numPr>
        <w:spacing w:after="120" w:line="240" w:lineRule="auto"/>
        <w:jc w:val="both"/>
        <w:rPr>
          <w:rFonts w:ascii="Times New Roman" w:hAnsi="Times New Roman"/>
          <w:sz w:val="20"/>
          <w:szCs w:val="20"/>
        </w:rPr>
      </w:pPr>
      <w:r w:rsidRPr="00890C68">
        <w:rPr>
          <w:rFonts w:ascii="Times New Roman" w:hAnsi="Times New Roman"/>
          <w:sz w:val="20"/>
          <w:szCs w:val="20"/>
        </w:rPr>
        <w:t xml:space="preserve">Nr w </w:t>
      </w:r>
      <w:r w:rsidR="00BB0DCA" w:rsidRPr="00890C68">
        <w:rPr>
          <w:rFonts w:ascii="Times New Roman" w:hAnsi="Times New Roman"/>
          <w:sz w:val="20"/>
          <w:szCs w:val="20"/>
        </w:rPr>
        <w:t>w</w:t>
      </w:r>
      <w:r w:rsidRPr="00890C68">
        <w:rPr>
          <w:rFonts w:ascii="Times New Roman" w:hAnsi="Times New Roman"/>
          <w:sz w:val="20"/>
          <w:szCs w:val="20"/>
        </w:rPr>
        <w:t>ykazie</w:t>
      </w:r>
      <w:r w:rsidR="00BB0DCA" w:rsidRPr="00890C68">
        <w:rPr>
          <w:rFonts w:ascii="Times New Roman" w:hAnsi="Times New Roman"/>
          <w:sz w:val="20"/>
          <w:szCs w:val="20"/>
        </w:rPr>
        <w:t xml:space="preserve"> prac</w:t>
      </w:r>
      <w:r w:rsidRPr="00890C68">
        <w:rPr>
          <w:rFonts w:ascii="Times New Roman" w:hAnsi="Times New Roman"/>
          <w:sz w:val="20"/>
          <w:szCs w:val="20"/>
        </w:rPr>
        <w:t>:</w:t>
      </w:r>
    </w:p>
    <w:p w:rsidR="00C004B6" w:rsidRPr="00890C68" w:rsidRDefault="00205141" w:rsidP="00C004B6">
      <w:pPr>
        <w:spacing w:after="120" w:line="240" w:lineRule="auto"/>
        <w:ind w:left="420"/>
        <w:jc w:val="both"/>
        <w:rPr>
          <w:rFonts w:ascii="Times New Roman" w:hAnsi="Times New Roman"/>
          <w:sz w:val="20"/>
          <w:szCs w:val="20"/>
        </w:rPr>
      </w:pPr>
      <w:r w:rsidRPr="00890C68">
        <w:rPr>
          <w:rFonts w:ascii="Times New Roman" w:hAnsi="Times New Roman"/>
          <w:sz w:val="20"/>
          <w:szCs w:val="20"/>
        </w:rPr>
        <w:t>Proszę podać num</w:t>
      </w:r>
      <w:r w:rsidR="00C004B6" w:rsidRPr="00890C68">
        <w:rPr>
          <w:rFonts w:ascii="Times New Roman" w:hAnsi="Times New Roman"/>
          <w:sz w:val="20"/>
          <w:szCs w:val="20"/>
        </w:rPr>
        <w:t xml:space="preserve">er </w:t>
      </w:r>
      <w:r w:rsidRPr="00890C68">
        <w:rPr>
          <w:rFonts w:ascii="Times New Roman" w:hAnsi="Times New Roman"/>
          <w:sz w:val="20"/>
          <w:szCs w:val="20"/>
        </w:rPr>
        <w:t>z właściwego wykazu prac legislacyjnych</w:t>
      </w:r>
      <w:r w:rsidR="00C004B6" w:rsidRPr="00890C68">
        <w:rPr>
          <w:rFonts w:ascii="Times New Roman" w:hAnsi="Times New Roman"/>
          <w:sz w:val="20"/>
          <w:szCs w:val="20"/>
        </w:rPr>
        <w:t>.</w:t>
      </w:r>
    </w:p>
    <w:p w:rsidR="00522D94" w:rsidRPr="00890C68" w:rsidRDefault="00522D94" w:rsidP="00522D94">
      <w:pPr>
        <w:numPr>
          <w:ilvl w:val="0"/>
          <w:numId w:val="8"/>
        </w:numPr>
        <w:spacing w:after="120" w:line="240" w:lineRule="auto"/>
        <w:jc w:val="both"/>
        <w:rPr>
          <w:rFonts w:ascii="Times New Roman" w:hAnsi="Times New Roman"/>
          <w:b/>
          <w:sz w:val="20"/>
          <w:szCs w:val="20"/>
        </w:rPr>
      </w:pPr>
      <w:r w:rsidRPr="00890C68">
        <w:rPr>
          <w:rFonts w:ascii="Times New Roman" w:hAnsi="Times New Roman"/>
          <w:b/>
          <w:sz w:val="20"/>
          <w:szCs w:val="20"/>
        </w:rPr>
        <w:t>Jaki problem jest rozwiązywany?</w:t>
      </w:r>
    </w:p>
    <w:p w:rsidR="004244A8" w:rsidRPr="00890C68" w:rsidRDefault="004244A8" w:rsidP="004244A8">
      <w:pPr>
        <w:spacing w:after="120"/>
        <w:ind w:left="360"/>
        <w:jc w:val="both"/>
        <w:rPr>
          <w:rFonts w:ascii="Times New Roman" w:hAnsi="Times New Roman"/>
          <w:sz w:val="20"/>
          <w:szCs w:val="20"/>
        </w:rPr>
      </w:pPr>
      <w:r w:rsidRPr="00890C68">
        <w:rPr>
          <w:rFonts w:ascii="Times New Roman" w:hAnsi="Times New Roman"/>
          <w:sz w:val="20"/>
          <w:szCs w:val="20"/>
        </w:rPr>
        <w:t>Proszę opisać istotę problemu (np. zawodność rynku, zapotrzebowanie na dobro publiczne, wysokie koszty transakcyjne, bariery w prowadzeniu działalności gospodarczej itp.) i jego praktyczny wymiar (np. zbyt mała ochrona leasingobiorców, niewystarczający komfort i długi czas podróży koleją, występujące obciążenia administracyjne pobierczego danego przepisu itp.). Istotą problemu nie jest brak określonej regulacji - nowa regulacja może być jednym z instrumentów (sposobem) rozwiązania problemu. Dobrze i zwięźle wypełniona rubryka umożliwi zrozumienie problemu, który ma być rozwiązany oraz skali i przyczyn jego występowania.</w:t>
      </w:r>
    </w:p>
    <w:p w:rsidR="004244A8" w:rsidRPr="00890C68" w:rsidRDefault="004244A8" w:rsidP="004244A8">
      <w:pPr>
        <w:spacing w:after="120"/>
        <w:ind w:left="360"/>
        <w:jc w:val="both"/>
        <w:rPr>
          <w:rFonts w:ascii="Times New Roman" w:hAnsi="Times New Roman"/>
          <w:sz w:val="20"/>
          <w:szCs w:val="20"/>
        </w:rPr>
      </w:pPr>
      <w:r w:rsidRPr="00890C68">
        <w:rPr>
          <w:rFonts w:ascii="Times New Roman" w:hAnsi="Times New Roman"/>
          <w:sz w:val="20"/>
          <w:szCs w:val="20"/>
        </w:rPr>
        <w:t>Jeżeli projekt ma charakter przekrojowy i dotyczy wielu zagadnień (np. ustawa deregulująca zawody, ustawa o ułatwieniu wykonywania działalności gospodarczej) proszę opisać najważniejsze (największe) problemy wymagające rozwiązania.</w:t>
      </w:r>
    </w:p>
    <w:p w:rsidR="00522D94" w:rsidRPr="00890C68" w:rsidRDefault="0013216E" w:rsidP="0013216E">
      <w:pPr>
        <w:numPr>
          <w:ilvl w:val="0"/>
          <w:numId w:val="8"/>
        </w:numPr>
        <w:spacing w:after="120" w:line="240" w:lineRule="auto"/>
        <w:jc w:val="both"/>
        <w:rPr>
          <w:rFonts w:ascii="Times New Roman" w:hAnsi="Times New Roman"/>
          <w:b/>
          <w:sz w:val="20"/>
          <w:szCs w:val="20"/>
        </w:rPr>
      </w:pPr>
      <w:r w:rsidRPr="00890C68">
        <w:rPr>
          <w:rFonts w:ascii="Times New Roman" w:hAnsi="Times New Roman"/>
          <w:b/>
          <w:color w:val="000000"/>
          <w:spacing w:val="-2"/>
          <w:sz w:val="20"/>
          <w:szCs w:val="20"/>
        </w:rPr>
        <w:t>Rekomendowane rozwiązanie, w tym planowane narzędzia interwencji, i oczekiwany efekt</w:t>
      </w:r>
    </w:p>
    <w:p w:rsidR="004244A8" w:rsidRPr="00890C68" w:rsidRDefault="004244A8" w:rsidP="004244A8">
      <w:pPr>
        <w:spacing w:after="120"/>
        <w:ind w:left="360"/>
        <w:jc w:val="both"/>
        <w:rPr>
          <w:rFonts w:ascii="Times New Roman" w:hAnsi="Times New Roman"/>
          <w:sz w:val="20"/>
          <w:szCs w:val="20"/>
        </w:rPr>
      </w:pPr>
      <w:r w:rsidRPr="00890C68">
        <w:rPr>
          <w:rFonts w:ascii="Times New Roman" w:hAnsi="Times New Roman"/>
          <w:sz w:val="20"/>
          <w:szCs w:val="20"/>
        </w:rPr>
        <w:t xml:space="preserve">Proszę zwięźle opisać proponowane rozwiązanie problemu opisanego w pkt 1 oraz oczekiwane rezultaty jego (ich) wdrożenia, sformułowane w możliwie konkretny, mierzalny i określony w czasie sposób - w przypadkach w których jest to możliwe powinien być zgodny z zasadą SMART </w:t>
      </w:r>
      <w:r w:rsidR="004C36D8" w:rsidRPr="00890C68">
        <w:rPr>
          <w:rFonts w:ascii="Times New Roman" w:hAnsi="Times New Roman"/>
          <w:sz w:val="20"/>
          <w:szCs w:val="20"/>
        </w:rPr>
        <w:t xml:space="preserve">(prosty, mierzalny, osiągalny, istotny, określony w czasie), </w:t>
      </w:r>
      <w:r w:rsidRPr="00890C68">
        <w:rPr>
          <w:rFonts w:ascii="Times New Roman" w:hAnsi="Times New Roman"/>
          <w:sz w:val="20"/>
          <w:szCs w:val="20"/>
        </w:rPr>
        <w:t>np. osiągnięcie do 2020 r. wskaźnika upowszechnienia wychowania przedszkolnego co najmniej 90%.</w:t>
      </w:r>
    </w:p>
    <w:p w:rsidR="004244A8" w:rsidRPr="00890C68" w:rsidRDefault="004244A8" w:rsidP="004244A8">
      <w:pPr>
        <w:spacing w:after="120"/>
        <w:ind w:left="360"/>
        <w:jc w:val="both"/>
        <w:rPr>
          <w:rFonts w:ascii="Times New Roman" w:hAnsi="Times New Roman"/>
          <w:sz w:val="20"/>
          <w:szCs w:val="20"/>
        </w:rPr>
      </w:pPr>
      <w:r w:rsidRPr="00890C68">
        <w:rPr>
          <w:rFonts w:ascii="Times New Roman" w:hAnsi="Times New Roman"/>
          <w:sz w:val="20"/>
          <w:szCs w:val="20"/>
        </w:rPr>
        <w:t>Jeżeli projekt ma charakter przekrojowy i dotyczy wielu zagadnień (np. ustawa deregulująca zawody, ustawa o ułatwieniu wykonywania działalności gospodarczej) proszę opisać najważniejsze rekomendacje i cele.</w:t>
      </w:r>
    </w:p>
    <w:p w:rsidR="00522D94" w:rsidRPr="00890C68" w:rsidRDefault="00522D94" w:rsidP="00522D94">
      <w:pPr>
        <w:numPr>
          <w:ilvl w:val="0"/>
          <w:numId w:val="8"/>
        </w:numPr>
        <w:spacing w:after="120" w:line="240" w:lineRule="auto"/>
        <w:jc w:val="both"/>
        <w:rPr>
          <w:rFonts w:ascii="Times New Roman" w:hAnsi="Times New Roman"/>
          <w:b/>
          <w:sz w:val="20"/>
          <w:szCs w:val="20"/>
        </w:rPr>
      </w:pPr>
      <w:r w:rsidRPr="00890C68">
        <w:rPr>
          <w:rFonts w:ascii="Times New Roman" w:hAnsi="Times New Roman"/>
          <w:b/>
          <w:spacing w:val="-2"/>
          <w:sz w:val="20"/>
          <w:szCs w:val="20"/>
        </w:rPr>
        <w:t>Jak problem został rozwiązany w innych krajach, w szczególności krajach członkowskich OECD/UE</w:t>
      </w:r>
      <w:r w:rsidRPr="00890C68">
        <w:rPr>
          <w:rFonts w:ascii="Times New Roman" w:hAnsi="Times New Roman"/>
          <w:b/>
          <w:color w:val="000000"/>
          <w:sz w:val="20"/>
          <w:szCs w:val="20"/>
        </w:rPr>
        <w:t>?</w:t>
      </w:r>
    </w:p>
    <w:p w:rsidR="004244A8" w:rsidRPr="00890C68" w:rsidRDefault="004244A8" w:rsidP="004244A8">
      <w:pPr>
        <w:spacing w:after="120"/>
        <w:ind w:left="357"/>
        <w:jc w:val="both"/>
        <w:rPr>
          <w:rFonts w:ascii="Times New Roman" w:hAnsi="Times New Roman"/>
          <w:sz w:val="20"/>
          <w:szCs w:val="20"/>
        </w:rPr>
      </w:pPr>
      <w:r w:rsidRPr="00890C68">
        <w:rPr>
          <w:rFonts w:ascii="Times New Roman" w:hAnsi="Times New Roman"/>
          <w:sz w:val="20"/>
          <w:szCs w:val="20"/>
        </w:rPr>
        <w:t xml:space="preserve">Proszę wskazać - tam gdzie to możliwe - rozwiązania w minimum 3 krajach i źródła informacji. </w:t>
      </w:r>
      <w:r w:rsidR="00441787" w:rsidRPr="00890C68">
        <w:rPr>
          <w:rFonts w:ascii="Times New Roman" w:hAnsi="Times New Roman"/>
          <w:sz w:val="20"/>
          <w:szCs w:val="20"/>
        </w:rPr>
        <w:t>Proszę wskazać kraje,</w:t>
      </w:r>
      <w:r w:rsidR="00441787" w:rsidRPr="00890C68">
        <w:rPr>
          <w:rFonts w:ascii="Times New Roman" w:hAnsi="Times New Roman"/>
          <w:sz w:val="20"/>
          <w:szCs w:val="20"/>
        </w:rPr>
        <w:br/>
      </w:r>
      <w:r w:rsidRPr="00890C68">
        <w:rPr>
          <w:rFonts w:ascii="Times New Roman" w:hAnsi="Times New Roman"/>
          <w:sz w:val="20"/>
          <w:szCs w:val="20"/>
        </w:rPr>
        <w:t xml:space="preserve">z których </w:t>
      </w:r>
      <w:r w:rsidR="00C33027" w:rsidRPr="00890C68">
        <w:rPr>
          <w:rFonts w:ascii="Times New Roman" w:hAnsi="Times New Roman"/>
          <w:sz w:val="20"/>
          <w:szCs w:val="20"/>
        </w:rPr>
        <w:t>rozwiązania przeanalizowano</w:t>
      </w:r>
      <w:r w:rsidRPr="00890C68">
        <w:rPr>
          <w:rFonts w:ascii="Times New Roman" w:hAnsi="Times New Roman"/>
          <w:sz w:val="20"/>
          <w:szCs w:val="20"/>
        </w:rPr>
        <w:t xml:space="preserve"> oraz wyniki tych analiz. </w:t>
      </w:r>
    </w:p>
    <w:p w:rsidR="004244A8" w:rsidRPr="00890C68" w:rsidRDefault="004244A8" w:rsidP="004244A8">
      <w:pPr>
        <w:spacing w:after="120"/>
        <w:ind w:left="357"/>
        <w:jc w:val="both"/>
        <w:rPr>
          <w:rFonts w:ascii="Times New Roman" w:hAnsi="Times New Roman"/>
          <w:sz w:val="20"/>
          <w:szCs w:val="20"/>
        </w:rPr>
      </w:pPr>
      <w:r w:rsidRPr="00890C68">
        <w:rPr>
          <w:rFonts w:ascii="Times New Roman" w:hAnsi="Times New Roman"/>
          <w:sz w:val="20"/>
          <w:szCs w:val="20"/>
        </w:rPr>
        <w:t xml:space="preserve">Jeżeli projekt ma charakter przekrojowy i dotyczy wielu zagadnień (np. ustawa deregulująca zawody, ustawa o ułatwieniu wykonywania działalności gospodarczej) proszę wskazać informacje odnoszące się </w:t>
      </w:r>
      <w:r w:rsidR="00C33027" w:rsidRPr="00890C68">
        <w:rPr>
          <w:rFonts w:ascii="Times New Roman" w:hAnsi="Times New Roman"/>
          <w:sz w:val="20"/>
          <w:szCs w:val="20"/>
        </w:rPr>
        <w:t>do zagadnień</w:t>
      </w:r>
      <w:r w:rsidRPr="00890C68">
        <w:rPr>
          <w:rFonts w:ascii="Times New Roman" w:hAnsi="Times New Roman"/>
          <w:sz w:val="20"/>
          <w:szCs w:val="20"/>
        </w:rPr>
        <w:t xml:space="preserve"> najważniejszych. </w:t>
      </w:r>
    </w:p>
    <w:p w:rsidR="00522D94" w:rsidRPr="00890C68" w:rsidRDefault="00522D94" w:rsidP="00522D94">
      <w:pPr>
        <w:numPr>
          <w:ilvl w:val="0"/>
          <w:numId w:val="8"/>
        </w:numPr>
        <w:spacing w:after="120" w:line="240" w:lineRule="auto"/>
        <w:jc w:val="both"/>
        <w:rPr>
          <w:rFonts w:ascii="Times New Roman" w:hAnsi="Times New Roman"/>
          <w:b/>
          <w:sz w:val="20"/>
          <w:szCs w:val="20"/>
        </w:rPr>
      </w:pPr>
      <w:r w:rsidRPr="00890C68">
        <w:rPr>
          <w:rFonts w:ascii="Times New Roman" w:hAnsi="Times New Roman"/>
          <w:b/>
          <w:color w:val="000000"/>
          <w:sz w:val="20"/>
          <w:szCs w:val="20"/>
        </w:rPr>
        <w:t>Podmioty, na które oddziałuje projekt</w:t>
      </w:r>
    </w:p>
    <w:p w:rsidR="000D38FC" w:rsidRPr="00890C68" w:rsidRDefault="000D38FC" w:rsidP="004A145E">
      <w:pPr>
        <w:spacing w:after="120"/>
        <w:ind w:left="357"/>
        <w:jc w:val="both"/>
        <w:rPr>
          <w:rFonts w:ascii="Times New Roman" w:hAnsi="Times New Roman"/>
          <w:sz w:val="20"/>
          <w:szCs w:val="20"/>
        </w:rPr>
      </w:pPr>
      <w:r w:rsidRPr="00890C68">
        <w:rPr>
          <w:rFonts w:ascii="Times New Roman" w:hAnsi="Times New Roman"/>
          <w:sz w:val="20"/>
          <w:szCs w:val="20"/>
        </w:rPr>
        <w:t xml:space="preserve">Proszę wyszczególnić jakie podmioty (zarówno osoby fizyczne, prawne lub jednostki </w:t>
      </w:r>
      <w:r w:rsidR="00C33027" w:rsidRPr="00890C68">
        <w:rPr>
          <w:rFonts w:ascii="Times New Roman" w:hAnsi="Times New Roman"/>
          <w:sz w:val="20"/>
          <w:szCs w:val="20"/>
        </w:rPr>
        <w:t>nieposiadające</w:t>
      </w:r>
      <w:r w:rsidRPr="00890C68">
        <w:rPr>
          <w:rFonts w:ascii="Times New Roman" w:hAnsi="Times New Roman"/>
          <w:sz w:val="20"/>
          <w:szCs w:val="20"/>
        </w:rPr>
        <w:t xml:space="preserve"> osobowości prawnej) są objęte projektem. Proszę oszacować ich liczbę (wraz z podaniem źródła danych) oraz opisać charakter oddziaływania projektu na daną grupę.</w:t>
      </w:r>
    </w:p>
    <w:p w:rsidR="000D38FC" w:rsidRPr="00890C68" w:rsidRDefault="000D38FC" w:rsidP="004A145E">
      <w:pPr>
        <w:spacing w:after="120"/>
        <w:ind w:left="357"/>
        <w:jc w:val="both"/>
        <w:rPr>
          <w:rFonts w:ascii="Times New Roman" w:hAnsi="Times New Roman"/>
          <w:sz w:val="20"/>
          <w:szCs w:val="20"/>
        </w:rPr>
      </w:pPr>
      <w:r w:rsidRPr="00890C68">
        <w:rPr>
          <w:rFonts w:ascii="Times New Roman" w:hAnsi="Times New Roman"/>
          <w:sz w:val="20"/>
          <w:szCs w:val="20"/>
        </w:rPr>
        <w:lastRenderedPageBreak/>
        <w:t>Proszę dostosować liczbę wierszy w tabeli, zgodnie z potrzebami projektu. Puste wiersze proszę usunąć.</w:t>
      </w:r>
    </w:p>
    <w:p w:rsidR="000D38FC" w:rsidRPr="00890C68" w:rsidRDefault="000D38FC" w:rsidP="000D38FC">
      <w:pPr>
        <w:spacing w:after="120"/>
        <w:ind w:left="357"/>
        <w:jc w:val="both"/>
        <w:rPr>
          <w:rFonts w:ascii="Times New Roman" w:hAnsi="Times New Roman"/>
          <w:sz w:val="20"/>
          <w:szCs w:val="20"/>
        </w:rPr>
      </w:pPr>
      <w:r w:rsidRPr="00890C68">
        <w:rPr>
          <w:rFonts w:ascii="Times New Roman" w:hAnsi="Times New Roman"/>
          <w:sz w:val="20"/>
          <w:szCs w:val="20"/>
        </w:rPr>
        <w:t>Przykładowe grupy: obywatele, MŚP, rolnicy, rodzina, inwestorzy, lekarze, emeryci, osoby niepełnosprawne.</w:t>
      </w:r>
    </w:p>
    <w:p w:rsidR="00D42A8F" w:rsidRPr="00890C68" w:rsidRDefault="00D42A8F" w:rsidP="000D38FC">
      <w:pPr>
        <w:spacing w:after="120"/>
        <w:ind w:left="357"/>
        <w:jc w:val="both"/>
        <w:rPr>
          <w:rFonts w:ascii="Times New Roman" w:hAnsi="Times New Roman"/>
          <w:sz w:val="20"/>
          <w:szCs w:val="20"/>
        </w:rPr>
      </w:pPr>
    </w:p>
    <w:p w:rsidR="00522D94" w:rsidRPr="00890C68" w:rsidRDefault="00522D94" w:rsidP="00522D94">
      <w:pPr>
        <w:numPr>
          <w:ilvl w:val="0"/>
          <w:numId w:val="8"/>
        </w:numPr>
        <w:spacing w:after="120" w:line="240" w:lineRule="auto"/>
        <w:jc w:val="both"/>
        <w:rPr>
          <w:rFonts w:ascii="Times New Roman" w:hAnsi="Times New Roman"/>
          <w:b/>
          <w:sz w:val="20"/>
          <w:szCs w:val="20"/>
        </w:rPr>
      </w:pPr>
      <w:r w:rsidRPr="00890C68">
        <w:rPr>
          <w:rFonts w:ascii="Times New Roman" w:hAnsi="Times New Roman"/>
          <w:b/>
          <w:color w:val="000000"/>
          <w:sz w:val="20"/>
          <w:szCs w:val="20"/>
        </w:rPr>
        <w:t>Informacje na temat zakresu, czasu trwania i podsumowanie wyników konsultacji</w:t>
      </w:r>
    </w:p>
    <w:p w:rsidR="004244A8" w:rsidRPr="00890C68" w:rsidRDefault="004244A8" w:rsidP="004A145E">
      <w:pPr>
        <w:spacing w:after="120" w:line="240" w:lineRule="auto"/>
        <w:ind w:left="357"/>
        <w:jc w:val="both"/>
        <w:rPr>
          <w:rFonts w:ascii="Times New Roman" w:hAnsi="Times New Roman"/>
          <w:color w:val="000000"/>
          <w:spacing w:val="-2"/>
          <w:sz w:val="20"/>
          <w:szCs w:val="20"/>
        </w:rPr>
      </w:pPr>
      <w:r w:rsidRPr="00890C68">
        <w:rPr>
          <w:rFonts w:ascii="Times New Roman" w:hAnsi="Times New Roman"/>
          <w:color w:val="000000"/>
          <w:spacing w:val="-2"/>
          <w:sz w:val="20"/>
          <w:szCs w:val="20"/>
        </w:rPr>
        <w:t>Proszę podać informacje o konsultacjach poprzedzających przygotowanie projektu oraz wskazać, jaki jest planowany zakres konsultacji publicznych i opiniowania projektu, w szczególności uwzględniając:</w:t>
      </w:r>
    </w:p>
    <w:p w:rsidR="004244A8" w:rsidRPr="00890C68" w:rsidRDefault="004244A8" w:rsidP="004244A8">
      <w:pPr>
        <w:numPr>
          <w:ilvl w:val="0"/>
          <w:numId w:val="20"/>
        </w:numPr>
        <w:spacing w:line="240" w:lineRule="auto"/>
        <w:jc w:val="both"/>
        <w:rPr>
          <w:rFonts w:ascii="Times New Roman" w:hAnsi="Times New Roman"/>
          <w:color w:val="000000"/>
          <w:spacing w:val="-2"/>
          <w:sz w:val="20"/>
          <w:szCs w:val="20"/>
        </w:rPr>
      </w:pPr>
      <w:r w:rsidRPr="00890C68">
        <w:rPr>
          <w:rFonts w:ascii="Times New Roman" w:hAnsi="Times New Roman"/>
          <w:color w:val="000000"/>
          <w:spacing w:val="-2"/>
          <w:sz w:val="20"/>
          <w:szCs w:val="20"/>
        </w:rPr>
        <w:t>wskazanie, czy były (i jak długo) prowadzone konsultacje poprzedzające przygotowanie projektu (tzw. pre-konsultacje publiczne), podmioty, z którymi były prowadzone te konsultacje (w tym ekspertów), w jaki sposób komunikowano się z grupami wskazanymi w pkt 6 (metody konsultacji np. warsztaty, kwestionariusz on-line), krótkie podsumowanie wyników konsultacji,</w:t>
      </w:r>
    </w:p>
    <w:p w:rsidR="004244A8" w:rsidRPr="00890C68" w:rsidRDefault="004244A8" w:rsidP="004244A8">
      <w:pPr>
        <w:numPr>
          <w:ilvl w:val="0"/>
          <w:numId w:val="20"/>
        </w:numPr>
        <w:spacing w:line="240" w:lineRule="auto"/>
        <w:jc w:val="both"/>
        <w:rPr>
          <w:rFonts w:ascii="Times New Roman" w:hAnsi="Times New Roman"/>
          <w:color w:val="000000"/>
          <w:spacing w:val="-2"/>
          <w:sz w:val="20"/>
          <w:szCs w:val="20"/>
        </w:rPr>
      </w:pPr>
      <w:r w:rsidRPr="00890C68">
        <w:rPr>
          <w:rFonts w:ascii="Times New Roman" w:hAnsi="Times New Roman"/>
          <w:color w:val="000000"/>
          <w:spacing w:val="-2"/>
          <w:sz w:val="20"/>
          <w:szCs w:val="20"/>
        </w:rPr>
        <w:t>terminy planowanych konsultacji publicznych, podmioty, z którymi będzie konsultow</w:t>
      </w:r>
      <w:r w:rsidR="00441787" w:rsidRPr="00890C68">
        <w:rPr>
          <w:rFonts w:ascii="Times New Roman" w:hAnsi="Times New Roman"/>
          <w:color w:val="000000"/>
          <w:spacing w:val="-2"/>
          <w:sz w:val="20"/>
          <w:szCs w:val="20"/>
        </w:rPr>
        <w:t>any projekt, wskazanie przepisu</w:t>
      </w:r>
      <w:r w:rsidR="00441787" w:rsidRPr="00890C68">
        <w:rPr>
          <w:rFonts w:ascii="Times New Roman" w:hAnsi="Times New Roman"/>
          <w:color w:val="000000"/>
          <w:spacing w:val="-2"/>
          <w:sz w:val="20"/>
          <w:szCs w:val="20"/>
        </w:rPr>
        <w:br/>
      </w:r>
      <w:r w:rsidRPr="00890C68">
        <w:rPr>
          <w:rFonts w:ascii="Times New Roman" w:hAnsi="Times New Roman"/>
          <w:color w:val="000000"/>
          <w:spacing w:val="-2"/>
          <w:sz w:val="20"/>
          <w:szCs w:val="20"/>
        </w:rPr>
        <w:t>z którego wynika obowiązek zasięgnięcia opinii.</w:t>
      </w:r>
    </w:p>
    <w:p w:rsidR="009D0655" w:rsidRPr="00890C68" w:rsidRDefault="009D0655" w:rsidP="009D0655">
      <w:pPr>
        <w:spacing w:line="240" w:lineRule="auto"/>
        <w:rPr>
          <w:rFonts w:ascii="Times New Roman" w:hAnsi="Times New Roman"/>
          <w:color w:val="000000"/>
          <w:spacing w:val="-2"/>
          <w:sz w:val="20"/>
          <w:szCs w:val="20"/>
        </w:rPr>
      </w:pPr>
    </w:p>
    <w:p w:rsidR="00522D94" w:rsidRPr="00890C68" w:rsidRDefault="00522D94" w:rsidP="00522D94">
      <w:pPr>
        <w:numPr>
          <w:ilvl w:val="0"/>
          <w:numId w:val="8"/>
        </w:numPr>
        <w:spacing w:after="120" w:line="240" w:lineRule="auto"/>
        <w:jc w:val="both"/>
        <w:rPr>
          <w:rFonts w:ascii="Times New Roman" w:hAnsi="Times New Roman"/>
          <w:b/>
          <w:sz w:val="20"/>
          <w:szCs w:val="20"/>
        </w:rPr>
      </w:pPr>
      <w:r w:rsidRPr="00890C68">
        <w:rPr>
          <w:rFonts w:ascii="Times New Roman" w:hAnsi="Times New Roman"/>
          <w:b/>
          <w:color w:val="000000"/>
          <w:sz w:val="20"/>
          <w:szCs w:val="20"/>
        </w:rPr>
        <w:t>Wpływ na sektor finansów publicznych</w:t>
      </w:r>
    </w:p>
    <w:p w:rsidR="004244A8" w:rsidRPr="00890C68" w:rsidRDefault="00422181" w:rsidP="00422181">
      <w:pPr>
        <w:spacing w:after="120"/>
        <w:ind w:left="357"/>
        <w:jc w:val="both"/>
        <w:rPr>
          <w:rFonts w:ascii="Times New Roman" w:hAnsi="Times New Roman"/>
          <w:sz w:val="20"/>
          <w:szCs w:val="20"/>
        </w:rPr>
      </w:pPr>
      <w:r w:rsidRPr="00890C68">
        <w:rPr>
          <w:rFonts w:ascii="Times New Roman" w:hAnsi="Times New Roman"/>
          <w:sz w:val="20"/>
          <w:szCs w:val="20"/>
        </w:rPr>
        <w:t xml:space="preserve">W przygotowaniu kalkulacji skutków dla sektora finansów publicznych </w:t>
      </w:r>
      <w:r w:rsidR="00187E79" w:rsidRPr="00890C68">
        <w:rPr>
          <w:rFonts w:ascii="Times New Roman" w:hAnsi="Times New Roman"/>
          <w:sz w:val="20"/>
          <w:szCs w:val="20"/>
        </w:rPr>
        <w:t>proszę uwzględnić</w:t>
      </w:r>
      <w:r w:rsidRPr="00890C68">
        <w:rPr>
          <w:rFonts w:ascii="Times New Roman" w:hAnsi="Times New Roman"/>
          <w:sz w:val="20"/>
          <w:szCs w:val="20"/>
        </w:rPr>
        <w:t xml:space="preserve"> aktualne </w:t>
      </w:r>
      <w:r w:rsidR="00FC49EF" w:rsidRPr="00890C68">
        <w:rPr>
          <w:rFonts w:ascii="Times New Roman" w:hAnsi="Times New Roman"/>
          <w:sz w:val="20"/>
          <w:szCs w:val="20"/>
        </w:rPr>
        <w:t>w</w:t>
      </w:r>
      <w:r w:rsidRPr="00890C68">
        <w:rPr>
          <w:rFonts w:ascii="Times New Roman" w:hAnsi="Times New Roman"/>
          <w:sz w:val="20"/>
          <w:szCs w:val="20"/>
        </w:rPr>
        <w:t xml:space="preserve">ytyczne dotyczące założeń makroekonomicznych, o których mowa w art. 50a ustawy o finansach publicznych. </w:t>
      </w:r>
    </w:p>
    <w:p w:rsidR="00E05A09" w:rsidRPr="00890C68" w:rsidRDefault="00422181" w:rsidP="00422181">
      <w:pPr>
        <w:spacing w:after="120"/>
        <w:ind w:left="357"/>
        <w:jc w:val="both"/>
        <w:rPr>
          <w:rFonts w:ascii="Times New Roman" w:hAnsi="Times New Roman"/>
          <w:color w:val="000000"/>
          <w:sz w:val="20"/>
          <w:szCs w:val="20"/>
        </w:rPr>
      </w:pPr>
      <w:r w:rsidRPr="00890C68">
        <w:rPr>
          <w:rFonts w:ascii="Times New Roman" w:hAnsi="Times New Roman"/>
          <w:sz w:val="20"/>
          <w:szCs w:val="20"/>
        </w:rPr>
        <w:t>Jeśli to możliwe proszę wskaza</w:t>
      </w:r>
      <w:r w:rsidR="00D64C0F" w:rsidRPr="00890C68">
        <w:rPr>
          <w:rFonts w:ascii="Times New Roman" w:hAnsi="Times New Roman"/>
          <w:sz w:val="20"/>
          <w:szCs w:val="20"/>
        </w:rPr>
        <w:t>ć</w:t>
      </w:r>
      <w:r w:rsidRPr="00890C68">
        <w:rPr>
          <w:rFonts w:ascii="Times New Roman" w:hAnsi="Times New Roman"/>
          <w:sz w:val="20"/>
          <w:szCs w:val="20"/>
        </w:rPr>
        <w:t xml:space="preserve"> skumulowan</w:t>
      </w:r>
      <w:r w:rsidR="00D64C0F" w:rsidRPr="00890C68">
        <w:rPr>
          <w:rFonts w:ascii="Times New Roman" w:hAnsi="Times New Roman"/>
          <w:sz w:val="20"/>
          <w:szCs w:val="20"/>
        </w:rPr>
        <w:t>e</w:t>
      </w:r>
      <w:r w:rsidRPr="00890C68">
        <w:rPr>
          <w:rFonts w:ascii="Times New Roman" w:hAnsi="Times New Roman"/>
          <w:sz w:val="20"/>
          <w:szCs w:val="20"/>
        </w:rPr>
        <w:t xml:space="preserve"> koszt</w:t>
      </w:r>
      <w:r w:rsidR="00D64C0F" w:rsidRPr="00890C68">
        <w:rPr>
          <w:rFonts w:ascii="Times New Roman" w:hAnsi="Times New Roman"/>
          <w:sz w:val="20"/>
          <w:szCs w:val="20"/>
        </w:rPr>
        <w:t>y</w:t>
      </w:r>
      <w:r w:rsidRPr="00890C68">
        <w:rPr>
          <w:rFonts w:ascii="Times New Roman" w:hAnsi="Times New Roman"/>
          <w:sz w:val="20"/>
          <w:szCs w:val="20"/>
        </w:rPr>
        <w:t xml:space="preserve">/oszczędności. </w:t>
      </w:r>
      <w:r w:rsidRPr="00890C68">
        <w:rPr>
          <w:rFonts w:ascii="Times New Roman" w:hAnsi="Times New Roman"/>
          <w:color w:val="000000"/>
          <w:sz w:val="20"/>
          <w:szCs w:val="20"/>
        </w:rPr>
        <w:t xml:space="preserve">Prognozę </w:t>
      </w:r>
      <w:r w:rsidR="00187E79" w:rsidRPr="00890C68">
        <w:rPr>
          <w:rFonts w:ascii="Times New Roman" w:hAnsi="Times New Roman"/>
          <w:color w:val="000000"/>
          <w:sz w:val="20"/>
          <w:szCs w:val="20"/>
        </w:rPr>
        <w:t xml:space="preserve">proszę </w:t>
      </w:r>
      <w:r w:rsidRPr="00890C68">
        <w:rPr>
          <w:rFonts w:ascii="Times New Roman" w:hAnsi="Times New Roman"/>
          <w:color w:val="000000"/>
          <w:sz w:val="20"/>
          <w:szCs w:val="20"/>
        </w:rPr>
        <w:t>przeprowadzić w podziale na proponowane kategorie w horyzoncie 10</w:t>
      </w:r>
      <w:r w:rsidR="00187E79" w:rsidRPr="00890C68">
        <w:rPr>
          <w:rFonts w:ascii="Times New Roman" w:hAnsi="Times New Roman"/>
          <w:color w:val="000000"/>
          <w:sz w:val="20"/>
          <w:szCs w:val="20"/>
        </w:rPr>
        <w:t>-</w:t>
      </w:r>
      <w:r w:rsidRPr="00890C68">
        <w:rPr>
          <w:rFonts w:ascii="Times New Roman" w:hAnsi="Times New Roman"/>
          <w:color w:val="000000"/>
          <w:sz w:val="20"/>
          <w:szCs w:val="20"/>
        </w:rPr>
        <w:t>letnim, w wartościach stałych (np. ceny stałe dla pierwszego roku prognozy</w:t>
      </w:r>
      <w:r w:rsidR="004244A8" w:rsidRPr="00890C68">
        <w:rPr>
          <w:rFonts w:ascii="Times New Roman" w:hAnsi="Times New Roman"/>
          <w:color w:val="000000"/>
          <w:sz w:val="20"/>
          <w:szCs w:val="20"/>
        </w:rPr>
        <w:t>).</w:t>
      </w:r>
      <w:r w:rsidR="005D61D6" w:rsidRPr="00890C68">
        <w:rPr>
          <w:rFonts w:ascii="Times New Roman" w:hAnsi="Times New Roman"/>
          <w:color w:val="000000"/>
          <w:sz w:val="20"/>
          <w:szCs w:val="20"/>
        </w:rPr>
        <w:br/>
      </w:r>
      <w:r w:rsidR="000670C0" w:rsidRPr="00890C68">
        <w:rPr>
          <w:rFonts w:ascii="Times New Roman" w:hAnsi="Times New Roman"/>
          <w:color w:val="000000"/>
          <w:sz w:val="20"/>
          <w:szCs w:val="20"/>
        </w:rPr>
        <w:t xml:space="preserve">W przypadku </w:t>
      </w:r>
      <w:r w:rsidR="00BB0DCA" w:rsidRPr="00890C68">
        <w:rPr>
          <w:rFonts w:ascii="Times New Roman" w:hAnsi="Times New Roman"/>
          <w:color w:val="000000"/>
          <w:sz w:val="20"/>
          <w:szCs w:val="20"/>
        </w:rPr>
        <w:t>gdy</w:t>
      </w:r>
      <w:r w:rsidR="000670C0" w:rsidRPr="00890C68">
        <w:rPr>
          <w:rFonts w:ascii="Times New Roman" w:hAnsi="Times New Roman"/>
          <w:color w:val="000000"/>
          <w:sz w:val="20"/>
          <w:szCs w:val="20"/>
        </w:rPr>
        <w:t xml:space="preserve"> analiza wpływu obejmuje dłuższy niż 10-letni horyzont (np. zmiany w systemie emerytalnym), możliwe jest dostosowanie kolumn tabeli do horyzontu projektu</w:t>
      </w:r>
      <w:r w:rsidRPr="00890C68">
        <w:rPr>
          <w:rFonts w:ascii="Times New Roman" w:hAnsi="Times New Roman"/>
          <w:color w:val="000000"/>
          <w:sz w:val="20"/>
          <w:szCs w:val="20"/>
        </w:rPr>
        <w:t xml:space="preserve">. </w:t>
      </w:r>
    </w:p>
    <w:p w:rsidR="00E05A09" w:rsidRPr="00890C68" w:rsidRDefault="00422181" w:rsidP="00422181">
      <w:pPr>
        <w:spacing w:after="120"/>
        <w:ind w:left="357"/>
        <w:jc w:val="both"/>
        <w:rPr>
          <w:rFonts w:ascii="Times New Roman" w:hAnsi="Times New Roman"/>
          <w:color w:val="000000"/>
          <w:sz w:val="20"/>
          <w:szCs w:val="20"/>
        </w:rPr>
      </w:pPr>
      <w:r w:rsidRPr="00890C68">
        <w:rPr>
          <w:rFonts w:ascii="Times New Roman" w:hAnsi="Times New Roman"/>
          <w:color w:val="000000"/>
          <w:sz w:val="20"/>
          <w:szCs w:val="20"/>
        </w:rPr>
        <w:t xml:space="preserve">Jeżeli obliczenia </w:t>
      </w:r>
      <w:r w:rsidR="00187E79" w:rsidRPr="00890C68">
        <w:rPr>
          <w:rFonts w:ascii="Times New Roman" w:hAnsi="Times New Roman"/>
          <w:color w:val="000000"/>
          <w:sz w:val="20"/>
          <w:szCs w:val="20"/>
        </w:rPr>
        <w:t xml:space="preserve">zostały </w:t>
      </w:r>
      <w:r w:rsidRPr="00890C68">
        <w:rPr>
          <w:rFonts w:ascii="Times New Roman" w:hAnsi="Times New Roman"/>
          <w:color w:val="000000"/>
          <w:sz w:val="20"/>
          <w:szCs w:val="20"/>
        </w:rPr>
        <w:t>wykonane na podstawie opracowania własnego</w:t>
      </w:r>
      <w:r w:rsidR="00187E79" w:rsidRPr="00890C68">
        <w:rPr>
          <w:rFonts w:ascii="Times New Roman" w:hAnsi="Times New Roman"/>
          <w:color w:val="000000"/>
          <w:sz w:val="20"/>
          <w:szCs w:val="20"/>
        </w:rPr>
        <w:t>,</w:t>
      </w:r>
      <w:r w:rsidRPr="00890C68">
        <w:rPr>
          <w:rFonts w:ascii="Times New Roman" w:hAnsi="Times New Roman"/>
          <w:color w:val="000000"/>
          <w:sz w:val="20"/>
          <w:szCs w:val="20"/>
        </w:rPr>
        <w:t xml:space="preserve"> </w:t>
      </w:r>
      <w:r w:rsidR="00187E79" w:rsidRPr="00890C68">
        <w:rPr>
          <w:rFonts w:ascii="Times New Roman" w:hAnsi="Times New Roman"/>
          <w:color w:val="000000"/>
          <w:sz w:val="20"/>
          <w:szCs w:val="20"/>
        </w:rPr>
        <w:t xml:space="preserve">proszę je przedstawić w formie załącznika oraz </w:t>
      </w:r>
      <w:r w:rsidRPr="00890C68">
        <w:rPr>
          <w:rFonts w:ascii="Times New Roman" w:hAnsi="Times New Roman"/>
          <w:color w:val="000000"/>
          <w:sz w:val="20"/>
          <w:szCs w:val="20"/>
        </w:rPr>
        <w:t xml:space="preserve">wskazać </w:t>
      </w:r>
      <w:r w:rsidR="00187E79" w:rsidRPr="00890C68">
        <w:rPr>
          <w:rFonts w:ascii="Times New Roman" w:hAnsi="Times New Roman"/>
          <w:color w:val="000000"/>
          <w:sz w:val="20"/>
          <w:szCs w:val="20"/>
        </w:rPr>
        <w:t xml:space="preserve">to </w:t>
      </w:r>
      <w:r w:rsidRPr="00890C68">
        <w:rPr>
          <w:rFonts w:ascii="Times New Roman" w:hAnsi="Times New Roman"/>
          <w:color w:val="000000"/>
          <w:sz w:val="20"/>
          <w:szCs w:val="20"/>
        </w:rPr>
        <w:t xml:space="preserve">opracowanie w </w:t>
      </w:r>
      <w:r w:rsidR="00187E79" w:rsidRPr="00890C68">
        <w:rPr>
          <w:rFonts w:ascii="Times New Roman" w:hAnsi="Times New Roman"/>
          <w:color w:val="000000"/>
          <w:sz w:val="20"/>
          <w:szCs w:val="20"/>
        </w:rPr>
        <w:t>pkt</w:t>
      </w:r>
      <w:r w:rsidRPr="00890C68">
        <w:rPr>
          <w:rFonts w:ascii="Times New Roman" w:hAnsi="Times New Roman"/>
          <w:color w:val="000000"/>
          <w:sz w:val="20"/>
          <w:szCs w:val="20"/>
        </w:rPr>
        <w:t xml:space="preserve"> 13. </w:t>
      </w:r>
    </w:p>
    <w:p w:rsidR="00BB2666" w:rsidRPr="00890C68" w:rsidRDefault="00BB2666" w:rsidP="00801F71">
      <w:pPr>
        <w:spacing w:after="120"/>
        <w:ind w:left="357"/>
        <w:jc w:val="both"/>
        <w:rPr>
          <w:rFonts w:ascii="Times New Roman" w:hAnsi="Times New Roman"/>
          <w:color w:val="000000"/>
          <w:sz w:val="20"/>
          <w:szCs w:val="20"/>
        </w:rPr>
      </w:pPr>
      <w:r w:rsidRPr="00890C68">
        <w:rPr>
          <w:rFonts w:ascii="Times New Roman" w:hAnsi="Times New Roman"/>
          <w:color w:val="000000"/>
          <w:sz w:val="20"/>
          <w:szCs w:val="20"/>
        </w:rPr>
        <w:t>W opracowywanej analizie wpływu, co do zasady, należy przyjąć kalkulację w cenach stałych. W przypadku zastosowania cen bieżących, prezentacja skutków finansowych powinna uwzględniać wska</w:t>
      </w:r>
      <w:r w:rsidR="00300991" w:rsidRPr="00890C68">
        <w:rPr>
          <w:rFonts w:ascii="Times New Roman" w:hAnsi="Times New Roman"/>
          <w:color w:val="000000"/>
          <w:sz w:val="20"/>
          <w:szCs w:val="20"/>
        </w:rPr>
        <w:t>źniki makroekonomiczne podawane</w:t>
      </w:r>
      <w:r w:rsidR="00300991" w:rsidRPr="00890C68">
        <w:rPr>
          <w:rFonts w:ascii="Times New Roman" w:hAnsi="Times New Roman"/>
          <w:color w:val="000000"/>
          <w:sz w:val="20"/>
          <w:szCs w:val="20"/>
        </w:rPr>
        <w:br/>
      </w:r>
      <w:r w:rsidRPr="00890C68">
        <w:rPr>
          <w:rFonts w:ascii="Times New Roman" w:hAnsi="Times New Roman"/>
          <w:color w:val="000000"/>
          <w:sz w:val="20"/>
          <w:szCs w:val="20"/>
        </w:rPr>
        <w:t xml:space="preserve">w </w:t>
      </w:r>
      <w:hyperlink r:id="rId10" w:anchor="p_p_id_101_INSTANCE_S0gu_" w:history="1">
        <w:r w:rsidRPr="00890C68">
          <w:rPr>
            <w:rStyle w:val="Hipercze"/>
            <w:rFonts w:ascii="Times New Roman" w:hAnsi="Times New Roman"/>
            <w:i/>
            <w:sz w:val="20"/>
            <w:szCs w:val="20"/>
          </w:rPr>
          <w:t>Wytycznych dotyczących stosowania jednolitych wskaźników makroekonomicznych będących podstawą oszacowania skutków finansowych projektowanych ustaw</w:t>
        </w:r>
      </w:hyperlink>
      <w:r w:rsidRPr="00890C68">
        <w:rPr>
          <w:rFonts w:ascii="Times New Roman" w:hAnsi="Times New Roman"/>
          <w:color w:val="000000"/>
          <w:sz w:val="20"/>
          <w:szCs w:val="20"/>
        </w:rPr>
        <w:t>. Jeżeli nie zastosowano wskaźni</w:t>
      </w:r>
      <w:r w:rsidR="00300991" w:rsidRPr="00890C68">
        <w:rPr>
          <w:rFonts w:ascii="Times New Roman" w:hAnsi="Times New Roman"/>
          <w:color w:val="000000"/>
          <w:sz w:val="20"/>
          <w:szCs w:val="20"/>
        </w:rPr>
        <w:t>ków makroekonomicznych podanych</w:t>
      </w:r>
      <w:r w:rsidR="00300991" w:rsidRPr="00890C68">
        <w:rPr>
          <w:rFonts w:ascii="Times New Roman" w:hAnsi="Times New Roman"/>
          <w:color w:val="000000"/>
          <w:sz w:val="20"/>
          <w:szCs w:val="20"/>
        </w:rPr>
        <w:br/>
      </w:r>
      <w:r w:rsidRPr="00890C68">
        <w:rPr>
          <w:rFonts w:ascii="Times New Roman" w:hAnsi="Times New Roman"/>
          <w:color w:val="000000"/>
          <w:sz w:val="20"/>
          <w:szCs w:val="20"/>
        </w:rPr>
        <w:t xml:space="preserve">w </w:t>
      </w:r>
      <w:hyperlink r:id="rId11" w:history="1">
        <w:r w:rsidRPr="00890C68">
          <w:rPr>
            <w:rStyle w:val="Hipercze"/>
            <w:rFonts w:ascii="Times New Roman" w:hAnsi="Times New Roman"/>
            <w:i/>
            <w:sz w:val="20"/>
            <w:szCs w:val="20"/>
          </w:rPr>
          <w:t>Wytycznych MF</w:t>
        </w:r>
      </w:hyperlink>
      <w:r w:rsidRPr="00890C68">
        <w:rPr>
          <w:rFonts w:ascii="Times New Roman" w:hAnsi="Times New Roman"/>
          <w:color w:val="000000"/>
          <w:sz w:val="20"/>
          <w:szCs w:val="20"/>
        </w:rPr>
        <w:t>, proszę  dołączyć stosowną informację wyjaśniającą.</w:t>
      </w:r>
    </w:p>
    <w:p w:rsidR="00422181" w:rsidRPr="00890C68" w:rsidRDefault="0084314C" w:rsidP="00422181">
      <w:pPr>
        <w:spacing w:after="120"/>
        <w:ind w:left="357"/>
        <w:jc w:val="both"/>
        <w:rPr>
          <w:rFonts w:ascii="Times New Roman" w:hAnsi="Times New Roman"/>
          <w:color w:val="000000"/>
          <w:sz w:val="20"/>
          <w:szCs w:val="20"/>
        </w:rPr>
      </w:pPr>
      <w:r w:rsidRPr="00890C68">
        <w:rPr>
          <w:rFonts w:ascii="Times New Roman" w:hAnsi="Times New Roman"/>
          <w:color w:val="000000"/>
          <w:sz w:val="20"/>
          <w:szCs w:val="20"/>
        </w:rPr>
        <w:t xml:space="preserve">Proszę wskazać źródła finansowania planowanych wydatków. </w:t>
      </w:r>
      <w:r w:rsidR="00187E79" w:rsidRPr="00890C68">
        <w:rPr>
          <w:rFonts w:ascii="Times New Roman" w:hAnsi="Times New Roman"/>
          <w:color w:val="000000"/>
          <w:sz w:val="20"/>
          <w:szCs w:val="20"/>
        </w:rPr>
        <w:t xml:space="preserve">Proszę </w:t>
      </w:r>
      <w:r w:rsidR="00422181" w:rsidRPr="00890C68">
        <w:rPr>
          <w:rFonts w:ascii="Times New Roman" w:hAnsi="Times New Roman"/>
          <w:color w:val="000000"/>
          <w:sz w:val="20"/>
          <w:szCs w:val="20"/>
        </w:rPr>
        <w:t xml:space="preserve">wskazać również wszystkie </w:t>
      </w:r>
      <w:r w:rsidR="004244A8" w:rsidRPr="00890C68">
        <w:rPr>
          <w:rFonts w:ascii="Times New Roman" w:hAnsi="Times New Roman"/>
          <w:color w:val="000000"/>
          <w:sz w:val="20"/>
          <w:szCs w:val="20"/>
        </w:rPr>
        <w:t xml:space="preserve">przyjęte do obliczeń </w:t>
      </w:r>
      <w:r w:rsidR="00422181" w:rsidRPr="00890C68">
        <w:rPr>
          <w:rFonts w:ascii="Times New Roman" w:hAnsi="Times New Roman"/>
          <w:color w:val="000000"/>
          <w:sz w:val="20"/>
          <w:szCs w:val="20"/>
        </w:rPr>
        <w:t>założenia</w:t>
      </w:r>
      <w:r w:rsidR="00567963" w:rsidRPr="00890C68">
        <w:rPr>
          <w:rFonts w:ascii="Times New Roman" w:hAnsi="Times New Roman"/>
          <w:color w:val="000000"/>
          <w:sz w:val="20"/>
          <w:szCs w:val="20"/>
        </w:rPr>
        <w:t xml:space="preserve"> i źródła danych</w:t>
      </w:r>
      <w:r w:rsidR="004244A8" w:rsidRPr="00890C68">
        <w:rPr>
          <w:rFonts w:ascii="Times New Roman" w:hAnsi="Times New Roman"/>
          <w:color w:val="000000"/>
          <w:sz w:val="20"/>
          <w:szCs w:val="20"/>
        </w:rPr>
        <w:t>.</w:t>
      </w:r>
    </w:p>
    <w:p w:rsidR="00E05A09" w:rsidRPr="00890C68" w:rsidRDefault="005473F5" w:rsidP="00422181">
      <w:pPr>
        <w:spacing w:after="120"/>
        <w:ind w:left="357"/>
        <w:jc w:val="both"/>
        <w:rPr>
          <w:rFonts w:ascii="Times New Roman" w:hAnsi="Times New Roman"/>
          <w:sz w:val="20"/>
          <w:szCs w:val="20"/>
        </w:rPr>
      </w:pPr>
      <w:r w:rsidRPr="00890C68">
        <w:rPr>
          <w:rFonts w:ascii="Times New Roman" w:hAnsi="Times New Roman"/>
          <w:sz w:val="20"/>
          <w:szCs w:val="20"/>
        </w:rPr>
        <w:t xml:space="preserve">Skutki proszę skalkulować dla roku wejścia w życie regulacji (0), a następnie w </w:t>
      </w:r>
      <w:r w:rsidR="002172F1" w:rsidRPr="00890C68">
        <w:rPr>
          <w:rFonts w:ascii="Times New Roman" w:hAnsi="Times New Roman"/>
          <w:sz w:val="20"/>
          <w:szCs w:val="20"/>
        </w:rPr>
        <w:t>kolejnych latach</w:t>
      </w:r>
      <w:r w:rsidR="00441787" w:rsidRPr="00890C68">
        <w:rPr>
          <w:rFonts w:ascii="Times New Roman" w:hAnsi="Times New Roman"/>
          <w:sz w:val="20"/>
          <w:szCs w:val="20"/>
        </w:rPr>
        <w:t xml:space="preserve"> jej obowiązywania.</w:t>
      </w:r>
      <w:r w:rsidR="00441787" w:rsidRPr="00890C68">
        <w:rPr>
          <w:rFonts w:ascii="Times New Roman" w:hAnsi="Times New Roman"/>
          <w:sz w:val="20"/>
          <w:szCs w:val="20"/>
        </w:rPr>
        <w:br/>
      </w:r>
      <w:r w:rsidRPr="00890C68">
        <w:rPr>
          <w:rFonts w:ascii="Times New Roman" w:hAnsi="Times New Roman"/>
          <w:sz w:val="20"/>
          <w:szCs w:val="20"/>
        </w:rPr>
        <w:t xml:space="preserve">W kolumnie </w:t>
      </w:r>
      <w:r w:rsidRPr="00890C68">
        <w:rPr>
          <w:rFonts w:ascii="Times New Roman" w:hAnsi="Times New Roman"/>
          <w:i/>
          <w:sz w:val="20"/>
          <w:szCs w:val="20"/>
        </w:rPr>
        <w:t>Łącznie</w:t>
      </w:r>
      <w:r w:rsidRPr="00890C68">
        <w:rPr>
          <w:rFonts w:ascii="Times New Roman" w:hAnsi="Times New Roman"/>
          <w:sz w:val="20"/>
          <w:szCs w:val="20"/>
        </w:rPr>
        <w:t xml:space="preserve"> proszę wpisać skumulowane skutki za okres 10 lat obowiązywania regulacji.</w:t>
      </w:r>
    </w:p>
    <w:p w:rsidR="00917AAE" w:rsidRPr="00890C68" w:rsidRDefault="0069486B" w:rsidP="00917AAE">
      <w:pPr>
        <w:spacing w:after="120"/>
        <w:ind w:left="360"/>
        <w:jc w:val="both"/>
        <w:rPr>
          <w:rFonts w:ascii="Times New Roman" w:hAnsi="Times New Roman"/>
          <w:sz w:val="20"/>
          <w:szCs w:val="20"/>
        </w:rPr>
      </w:pPr>
      <w:r w:rsidRPr="00890C68">
        <w:rPr>
          <w:rFonts w:ascii="Times New Roman" w:hAnsi="Times New Roman"/>
          <w:sz w:val="20"/>
          <w:szCs w:val="20"/>
        </w:rPr>
        <w:t xml:space="preserve">Jeżeli projekt ma charakter przekrojowy i dotyczy wielu zagadnień (np. ustawa deregulująca zawody, ustawa o ułatwieniu wykonywania działalności gospodarczej) proszę dokonać </w:t>
      </w:r>
      <w:r w:rsidR="00917AAE" w:rsidRPr="00890C68">
        <w:rPr>
          <w:rFonts w:ascii="Times New Roman" w:hAnsi="Times New Roman"/>
          <w:sz w:val="20"/>
          <w:szCs w:val="20"/>
        </w:rPr>
        <w:t xml:space="preserve">analizy </w:t>
      </w:r>
      <w:r w:rsidR="00BB0DCA" w:rsidRPr="00890C68">
        <w:rPr>
          <w:rFonts w:ascii="Times New Roman" w:hAnsi="Times New Roman"/>
          <w:sz w:val="20"/>
          <w:szCs w:val="20"/>
        </w:rPr>
        <w:t xml:space="preserve">wpływu </w:t>
      </w:r>
      <w:r w:rsidR="00917AAE" w:rsidRPr="00890C68">
        <w:rPr>
          <w:rFonts w:ascii="Times New Roman" w:hAnsi="Times New Roman"/>
          <w:sz w:val="20"/>
          <w:szCs w:val="20"/>
        </w:rPr>
        <w:t>na SFP dla najważniejszych zmian.</w:t>
      </w:r>
    </w:p>
    <w:p w:rsidR="00522D94" w:rsidRPr="00890C68" w:rsidRDefault="00522D94" w:rsidP="00522D94">
      <w:pPr>
        <w:numPr>
          <w:ilvl w:val="0"/>
          <w:numId w:val="8"/>
        </w:numPr>
        <w:spacing w:after="120" w:line="240" w:lineRule="auto"/>
        <w:jc w:val="both"/>
        <w:rPr>
          <w:rFonts w:ascii="Times New Roman" w:hAnsi="Times New Roman"/>
          <w:b/>
          <w:sz w:val="20"/>
          <w:szCs w:val="20"/>
        </w:rPr>
      </w:pPr>
      <w:r w:rsidRPr="00890C68">
        <w:rPr>
          <w:rFonts w:ascii="Times New Roman" w:hAnsi="Times New Roman"/>
          <w:b/>
          <w:color w:val="000000"/>
          <w:spacing w:val="-2"/>
          <w:sz w:val="20"/>
          <w:szCs w:val="20"/>
        </w:rPr>
        <w:t xml:space="preserve">Wpływ na </w:t>
      </w:r>
      <w:r w:rsidRPr="00890C68">
        <w:rPr>
          <w:rFonts w:ascii="Times New Roman" w:hAnsi="Times New Roman"/>
          <w:b/>
          <w:color w:val="000000"/>
          <w:sz w:val="20"/>
          <w:szCs w:val="20"/>
        </w:rPr>
        <w:t>konkurencyjność gospodarki i przedsiębiorczość, w tym funkcjonowanie przedsiębiorców oraz na</w:t>
      </w:r>
      <w:r w:rsidR="00BB0DCA" w:rsidRPr="00890C68">
        <w:rPr>
          <w:rFonts w:ascii="Times New Roman" w:hAnsi="Times New Roman"/>
          <w:b/>
          <w:color w:val="000000"/>
          <w:sz w:val="20"/>
          <w:szCs w:val="20"/>
        </w:rPr>
        <w:t xml:space="preserve"> rodzinę,</w:t>
      </w:r>
      <w:r w:rsidRPr="00890C68">
        <w:rPr>
          <w:rFonts w:ascii="Times New Roman" w:hAnsi="Times New Roman"/>
          <w:b/>
          <w:color w:val="000000"/>
          <w:sz w:val="20"/>
          <w:szCs w:val="20"/>
        </w:rPr>
        <w:t xml:space="preserve"> obywateli i gospodarstwa domowe</w:t>
      </w:r>
    </w:p>
    <w:p w:rsidR="00AE472C" w:rsidRPr="00890C68" w:rsidRDefault="00AE472C" w:rsidP="00AE472C">
      <w:pPr>
        <w:spacing w:line="240" w:lineRule="auto"/>
        <w:ind w:left="360"/>
        <w:jc w:val="both"/>
        <w:rPr>
          <w:rFonts w:ascii="Times New Roman" w:hAnsi="Times New Roman"/>
          <w:color w:val="000000"/>
          <w:sz w:val="20"/>
          <w:szCs w:val="20"/>
        </w:rPr>
      </w:pPr>
      <w:r w:rsidRPr="00890C68">
        <w:rPr>
          <w:rFonts w:ascii="Times New Roman" w:hAnsi="Times New Roman"/>
          <w:color w:val="000000"/>
          <w:sz w:val="20"/>
          <w:szCs w:val="20"/>
        </w:rPr>
        <w:t xml:space="preserve">Proszę oszacować </w:t>
      </w:r>
      <w:r w:rsidR="004244A8" w:rsidRPr="00890C68">
        <w:rPr>
          <w:rFonts w:ascii="Times New Roman" w:hAnsi="Times New Roman"/>
          <w:color w:val="000000"/>
          <w:sz w:val="20"/>
          <w:szCs w:val="20"/>
        </w:rPr>
        <w:t xml:space="preserve">wpływ na </w:t>
      </w:r>
      <w:r w:rsidRPr="00890C68">
        <w:rPr>
          <w:rFonts w:ascii="Times New Roman" w:hAnsi="Times New Roman"/>
          <w:color w:val="000000"/>
          <w:sz w:val="20"/>
          <w:szCs w:val="20"/>
        </w:rPr>
        <w:t>konkurencyjnoś</w:t>
      </w:r>
      <w:r w:rsidR="004244A8" w:rsidRPr="00890C68">
        <w:rPr>
          <w:rFonts w:ascii="Times New Roman" w:hAnsi="Times New Roman"/>
          <w:color w:val="000000"/>
          <w:sz w:val="20"/>
          <w:szCs w:val="20"/>
        </w:rPr>
        <w:t>ć</w:t>
      </w:r>
      <w:r w:rsidRPr="00890C68">
        <w:rPr>
          <w:rFonts w:ascii="Times New Roman" w:hAnsi="Times New Roman"/>
          <w:color w:val="000000"/>
          <w:sz w:val="20"/>
          <w:szCs w:val="20"/>
        </w:rPr>
        <w:t xml:space="preserve"> </w:t>
      </w:r>
      <w:r w:rsidR="003E720A" w:rsidRPr="00890C68">
        <w:rPr>
          <w:rFonts w:ascii="Times New Roman" w:hAnsi="Times New Roman"/>
          <w:color w:val="000000"/>
          <w:sz w:val="20"/>
          <w:szCs w:val="20"/>
        </w:rPr>
        <w:t>gospodarki</w:t>
      </w:r>
      <w:r w:rsidR="004244A8" w:rsidRPr="00890C68">
        <w:rPr>
          <w:rFonts w:ascii="Times New Roman" w:hAnsi="Times New Roman"/>
          <w:color w:val="000000"/>
          <w:sz w:val="20"/>
          <w:szCs w:val="20"/>
        </w:rPr>
        <w:t>,</w:t>
      </w:r>
      <w:r w:rsidRPr="00890C68">
        <w:rPr>
          <w:rFonts w:ascii="Times New Roman" w:hAnsi="Times New Roman"/>
          <w:color w:val="000000"/>
          <w:sz w:val="20"/>
          <w:szCs w:val="20"/>
        </w:rPr>
        <w:t xml:space="preserve"> przedsiębiorczości </w:t>
      </w:r>
      <w:r w:rsidR="004244A8" w:rsidRPr="00890C68">
        <w:rPr>
          <w:rFonts w:ascii="Times New Roman" w:hAnsi="Times New Roman"/>
          <w:color w:val="000000"/>
          <w:sz w:val="20"/>
          <w:szCs w:val="20"/>
        </w:rPr>
        <w:t xml:space="preserve">oraz na </w:t>
      </w:r>
      <w:r w:rsidR="0066091B" w:rsidRPr="00890C68">
        <w:rPr>
          <w:rFonts w:ascii="Times New Roman" w:hAnsi="Times New Roman"/>
          <w:color w:val="000000"/>
          <w:sz w:val="20"/>
          <w:szCs w:val="20"/>
        </w:rPr>
        <w:t>sytuacj</w:t>
      </w:r>
      <w:r w:rsidR="00B7770F" w:rsidRPr="00890C68">
        <w:rPr>
          <w:rFonts w:ascii="Times New Roman" w:hAnsi="Times New Roman"/>
          <w:color w:val="000000"/>
          <w:sz w:val="20"/>
          <w:szCs w:val="20"/>
        </w:rPr>
        <w:t>ę</w:t>
      </w:r>
      <w:r w:rsidR="00EF7A2D" w:rsidRPr="00890C68">
        <w:rPr>
          <w:rFonts w:ascii="Times New Roman" w:hAnsi="Times New Roman"/>
          <w:color w:val="000000"/>
          <w:sz w:val="20"/>
          <w:szCs w:val="20"/>
        </w:rPr>
        <w:t xml:space="preserve"> </w:t>
      </w:r>
      <w:r w:rsidR="002172F1" w:rsidRPr="00890C68">
        <w:rPr>
          <w:rFonts w:ascii="Times New Roman" w:hAnsi="Times New Roman"/>
          <w:color w:val="000000"/>
          <w:sz w:val="20"/>
          <w:szCs w:val="20"/>
        </w:rPr>
        <w:t>rodziny</w:t>
      </w:r>
      <w:r w:rsidR="00D218DC" w:rsidRPr="00890C68">
        <w:rPr>
          <w:rFonts w:ascii="Times New Roman" w:hAnsi="Times New Roman"/>
          <w:color w:val="000000"/>
          <w:sz w:val="20"/>
          <w:szCs w:val="20"/>
        </w:rPr>
        <w:t xml:space="preserve">. </w:t>
      </w:r>
      <w:r w:rsidR="00EF7A2D" w:rsidRPr="00890C68">
        <w:rPr>
          <w:rFonts w:ascii="Times New Roman" w:hAnsi="Times New Roman"/>
          <w:color w:val="000000"/>
          <w:sz w:val="20"/>
          <w:szCs w:val="20"/>
        </w:rPr>
        <w:t xml:space="preserve">Skutki należy przypisać </w:t>
      </w:r>
      <w:r w:rsidR="00D218DC" w:rsidRPr="00890C68">
        <w:rPr>
          <w:rFonts w:ascii="Times New Roman" w:hAnsi="Times New Roman"/>
          <w:color w:val="000000"/>
          <w:sz w:val="20"/>
          <w:szCs w:val="20"/>
        </w:rPr>
        <w:t xml:space="preserve">do odpowiedniej grupy </w:t>
      </w:r>
      <w:r w:rsidR="00EF7A2D" w:rsidRPr="00890C68">
        <w:rPr>
          <w:rFonts w:ascii="Times New Roman" w:hAnsi="Times New Roman"/>
          <w:color w:val="000000"/>
          <w:sz w:val="20"/>
          <w:szCs w:val="20"/>
        </w:rPr>
        <w:t>w tabeli</w:t>
      </w:r>
      <w:r w:rsidR="00D218DC" w:rsidRPr="00890C68">
        <w:rPr>
          <w:rFonts w:ascii="Times New Roman" w:hAnsi="Times New Roman"/>
          <w:color w:val="000000"/>
          <w:sz w:val="20"/>
          <w:szCs w:val="20"/>
        </w:rPr>
        <w:t xml:space="preserve">. </w:t>
      </w:r>
    </w:p>
    <w:p w:rsidR="00AE472C" w:rsidRPr="00890C68" w:rsidRDefault="00AE472C" w:rsidP="004A145E">
      <w:pPr>
        <w:spacing w:after="120" w:line="240" w:lineRule="auto"/>
        <w:ind w:left="357"/>
        <w:jc w:val="both"/>
        <w:rPr>
          <w:rFonts w:ascii="Times New Roman" w:hAnsi="Times New Roman"/>
          <w:color w:val="000000"/>
          <w:sz w:val="20"/>
          <w:szCs w:val="20"/>
        </w:rPr>
      </w:pPr>
      <w:r w:rsidRPr="00890C68">
        <w:rPr>
          <w:rFonts w:ascii="Times New Roman" w:hAnsi="Times New Roman"/>
          <w:color w:val="000000"/>
          <w:sz w:val="20"/>
          <w:szCs w:val="20"/>
        </w:rPr>
        <w:t xml:space="preserve">W przypadku </w:t>
      </w:r>
      <w:r w:rsidR="00BB0DCA" w:rsidRPr="00890C68">
        <w:rPr>
          <w:rFonts w:ascii="Times New Roman" w:hAnsi="Times New Roman"/>
          <w:color w:val="000000"/>
          <w:sz w:val="20"/>
          <w:szCs w:val="20"/>
        </w:rPr>
        <w:t>gdy</w:t>
      </w:r>
      <w:r w:rsidRPr="00890C68">
        <w:rPr>
          <w:rFonts w:ascii="Times New Roman" w:hAnsi="Times New Roman"/>
          <w:color w:val="000000"/>
          <w:sz w:val="20"/>
          <w:szCs w:val="20"/>
        </w:rPr>
        <w:t xml:space="preserve"> regulacja będzie oddziaływać na inne niż wymienione w formularzu podmioty proszę odpowiednio </w:t>
      </w:r>
      <w:r w:rsidR="00BB0DCA" w:rsidRPr="00890C68">
        <w:rPr>
          <w:rFonts w:ascii="Times New Roman" w:hAnsi="Times New Roman"/>
          <w:color w:val="000000"/>
          <w:sz w:val="20"/>
          <w:szCs w:val="20"/>
        </w:rPr>
        <w:t>uzupełnić</w:t>
      </w:r>
      <w:r w:rsidRPr="00890C68">
        <w:rPr>
          <w:rFonts w:ascii="Times New Roman" w:hAnsi="Times New Roman"/>
          <w:color w:val="000000"/>
          <w:sz w:val="20"/>
          <w:szCs w:val="20"/>
        </w:rPr>
        <w:t xml:space="preserve"> formularz.</w:t>
      </w:r>
    </w:p>
    <w:p w:rsidR="00AE472C" w:rsidRPr="00890C68" w:rsidRDefault="004244A8" w:rsidP="004A145E">
      <w:pPr>
        <w:spacing w:after="120" w:line="240" w:lineRule="auto"/>
        <w:ind w:left="357"/>
        <w:jc w:val="both"/>
        <w:rPr>
          <w:rFonts w:ascii="Times New Roman" w:hAnsi="Times New Roman"/>
          <w:color w:val="000000"/>
          <w:sz w:val="20"/>
          <w:szCs w:val="20"/>
        </w:rPr>
      </w:pPr>
      <w:r w:rsidRPr="00890C68">
        <w:rPr>
          <w:rFonts w:ascii="Times New Roman" w:hAnsi="Times New Roman"/>
          <w:color w:val="000000"/>
          <w:sz w:val="20"/>
          <w:szCs w:val="20"/>
        </w:rPr>
        <w:t>P</w:t>
      </w:r>
      <w:r w:rsidR="00AE472C" w:rsidRPr="00890C68">
        <w:rPr>
          <w:rFonts w:ascii="Times New Roman" w:hAnsi="Times New Roman"/>
          <w:color w:val="000000"/>
          <w:sz w:val="20"/>
          <w:szCs w:val="20"/>
        </w:rPr>
        <w:t xml:space="preserve">roszę wskazać wartość finansową, z uwzględnieniem m.in. kosztów </w:t>
      </w:r>
      <w:r w:rsidRPr="00890C68">
        <w:rPr>
          <w:rFonts w:ascii="Times New Roman" w:hAnsi="Times New Roman"/>
          <w:color w:val="000000"/>
          <w:sz w:val="20"/>
          <w:szCs w:val="20"/>
        </w:rPr>
        <w:t>ponoszonych w związku z wejściem w życie aktu</w:t>
      </w:r>
      <w:r w:rsidR="00AE472C" w:rsidRPr="00890C68">
        <w:rPr>
          <w:rFonts w:ascii="Times New Roman" w:hAnsi="Times New Roman"/>
          <w:color w:val="000000"/>
          <w:sz w:val="20"/>
          <w:szCs w:val="20"/>
        </w:rPr>
        <w:t xml:space="preserve"> (np. koszt aktualizacji systemów informatycznych, zakupu nowych urządzeń), podatków i opłat lokalnych, itp.</w:t>
      </w:r>
      <w:r w:rsidR="002172F1" w:rsidRPr="00890C68">
        <w:rPr>
          <w:rFonts w:ascii="Times New Roman" w:hAnsi="Times New Roman"/>
          <w:color w:val="000000"/>
          <w:sz w:val="20"/>
          <w:szCs w:val="20"/>
        </w:rPr>
        <w:t xml:space="preserve"> </w:t>
      </w:r>
    </w:p>
    <w:p w:rsidR="002172F1" w:rsidRPr="00890C68" w:rsidRDefault="002172F1" w:rsidP="004A145E">
      <w:pPr>
        <w:spacing w:after="120" w:line="240" w:lineRule="auto"/>
        <w:ind w:left="357"/>
        <w:jc w:val="both"/>
        <w:rPr>
          <w:rFonts w:ascii="Times New Roman" w:hAnsi="Times New Roman"/>
          <w:color w:val="000000"/>
          <w:sz w:val="20"/>
          <w:szCs w:val="20"/>
        </w:rPr>
      </w:pPr>
      <w:r w:rsidRPr="00890C68">
        <w:rPr>
          <w:rFonts w:ascii="Times New Roman" w:hAnsi="Times New Roman"/>
          <w:color w:val="000000"/>
          <w:sz w:val="20"/>
          <w:szCs w:val="20"/>
        </w:rPr>
        <w:t>W ujęciu niepieniężnym proszę podać wartości najważniejszych wskaźników, które ulegną zmianie (np. skrócenie czasu wydania pozwolenia na budowę o 100 dni, wzrost wskaźnika upowszechnienia wychowania przedszkolnego o 20 p</w:t>
      </w:r>
      <w:r w:rsidR="004244A8" w:rsidRPr="00890C68">
        <w:rPr>
          <w:rFonts w:ascii="Times New Roman" w:hAnsi="Times New Roman"/>
          <w:color w:val="000000"/>
          <w:sz w:val="20"/>
          <w:szCs w:val="20"/>
        </w:rPr>
        <w:t xml:space="preserve">unktów </w:t>
      </w:r>
      <w:r w:rsidRPr="00890C68">
        <w:rPr>
          <w:rFonts w:ascii="Times New Roman" w:hAnsi="Times New Roman"/>
          <w:color w:val="000000"/>
          <w:sz w:val="20"/>
          <w:szCs w:val="20"/>
        </w:rPr>
        <w:t>p</w:t>
      </w:r>
      <w:r w:rsidR="004244A8" w:rsidRPr="00890C68">
        <w:rPr>
          <w:rFonts w:ascii="Times New Roman" w:hAnsi="Times New Roman"/>
          <w:color w:val="000000"/>
          <w:sz w:val="20"/>
          <w:szCs w:val="20"/>
        </w:rPr>
        <w:t>rocentowych</w:t>
      </w:r>
      <w:r w:rsidRPr="00890C68">
        <w:rPr>
          <w:rFonts w:ascii="Times New Roman" w:hAnsi="Times New Roman"/>
          <w:color w:val="000000"/>
          <w:sz w:val="20"/>
          <w:szCs w:val="20"/>
        </w:rPr>
        <w:t>).</w:t>
      </w:r>
    </w:p>
    <w:p w:rsidR="00AE472C" w:rsidRPr="00890C68" w:rsidRDefault="00AE472C" w:rsidP="004A145E">
      <w:pPr>
        <w:spacing w:after="120" w:line="240" w:lineRule="auto"/>
        <w:ind w:left="357"/>
        <w:jc w:val="both"/>
        <w:rPr>
          <w:rFonts w:ascii="Times New Roman" w:hAnsi="Times New Roman"/>
          <w:color w:val="000000"/>
          <w:sz w:val="20"/>
          <w:szCs w:val="20"/>
        </w:rPr>
      </w:pPr>
      <w:r w:rsidRPr="00890C68">
        <w:rPr>
          <w:rFonts w:ascii="Times New Roman" w:hAnsi="Times New Roman"/>
          <w:color w:val="000000"/>
          <w:sz w:val="20"/>
          <w:szCs w:val="20"/>
        </w:rPr>
        <w:t xml:space="preserve">W przypadku </w:t>
      </w:r>
      <w:r w:rsidR="00BB0DCA" w:rsidRPr="00890C68">
        <w:rPr>
          <w:rFonts w:ascii="Times New Roman" w:hAnsi="Times New Roman"/>
          <w:color w:val="000000"/>
          <w:sz w:val="20"/>
          <w:szCs w:val="20"/>
        </w:rPr>
        <w:t>gdy</w:t>
      </w:r>
      <w:r w:rsidRPr="00890C68">
        <w:rPr>
          <w:rFonts w:ascii="Times New Roman" w:hAnsi="Times New Roman"/>
          <w:color w:val="000000"/>
          <w:sz w:val="20"/>
          <w:szCs w:val="20"/>
        </w:rPr>
        <w:t xml:space="preserve"> nie ma możliwości podania żadnych wartości liczbowych (lub wpływ dotyczy także zmian, których nie można skwantyfikować) proszę odpowiednio opisać analizę wpływu w pozycji: „niemierzalne</w:t>
      </w:r>
      <w:r w:rsidR="00BB0DCA" w:rsidRPr="00890C68">
        <w:rPr>
          <w:rFonts w:ascii="Times New Roman" w:hAnsi="Times New Roman"/>
          <w:color w:val="000000"/>
          <w:sz w:val="20"/>
          <w:szCs w:val="20"/>
        </w:rPr>
        <w:t>”</w:t>
      </w:r>
      <w:r w:rsidRPr="00890C68">
        <w:rPr>
          <w:rFonts w:ascii="Times New Roman" w:hAnsi="Times New Roman"/>
          <w:color w:val="000000"/>
          <w:sz w:val="20"/>
          <w:szCs w:val="20"/>
        </w:rPr>
        <w:t>.</w:t>
      </w:r>
    </w:p>
    <w:p w:rsidR="00F15327" w:rsidRPr="00890C68" w:rsidRDefault="00AE472C" w:rsidP="004A145E">
      <w:pPr>
        <w:spacing w:after="120" w:line="240" w:lineRule="auto"/>
        <w:ind w:left="357"/>
        <w:jc w:val="both"/>
        <w:rPr>
          <w:rFonts w:ascii="Times New Roman" w:hAnsi="Times New Roman"/>
          <w:color w:val="000000"/>
          <w:sz w:val="20"/>
          <w:szCs w:val="20"/>
        </w:rPr>
      </w:pPr>
      <w:r w:rsidRPr="00890C68">
        <w:rPr>
          <w:rFonts w:ascii="Times New Roman" w:hAnsi="Times New Roman"/>
          <w:color w:val="000000"/>
          <w:sz w:val="20"/>
          <w:szCs w:val="20"/>
        </w:rPr>
        <w:t>Skutki proszę skalkulować dla roku wejścia w życie regulacji (0), a następnie w 1, 2, 3,</w:t>
      </w:r>
      <w:r w:rsidR="00441787" w:rsidRPr="00890C68">
        <w:rPr>
          <w:rFonts w:ascii="Times New Roman" w:hAnsi="Times New Roman"/>
          <w:color w:val="000000"/>
          <w:sz w:val="20"/>
          <w:szCs w:val="20"/>
        </w:rPr>
        <w:t xml:space="preserve"> 5 i 10 roku jej obowiązywania.</w:t>
      </w:r>
      <w:r w:rsidR="00441787" w:rsidRPr="00890C68">
        <w:rPr>
          <w:rFonts w:ascii="Times New Roman" w:hAnsi="Times New Roman"/>
          <w:color w:val="000000"/>
          <w:sz w:val="20"/>
          <w:szCs w:val="20"/>
        </w:rPr>
        <w:br/>
      </w:r>
      <w:r w:rsidRPr="00890C68">
        <w:rPr>
          <w:rFonts w:ascii="Times New Roman" w:hAnsi="Times New Roman"/>
          <w:color w:val="000000"/>
          <w:sz w:val="20"/>
          <w:szCs w:val="20"/>
        </w:rPr>
        <w:t xml:space="preserve">W kolumnie </w:t>
      </w:r>
      <w:r w:rsidRPr="00890C68">
        <w:rPr>
          <w:rFonts w:ascii="Times New Roman" w:hAnsi="Times New Roman"/>
          <w:i/>
          <w:color w:val="000000"/>
          <w:sz w:val="20"/>
          <w:szCs w:val="20"/>
        </w:rPr>
        <w:t>Łącznie</w:t>
      </w:r>
      <w:r w:rsidRPr="00890C68">
        <w:rPr>
          <w:rFonts w:ascii="Times New Roman" w:hAnsi="Times New Roman"/>
          <w:color w:val="000000"/>
          <w:sz w:val="20"/>
          <w:szCs w:val="20"/>
        </w:rPr>
        <w:t xml:space="preserve"> proszę wpisać skumulowane skutki za okres 10 lat obowiązywania regulacji</w:t>
      </w:r>
      <w:r w:rsidR="00F15327" w:rsidRPr="00890C68">
        <w:rPr>
          <w:rFonts w:ascii="Times New Roman" w:hAnsi="Times New Roman"/>
          <w:color w:val="000000"/>
          <w:sz w:val="20"/>
          <w:szCs w:val="20"/>
        </w:rPr>
        <w:t xml:space="preserve">. </w:t>
      </w:r>
    </w:p>
    <w:p w:rsidR="00F15327" w:rsidRPr="00890C68" w:rsidRDefault="00F15327" w:rsidP="004A145E">
      <w:pPr>
        <w:spacing w:after="120" w:line="240" w:lineRule="auto"/>
        <w:ind w:left="357"/>
        <w:jc w:val="both"/>
        <w:rPr>
          <w:rFonts w:ascii="Times New Roman" w:hAnsi="Times New Roman"/>
          <w:color w:val="000000"/>
          <w:sz w:val="20"/>
          <w:szCs w:val="20"/>
        </w:rPr>
      </w:pPr>
      <w:r w:rsidRPr="00890C68">
        <w:rPr>
          <w:rFonts w:ascii="Times New Roman" w:hAnsi="Times New Roman"/>
          <w:color w:val="000000"/>
          <w:sz w:val="20"/>
          <w:szCs w:val="20"/>
        </w:rPr>
        <w:t xml:space="preserve">W przypadku gdy analiza wpływu obejmuje dłuższy niż 10-letni horyzont (np. zmiany w systemie emerytalnym), możliwe jest dostosowanie kolumn tabeli do horyzontu projektu. </w:t>
      </w:r>
    </w:p>
    <w:p w:rsidR="0069486B" w:rsidRPr="00890C68" w:rsidRDefault="0069486B" w:rsidP="004A145E">
      <w:pPr>
        <w:spacing w:after="120" w:line="240" w:lineRule="auto"/>
        <w:ind w:left="357"/>
        <w:jc w:val="both"/>
        <w:rPr>
          <w:rFonts w:ascii="Times New Roman" w:hAnsi="Times New Roman"/>
          <w:sz w:val="20"/>
          <w:szCs w:val="20"/>
        </w:rPr>
      </w:pPr>
      <w:r w:rsidRPr="00890C68">
        <w:rPr>
          <w:rFonts w:ascii="Times New Roman" w:hAnsi="Times New Roman"/>
          <w:sz w:val="20"/>
          <w:szCs w:val="20"/>
        </w:rPr>
        <w:t xml:space="preserve">Jeżeli </w:t>
      </w:r>
      <w:r w:rsidRPr="00890C68">
        <w:rPr>
          <w:rFonts w:ascii="Times New Roman" w:hAnsi="Times New Roman"/>
          <w:color w:val="000000"/>
          <w:sz w:val="20"/>
          <w:szCs w:val="20"/>
        </w:rPr>
        <w:t>projekt</w:t>
      </w:r>
      <w:r w:rsidRPr="00890C68">
        <w:rPr>
          <w:rFonts w:ascii="Times New Roman" w:hAnsi="Times New Roman"/>
          <w:sz w:val="20"/>
          <w:szCs w:val="20"/>
        </w:rPr>
        <w:t xml:space="preserve"> ma charakter przekrojowy i dotyczy wielu zagadnień (np. ustawa deregulująca zawody, ustawa o ułatwieniu wykonywania działalności gospodarczej) proszę dokonać analizy wpływu dla najważniejszych zmian</w:t>
      </w:r>
      <w:r w:rsidR="002172F1" w:rsidRPr="00890C68">
        <w:rPr>
          <w:rFonts w:ascii="Times New Roman" w:hAnsi="Times New Roman"/>
          <w:sz w:val="20"/>
          <w:szCs w:val="20"/>
        </w:rPr>
        <w:t>.</w:t>
      </w:r>
    </w:p>
    <w:p w:rsidR="00D64C0F" w:rsidRPr="00890C68" w:rsidRDefault="00D64C0F" w:rsidP="004A145E">
      <w:pPr>
        <w:spacing w:after="120" w:line="240" w:lineRule="auto"/>
        <w:ind w:left="357"/>
        <w:jc w:val="both"/>
        <w:rPr>
          <w:rFonts w:ascii="Times New Roman" w:hAnsi="Times New Roman"/>
          <w:sz w:val="20"/>
          <w:szCs w:val="20"/>
        </w:rPr>
      </w:pPr>
      <w:r w:rsidRPr="00890C68">
        <w:rPr>
          <w:rFonts w:ascii="Times New Roman" w:hAnsi="Times New Roman"/>
          <w:sz w:val="20"/>
          <w:szCs w:val="20"/>
        </w:rPr>
        <w:t xml:space="preserve">Proszę dostosować </w:t>
      </w:r>
      <w:r w:rsidRPr="00890C68">
        <w:rPr>
          <w:rFonts w:ascii="Times New Roman" w:hAnsi="Times New Roman"/>
          <w:color w:val="000000"/>
          <w:sz w:val="20"/>
          <w:szCs w:val="20"/>
        </w:rPr>
        <w:t>ilość</w:t>
      </w:r>
      <w:r w:rsidRPr="00890C68">
        <w:rPr>
          <w:rFonts w:ascii="Times New Roman" w:hAnsi="Times New Roman"/>
          <w:sz w:val="20"/>
          <w:szCs w:val="20"/>
        </w:rPr>
        <w:t xml:space="preserve"> wierszy w tabeli, zgodnie z potrzebami projektu. Puste wiersze proszę usunąć.</w:t>
      </w:r>
    </w:p>
    <w:p w:rsidR="00522D94" w:rsidRPr="00890C68" w:rsidRDefault="00522D94" w:rsidP="00522D94">
      <w:pPr>
        <w:numPr>
          <w:ilvl w:val="0"/>
          <w:numId w:val="8"/>
        </w:numPr>
        <w:spacing w:after="120" w:line="240" w:lineRule="auto"/>
        <w:jc w:val="both"/>
        <w:rPr>
          <w:rFonts w:ascii="Times New Roman" w:hAnsi="Times New Roman"/>
          <w:b/>
          <w:sz w:val="20"/>
          <w:szCs w:val="20"/>
        </w:rPr>
      </w:pPr>
      <w:r w:rsidRPr="00890C68">
        <w:rPr>
          <w:rFonts w:ascii="Times New Roman" w:hAnsi="Times New Roman"/>
          <w:b/>
          <w:color w:val="000000"/>
          <w:sz w:val="20"/>
          <w:szCs w:val="20"/>
        </w:rPr>
        <w:lastRenderedPageBreak/>
        <w:t>Zmiana obciążeń regulacyjnych (w tym obowiązków informacyjnych) wynikających z projektu</w:t>
      </w:r>
    </w:p>
    <w:p w:rsidR="004244A8" w:rsidRPr="00890C68" w:rsidRDefault="004244A8" w:rsidP="004244A8">
      <w:pPr>
        <w:spacing w:after="120"/>
        <w:ind w:left="357"/>
        <w:jc w:val="both"/>
        <w:rPr>
          <w:rFonts w:ascii="Times New Roman" w:eastAsia="Batang" w:hAnsi="Times New Roman"/>
          <w:sz w:val="20"/>
          <w:szCs w:val="20"/>
          <w:lang w:eastAsia="ko-KR"/>
        </w:rPr>
      </w:pPr>
      <w:r w:rsidRPr="00890C68">
        <w:rPr>
          <w:rFonts w:ascii="Times New Roman" w:hAnsi="Times New Roman"/>
          <w:color w:val="000000"/>
          <w:sz w:val="20"/>
          <w:szCs w:val="20"/>
        </w:rPr>
        <w:t>Obciążenia regulacyjne należy rozumieć jako wszystkie czynności, które muszą wykona</w:t>
      </w:r>
      <w:r w:rsidR="00441787" w:rsidRPr="00890C68">
        <w:rPr>
          <w:rFonts w:ascii="Times New Roman" w:hAnsi="Times New Roman"/>
          <w:color w:val="000000"/>
          <w:sz w:val="20"/>
          <w:szCs w:val="20"/>
        </w:rPr>
        <w:t>ć podmioty (adresaci regulacji)</w:t>
      </w:r>
      <w:r w:rsidR="00441787" w:rsidRPr="00890C68">
        <w:rPr>
          <w:rFonts w:ascii="Times New Roman" w:hAnsi="Times New Roman"/>
          <w:color w:val="000000"/>
          <w:sz w:val="20"/>
          <w:szCs w:val="20"/>
        </w:rPr>
        <w:br/>
      </w:r>
      <w:r w:rsidRPr="00890C68">
        <w:rPr>
          <w:rFonts w:ascii="Times New Roman" w:eastAsia="Batang" w:hAnsi="Times New Roman"/>
          <w:sz w:val="20"/>
          <w:szCs w:val="20"/>
          <w:lang w:eastAsia="ko-KR"/>
        </w:rPr>
        <w:t xml:space="preserve">w związku wykonywaniem projektowanych przepisów. </w:t>
      </w:r>
    </w:p>
    <w:p w:rsidR="004244A8" w:rsidRPr="00890C68" w:rsidRDefault="004244A8" w:rsidP="004244A8">
      <w:pPr>
        <w:spacing w:after="120"/>
        <w:ind w:left="357"/>
        <w:jc w:val="both"/>
        <w:rPr>
          <w:rFonts w:ascii="Times New Roman" w:hAnsi="Times New Roman"/>
          <w:sz w:val="20"/>
          <w:szCs w:val="20"/>
        </w:rPr>
      </w:pPr>
      <w:r w:rsidRPr="00890C68">
        <w:rPr>
          <w:rFonts w:ascii="Times New Roman" w:eastAsia="Batang" w:hAnsi="Times New Roman"/>
          <w:sz w:val="20"/>
          <w:szCs w:val="20"/>
          <w:lang w:eastAsia="ko-KR"/>
        </w:rPr>
        <w:t xml:space="preserve">Przykładem takich obciążeń są m.in. obowiązki informacyjne (OI). </w:t>
      </w:r>
      <w:r w:rsidRPr="00890C68">
        <w:rPr>
          <w:rFonts w:ascii="Times New Roman" w:hAnsi="Times New Roman"/>
          <w:sz w:val="20"/>
          <w:szCs w:val="20"/>
        </w:rPr>
        <w:t>OI polega na dostarczaniu lub przechowywaniu przez podmioty zobowiązane danych informacji. Identyfikowanie OI dokonywane jest w oparciu o przepi</w:t>
      </w:r>
      <w:r w:rsidR="00B7770F" w:rsidRPr="00890C68">
        <w:rPr>
          <w:rFonts w:ascii="Times New Roman" w:hAnsi="Times New Roman"/>
          <w:sz w:val="20"/>
          <w:szCs w:val="20"/>
        </w:rPr>
        <w:t>sy</w:t>
      </w:r>
      <w:r w:rsidRPr="00890C68">
        <w:rPr>
          <w:rFonts w:ascii="Times New Roman" w:hAnsi="Times New Roman"/>
          <w:sz w:val="20"/>
          <w:szCs w:val="20"/>
        </w:rPr>
        <w:t xml:space="preserve"> ustawy. Dany przepis nakłada OI, jeżeli podmiot realizujący obowiązek musi wykonać szereg czynności administracyjnych. Przepis można </w:t>
      </w:r>
      <w:r w:rsidR="00C33027" w:rsidRPr="00890C68">
        <w:rPr>
          <w:rFonts w:ascii="Times New Roman" w:hAnsi="Times New Roman"/>
          <w:sz w:val="20"/>
          <w:szCs w:val="20"/>
        </w:rPr>
        <w:t>uznać</w:t>
      </w:r>
      <w:r w:rsidRPr="00890C68">
        <w:rPr>
          <w:rFonts w:ascii="Times New Roman" w:hAnsi="Times New Roman"/>
          <w:sz w:val="20"/>
          <w:szCs w:val="20"/>
        </w:rPr>
        <w:t xml:space="preserve"> za OI w przypadku gdy jego wykonanie będzie związane z wykonaniem jednej lub więcej czynności składowych z listy poniżej:</w:t>
      </w:r>
    </w:p>
    <w:p w:rsidR="004244A8" w:rsidRPr="00890C68" w:rsidRDefault="004244A8" w:rsidP="004C36D8">
      <w:pPr>
        <w:numPr>
          <w:ilvl w:val="0"/>
          <w:numId w:val="11"/>
        </w:numPr>
        <w:tabs>
          <w:tab w:val="num" w:pos="2118"/>
        </w:tabs>
        <w:spacing w:line="240" w:lineRule="auto"/>
        <w:jc w:val="both"/>
        <w:rPr>
          <w:rFonts w:ascii="Times New Roman" w:hAnsi="Times New Roman"/>
          <w:sz w:val="20"/>
          <w:szCs w:val="20"/>
        </w:rPr>
      </w:pPr>
      <w:r w:rsidRPr="00890C68">
        <w:rPr>
          <w:rFonts w:ascii="Times New Roman" w:hAnsi="Times New Roman"/>
          <w:sz w:val="20"/>
          <w:szCs w:val="20"/>
        </w:rPr>
        <w:t>przyswajanie wiedzy dotyczącej wykonywania konkretnego obowiązku informacyjnego (w tym bieżące śledzenie zmian w przepisach),</w:t>
      </w:r>
    </w:p>
    <w:p w:rsidR="004244A8" w:rsidRPr="00890C68" w:rsidRDefault="004244A8" w:rsidP="004C36D8">
      <w:pPr>
        <w:numPr>
          <w:ilvl w:val="0"/>
          <w:numId w:val="11"/>
        </w:numPr>
        <w:tabs>
          <w:tab w:val="num" w:pos="2118"/>
        </w:tabs>
        <w:spacing w:line="240" w:lineRule="auto"/>
        <w:jc w:val="both"/>
        <w:rPr>
          <w:rFonts w:ascii="Times New Roman" w:hAnsi="Times New Roman"/>
          <w:sz w:val="20"/>
          <w:szCs w:val="20"/>
        </w:rPr>
      </w:pPr>
      <w:r w:rsidRPr="00890C68">
        <w:rPr>
          <w:rFonts w:ascii="Times New Roman" w:hAnsi="Times New Roman"/>
          <w:sz w:val="20"/>
          <w:szCs w:val="20"/>
        </w:rPr>
        <w:t>szkolenie pracowników w zakresie wykonywania OI,</w:t>
      </w:r>
    </w:p>
    <w:p w:rsidR="004244A8" w:rsidRPr="00890C68" w:rsidRDefault="004244A8" w:rsidP="004C36D8">
      <w:pPr>
        <w:numPr>
          <w:ilvl w:val="0"/>
          <w:numId w:val="11"/>
        </w:numPr>
        <w:tabs>
          <w:tab w:val="num" w:pos="2118"/>
        </w:tabs>
        <w:spacing w:line="240" w:lineRule="auto"/>
        <w:jc w:val="both"/>
        <w:rPr>
          <w:rFonts w:ascii="Times New Roman" w:hAnsi="Times New Roman"/>
          <w:sz w:val="20"/>
          <w:szCs w:val="20"/>
        </w:rPr>
      </w:pPr>
      <w:r w:rsidRPr="00890C68">
        <w:rPr>
          <w:rFonts w:ascii="Times New Roman" w:hAnsi="Times New Roman"/>
          <w:sz w:val="20"/>
          <w:szCs w:val="20"/>
        </w:rPr>
        <w:t>pozyskiwanie odpowiednich informacji z posiadanych danych,</w:t>
      </w:r>
    </w:p>
    <w:p w:rsidR="004244A8" w:rsidRPr="00890C68" w:rsidRDefault="004244A8" w:rsidP="004C36D8">
      <w:pPr>
        <w:numPr>
          <w:ilvl w:val="0"/>
          <w:numId w:val="11"/>
        </w:numPr>
        <w:tabs>
          <w:tab w:val="num" w:pos="2118"/>
        </w:tabs>
        <w:spacing w:line="240" w:lineRule="auto"/>
        <w:jc w:val="both"/>
        <w:rPr>
          <w:rFonts w:ascii="Times New Roman" w:hAnsi="Times New Roman"/>
          <w:sz w:val="20"/>
          <w:szCs w:val="20"/>
        </w:rPr>
      </w:pPr>
      <w:r w:rsidRPr="00890C68">
        <w:rPr>
          <w:rFonts w:ascii="Times New Roman" w:hAnsi="Times New Roman"/>
          <w:sz w:val="20"/>
          <w:szCs w:val="20"/>
        </w:rPr>
        <w:t>przetwarzanie posiadanych danych w celu wykonania OI,</w:t>
      </w:r>
    </w:p>
    <w:p w:rsidR="004244A8" w:rsidRPr="00890C68" w:rsidRDefault="004244A8" w:rsidP="004C36D8">
      <w:pPr>
        <w:numPr>
          <w:ilvl w:val="0"/>
          <w:numId w:val="11"/>
        </w:numPr>
        <w:tabs>
          <w:tab w:val="num" w:pos="2118"/>
        </w:tabs>
        <w:spacing w:line="240" w:lineRule="auto"/>
        <w:jc w:val="both"/>
        <w:rPr>
          <w:rFonts w:ascii="Times New Roman" w:hAnsi="Times New Roman"/>
          <w:sz w:val="20"/>
          <w:szCs w:val="20"/>
        </w:rPr>
      </w:pPr>
      <w:r w:rsidRPr="00890C68">
        <w:rPr>
          <w:rFonts w:ascii="Times New Roman" w:hAnsi="Times New Roman"/>
          <w:sz w:val="20"/>
          <w:szCs w:val="20"/>
        </w:rPr>
        <w:t>generowanie nowych danych,</w:t>
      </w:r>
    </w:p>
    <w:p w:rsidR="004244A8" w:rsidRPr="00890C68" w:rsidRDefault="004244A8" w:rsidP="004C36D8">
      <w:pPr>
        <w:numPr>
          <w:ilvl w:val="0"/>
          <w:numId w:val="11"/>
        </w:numPr>
        <w:tabs>
          <w:tab w:val="num" w:pos="2118"/>
        </w:tabs>
        <w:spacing w:line="240" w:lineRule="auto"/>
        <w:jc w:val="both"/>
        <w:rPr>
          <w:rFonts w:ascii="Times New Roman" w:hAnsi="Times New Roman"/>
          <w:sz w:val="20"/>
          <w:szCs w:val="20"/>
        </w:rPr>
      </w:pPr>
      <w:r w:rsidRPr="00890C68">
        <w:rPr>
          <w:rFonts w:ascii="Times New Roman" w:hAnsi="Times New Roman"/>
          <w:sz w:val="20"/>
          <w:szCs w:val="20"/>
        </w:rPr>
        <w:t>projektowanie materiałów informacyjnych,</w:t>
      </w:r>
    </w:p>
    <w:p w:rsidR="004244A8" w:rsidRPr="00890C68" w:rsidRDefault="004244A8" w:rsidP="004C36D8">
      <w:pPr>
        <w:numPr>
          <w:ilvl w:val="0"/>
          <w:numId w:val="11"/>
        </w:numPr>
        <w:tabs>
          <w:tab w:val="num" w:pos="2118"/>
        </w:tabs>
        <w:spacing w:line="240" w:lineRule="auto"/>
        <w:jc w:val="both"/>
        <w:rPr>
          <w:rFonts w:ascii="Times New Roman" w:hAnsi="Times New Roman"/>
          <w:sz w:val="20"/>
          <w:szCs w:val="20"/>
        </w:rPr>
      </w:pPr>
      <w:r w:rsidRPr="00890C68">
        <w:rPr>
          <w:rFonts w:ascii="Times New Roman" w:hAnsi="Times New Roman"/>
          <w:sz w:val="20"/>
          <w:szCs w:val="20"/>
        </w:rPr>
        <w:t>wypełnianie kwestionariuszy,</w:t>
      </w:r>
    </w:p>
    <w:p w:rsidR="004244A8" w:rsidRPr="00890C68" w:rsidRDefault="004244A8" w:rsidP="004C36D8">
      <w:pPr>
        <w:numPr>
          <w:ilvl w:val="0"/>
          <w:numId w:val="11"/>
        </w:numPr>
        <w:tabs>
          <w:tab w:val="num" w:pos="2118"/>
        </w:tabs>
        <w:spacing w:line="240" w:lineRule="auto"/>
        <w:jc w:val="both"/>
        <w:rPr>
          <w:rFonts w:ascii="Times New Roman" w:hAnsi="Times New Roman"/>
          <w:sz w:val="20"/>
          <w:szCs w:val="20"/>
        </w:rPr>
      </w:pPr>
      <w:r w:rsidRPr="00890C68">
        <w:rPr>
          <w:rFonts w:ascii="Times New Roman" w:hAnsi="Times New Roman"/>
          <w:sz w:val="20"/>
          <w:szCs w:val="20"/>
        </w:rPr>
        <w:t>odbywanie spotkań,</w:t>
      </w:r>
    </w:p>
    <w:p w:rsidR="004244A8" w:rsidRPr="00890C68" w:rsidRDefault="004244A8" w:rsidP="004C36D8">
      <w:pPr>
        <w:numPr>
          <w:ilvl w:val="0"/>
          <w:numId w:val="11"/>
        </w:numPr>
        <w:tabs>
          <w:tab w:val="num" w:pos="2118"/>
        </w:tabs>
        <w:spacing w:line="240" w:lineRule="auto"/>
        <w:jc w:val="both"/>
        <w:rPr>
          <w:rFonts w:ascii="Times New Roman" w:hAnsi="Times New Roman"/>
          <w:sz w:val="20"/>
          <w:szCs w:val="20"/>
        </w:rPr>
      </w:pPr>
      <w:r w:rsidRPr="00890C68">
        <w:rPr>
          <w:rFonts w:ascii="Times New Roman" w:hAnsi="Times New Roman"/>
          <w:sz w:val="20"/>
          <w:szCs w:val="20"/>
        </w:rPr>
        <w:t>kontrola i sprawdzanie poprawności,</w:t>
      </w:r>
    </w:p>
    <w:p w:rsidR="004244A8" w:rsidRPr="00890C68" w:rsidRDefault="004244A8" w:rsidP="004C36D8">
      <w:pPr>
        <w:numPr>
          <w:ilvl w:val="0"/>
          <w:numId w:val="11"/>
        </w:numPr>
        <w:tabs>
          <w:tab w:val="num" w:pos="2118"/>
        </w:tabs>
        <w:spacing w:line="240" w:lineRule="auto"/>
        <w:jc w:val="both"/>
        <w:rPr>
          <w:rFonts w:ascii="Times New Roman" w:hAnsi="Times New Roman"/>
          <w:sz w:val="20"/>
          <w:szCs w:val="20"/>
        </w:rPr>
      </w:pPr>
      <w:r w:rsidRPr="00890C68">
        <w:rPr>
          <w:rFonts w:ascii="Times New Roman" w:hAnsi="Times New Roman"/>
          <w:sz w:val="20"/>
          <w:szCs w:val="20"/>
        </w:rPr>
        <w:t>kopiowanie/sporządzanie dokumentacji,</w:t>
      </w:r>
    </w:p>
    <w:p w:rsidR="004244A8" w:rsidRPr="00890C68" w:rsidRDefault="004244A8" w:rsidP="004C36D8">
      <w:pPr>
        <w:numPr>
          <w:ilvl w:val="0"/>
          <w:numId w:val="11"/>
        </w:numPr>
        <w:tabs>
          <w:tab w:val="num" w:pos="2118"/>
        </w:tabs>
        <w:spacing w:line="240" w:lineRule="auto"/>
        <w:jc w:val="both"/>
        <w:rPr>
          <w:rFonts w:ascii="Times New Roman" w:hAnsi="Times New Roman"/>
          <w:sz w:val="20"/>
          <w:szCs w:val="20"/>
        </w:rPr>
      </w:pPr>
      <w:r w:rsidRPr="00890C68">
        <w:rPr>
          <w:rFonts w:ascii="Times New Roman" w:hAnsi="Times New Roman"/>
          <w:sz w:val="20"/>
          <w:szCs w:val="20"/>
        </w:rPr>
        <w:t>przekazywanie wymaganej informacji do adresata,</w:t>
      </w:r>
    </w:p>
    <w:p w:rsidR="004244A8" w:rsidRPr="00890C68" w:rsidRDefault="00C33027" w:rsidP="0057189C">
      <w:pPr>
        <w:numPr>
          <w:ilvl w:val="0"/>
          <w:numId w:val="11"/>
        </w:numPr>
        <w:tabs>
          <w:tab w:val="num" w:pos="2118"/>
        </w:tabs>
        <w:spacing w:after="120" w:line="240" w:lineRule="auto"/>
        <w:ind w:left="1043" w:hanging="357"/>
        <w:jc w:val="both"/>
        <w:rPr>
          <w:rFonts w:ascii="Times New Roman" w:hAnsi="Times New Roman"/>
          <w:sz w:val="20"/>
          <w:szCs w:val="20"/>
        </w:rPr>
      </w:pPr>
      <w:r w:rsidRPr="00890C68">
        <w:rPr>
          <w:rFonts w:ascii="Times New Roman" w:hAnsi="Times New Roman"/>
          <w:sz w:val="20"/>
          <w:szCs w:val="20"/>
        </w:rPr>
        <w:t>archiwizacja informacji</w:t>
      </w:r>
      <w:r w:rsidR="004244A8" w:rsidRPr="00890C68">
        <w:rPr>
          <w:rFonts w:ascii="Times New Roman" w:hAnsi="Times New Roman"/>
          <w:sz w:val="20"/>
          <w:szCs w:val="20"/>
        </w:rPr>
        <w:t>.</w:t>
      </w:r>
    </w:p>
    <w:p w:rsidR="00C50B42" w:rsidRPr="00890C68" w:rsidRDefault="00C50B42" w:rsidP="00C50B42">
      <w:pPr>
        <w:spacing w:after="120" w:line="240" w:lineRule="auto"/>
        <w:ind w:left="360"/>
        <w:jc w:val="both"/>
        <w:rPr>
          <w:rFonts w:ascii="Times New Roman" w:hAnsi="Times New Roman"/>
          <w:color w:val="000000"/>
          <w:sz w:val="20"/>
          <w:szCs w:val="20"/>
        </w:rPr>
      </w:pPr>
      <w:r w:rsidRPr="00890C68">
        <w:rPr>
          <w:rFonts w:ascii="Times New Roman" w:hAnsi="Times New Roman"/>
          <w:color w:val="000000"/>
          <w:sz w:val="20"/>
          <w:szCs w:val="20"/>
        </w:rPr>
        <w:t>Proszę:</w:t>
      </w:r>
    </w:p>
    <w:p w:rsidR="00C50B42" w:rsidRPr="00890C68" w:rsidRDefault="00C50B42" w:rsidP="0066091B">
      <w:pPr>
        <w:numPr>
          <w:ilvl w:val="0"/>
          <w:numId w:val="18"/>
        </w:numPr>
        <w:spacing w:after="120" w:line="240" w:lineRule="auto"/>
        <w:jc w:val="both"/>
        <w:rPr>
          <w:rFonts w:ascii="Times New Roman" w:hAnsi="Times New Roman"/>
          <w:color w:val="000000"/>
          <w:sz w:val="20"/>
          <w:szCs w:val="20"/>
        </w:rPr>
      </w:pPr>
      <w:r w:rsidRPr="00890C68">
        <w:rPr>
          <w:rFonts w:ascii="Times New Roman" w:hAnsi="Times New Roman"/>
          <w:color w:val="000000"/>
          <w:sz w:val="20"/>
          <w:szCs w:val="20"/>
        </w:rPr>
        <w:t>w przypadku gdy projekt nie dotyczy zmiany obciążeń regulacyjnych</w:t>
      </w:r>
      <w:r w:rsidR="00BB0DCA" w:rsidRPr="00890C68">
        <w:rPr>
          <w:rFonts w:ascii="Times New Roman" w:hAnsi="Times New Roman"/>
          <w:color w:val="000000"/>
          <w:sz w:val="20"/>
          <w:szCs w:val="20"/>
        </w:rPr>
        <w:t>,</w:t>
      </w:r>
      <w:r w:rsidRPr="00890C68">
        <w:rPr>
          <w:rFonts w:ascii="Times New Roman" w:hAnsi="Times New Roman"/>
          <w:color w:val="000000"/>
          <w:sz w:val="20"/>
          <w:szCs w:val="20"/>
        </w:rPr>
        <w:t xml:space="preserve"> zaznaczyć pole „nie dotyczy”,</w:t>
      </w:r>
    </w:p>
    <w:p w:rsidR="00C50B42" w:rsidRPr="00890C68" w:rsidRDefault="00C50B42" w:rsidP="0066091B">
      <w:pPr>
        <w:numPr>
          <w:ilvl w:val="0"/>
          <w:numId w:val="18"/>
        </w:numPr>
        <w:spacing w:after="120" w:line="240" w:lineRule="auto"/>
        <w:jc w:val="both"/>
        <w:rPr>
          <w:rFonts w:ascii="Times New Roman" w:hAnsi="Times New Roman"/>
          <w:color w:val="000000"/>
          <w:sz w:val="20"/>
          <w:szCs w:val="20"/>
        </w:rPr>
      </w:pPr>
      <w:r w:rsidRPr="00890C68">
        <w:rPr>
          <w:rFonts w:ascii="Times New Roman" w:hAnsi="Times New Roman"/>
          <w:color w:val="000000"/>
          <w:sz w:val="20"/>
          <w:szCs w:val="20"/>
        </w:rPr>
        <w:t>w przypadku zmian w projekcie wpływających na obciążenia regulacyjne odpowiednio zaznaczyć ich zwiększenie lub zmniejszenie,</w:t>
      </w:r>
    </w:p>
    <w:p w:rsidR="00C50B42" w:rsidRPr="00890C68" w:rsidRDefault="00C50B42" w:rsidP="0066091B">
      <w:pPr>
        <w:numPr>
          <w:ilvl w:val="0"/>
          <w:numId w:val="18"/>
        </w:numPr>
        <w:spacing w:after="120" w:line="240" w:lineRule="auto"/>
        <w:jc w:val="both"/>
        <w:rPr>
          <w:rFonts w:ascii="Times New Roman" w:hAnsi="Times New Roman"/>
          <w:color w:val="000000"/>
          <w:sz w:val="20"/>
          <w:szCs w:val="20"/>
        </w:rPr>
      </w:pPr>
      <w:r w:rsidRPr="00890C68">
        <w:rPr>
          <w:rFonts w:ascii="Times New Roman" w:hAnsi="Times New Roman"/>
          <w:color w:val="000000"/>
          <w:sz w:val="20"/>
          <w:szCs w:val="20"/>
        </w:rPr>
        <w:t>wskazać, czy wprowadzane są obciążenia poza bezwzględnie wymaganymi</w:t>
      </w:r>
      <w:r w:rsidR="00FC49EF" w:rsidRPr="00890C68">
        <w:rPr>
          <w:rFonts w:ascii="Times New Roman" w:hAnsi="Times New Roman"/>
          <w:color w:val="000000"/>
          <w:sz w:val="20"/>
          <w:szCs w:val="20"/>
        </w:rPr>
        <w:t xml:space="preserve"> przez UE</w:t>
      </w:r>
      <w:r w:rsidRPr="00890C68">
        <w:rPr>
          <w:rFonts w:ascii="Times New Roman" w:hAnsi="Times New Roman"/>
          <w:color w:val="000000"/>
          <w:sz w:val="20"/>
          <w:szCs w:val="20"/>
        </w:rPr>
        <w:t>,</w:t>
      </w:r>
    </w:p>
    <w:p w:rsidR="002172F1" w:rsidRPr="00890C68" w:rsidRDefault="002172F1" w:rsidP="0066091B">
      <w:pPr>
        <w:numPr>
          <w:ilvl w:val="0"/>
          <w:numId w:val="18"/>
        </w:numPr>
        <w:spacing w:after="120" w:line="240" w:lineRule="auto"/>
        <w:jc w:val="both"/>
        <w:rPr>
          <w:rFonts w:ascii="Times New Roman" w:hAnsi="Times New Roman"/>
          <w:color w:val="000000"/>
          <w:sz w:val="20"/>
          <w:szCs w:val="20"/>
        </w:rPr>
      </w:pPr>
      <w:r w:rsidRPr="00890C68">
        <w:rPr>
          <w:rFonts w:ascii="Times New Roman" w:hAnsi="Times New Roman"/>
          <w:color w:val="000000"/>
          <w:sz w:val="20"/>
          <w:szCs w:val="20"/>
        </w:rPr>
        <w:t xml:space="preserve">wskazać, czy dane obciążenia są przystosowane do ich ewentualnej elektronizacji </w:t>
      </w:r>
      <w:r w:rsidR="00D218DC" w:rsidRPr="00890C68">
        <w:rPr>
          <w:rFonts w:ascii="Times New Roman" w:hAnsi="Times New Roman"/>
          <w:color w:val="000000"/>
          <w:sz w:val="20"/>
          <w:szCs w:val="20"/>
        </w:rPr>
        <w:t xml:space="preserve">(dotyczy sytuacji kiedy wprowadzane </w:t>
      </w:r>
      <w:r w:rsidR="00C33027" w:rsidRPr="00890C68">
        <w:rPr>
          <w:rFonts w:ascii="Times New Roman" w:hAnsi="Times New Roman"/>
          <w:color w:val="000000"/>
          <w:sz w:val="20"/>
          <w:szCs w:val="20"/>
        </w:rPr>
        <w:t>obciążenia wpływają</w:t>
      </w:r>
      <w:r w:rsidR="00D218DC" w:rsidRPr="00890C68">
        <w:rPr>
          <w:rFonts w:ascii="Times New Roman" w:hAnsi="Times New Roman"/>
          <w:color w:val="000000"/>
          <w:sz w:val="20"/>
          <w:szCs w:val="20"/>
        </w:rPr>
        <w:t xml:space="preserve"> na systemy teleinformatyczne podmiotów publicznych lub na podmioty prywatne – przedsiębior</w:t>
      </w:r>
      <w:r w:rsidR="002B3D1A" w:rsidRPr="00890C68">
        <w:rPr>
          <w:rFonts w:ascii="Times New Roman" w:hAnsi="Times New Roman"/>
          <w:color w:val="000000"/>
          <w:sz w:val="20"/>
          <w:szCs w:val="20"/>
        </w:rPr>
        <w:t>cy</w:t>
      </w:r>
      <w:r w:rsidR="00D218DC" w:rsidRPr="00890C68">
        <w:rPr>
          <w:rFonts w:ascii="Times New Roman" w:hAnsi="Times New Roman"/>
          <w:color w:val="000000"/>
          <w:sz w:val="20"/>
          <w:szCs w:val="20"/>
        </w:rPr>
        <w:t xml:space="preserve">, </w:t>
      </w:r>
      <w:r w:rsidR="002B3D1A" w:rsidRPr="00890C68">
        <w:rPr>
          <w:rFonts w:ascii="Times New Roman" w:hAnsi="Times New Roman"/>
          <w:color w:val="000000"/>
          <w:sz w:val="20"/>
          <w:szCs w:val="20"/>
        </w:rPr>
        <w:t>obywatele</w:t>
      </w:r>
      <w:r w:rsidR="00D218DC" w:rsidRPr="00890C68">
        <w:rPr>
          <w:rFonts w:ascii="Times New Roman" w:hAnsi="Times New Roman"/>
          <w:color w:val="000000"/>
          <w:sz w:val="20"/>
          <w:szCs w:val="20"/>
        </w:rPr>
        <w:t>).</w:t>
      </w:r>
    </w:p>
    <w:p w:rsidR="004244A8" w:rsidRPr="00890C68" w:rsidRDefault="004244A8" w:rsidP="004244A8">
      <w:pPr>
        <w:spacing w:after="120" w:line="240" w:lineRule="auto"/>
        <w:ind w:left="360"/>
        <w:jc w:val="both"/>
        <w:rPr>
          <w:rFonts w:ascii="Times New Roman" w:hAnsi="Times New Roman"/>
          <w:color w:val="000000"/>
          <w:sz w:val="20"/>
          <w:szCs w:val="20"/>
        </w:rPr>
      </w:pPr>
      <w:r w:rsidRPr="00890C68">
        <w:rPr>
          <w:rFonts w:ascii="Times New Roman" w:hAnsi="Times New Roman"/>
          <w:color w:val="000000"/>
          <w:sz w:val="20"/>
          <w:szCs w:val="20"/>
        </w:rPr>
        <w:t>W komentarzu proszę o zwięzłe opisanie zakresu zmian dotyczących obciążeń regulacyjnych.</w:t>
      </w:r>
    </w:p>
    <w:p w:rsidR="00522D94" w:rsidRPr="00890C68" w:rsidRDefault="00522D94" w:rsidP="00522D94">
      <w:pPr>
        <w:numPr>
          <w:ilvl w:val="0"/>
          <w:numId w:val="8"/>
        </w:numPr>
        <w:spacing w:after="120" w:line="240" w:lineRule="auto"/>
        <w:jc w:val="both"/>
        <w:rPr>
          <w:rFonts w:ascii="Times New Roman" w:hAnsi="Times New Roman"/>
          <w:b/>
          <w:sz w:val="20"/>
          <w:szCs w:val="20"/>
        </w:rPr>
      </w:pPr>
      <w:r w:rsidRPr="00890C68">
        <w:rPr>
          <w:rFonts w:ascii="Times New Roman" w:hAnsi="Times New Roman"/>
          <w:b/>
          <w:color w:val="000000"/>
          <w:sz w:val="20"/>
          <w:szCs w:val="20"/>
        </w:rPr>
        <w:t>Wpływ na rynek pracy</w:t>
      </w:r>
    </w:p>
    <w:p w:rsidR="00D86AFF" w:rsidRPr="00890C68" w:rsidRDefault="00C50B42" w:rsidP="0057189C">
      <w:pPr>
        <w:spacing w:after="120" w:line="240" w:lineRule="auto"/>
        <w:ind w:left="357"/>
        <w:jc w:val="both"/>
        <w:rPr>
          <w:rFonts w:ascii="Times New Roman" w:hAnsi="Times New Roman"/>
          <w:color w:val="000000"/>
          <w:sz w:val="20"/>
          <w:szCs w:val="20"/>
        </w:rPr>
      </w:pPr>
      <w:r w:rsidRPr="00890C68">
        <w:rPr>
          <w:rFonts w:ascii="Times New Roman" w:hAnsi="Times New Roman"/>
          <w:color w:val="000000"/>
          <w:sz w:val="20"/>
          <w:szCs w:val="20"/>
        </w:rPr>
        <w:t xml:space="preserve">Proszę </w:t>
      </w:r>
      <w:r w:rsidR="00D86AFF" w:rsidRPr="00890C68">
        <w:rPr>
          <w:rFonts w:ascii="Times New Roman" w:hAnsi="Times New Roman"/>
          <w:color w:val="000000"/>
          <w:sz w:val="20"/>
          <w:szCs w:val="20"/>
        </w:rPr>
        <w:t>opisać</w:t>
      </w:r>
      <w:r w:rsidR="007318DD" w:rsidRPr="00890C68">
        <w:rPr>
          <w:rFonts w:ascii="Times New Roman" w:hAnsi="Times New Roman"/>
          <w:color w:val="000000"/>
          <w:sz w:val="20"/>
          <w:szCs w:val="20"/>
        </w:rPr>
        <w:t>,</w:t>
      </w:r>
      <w:r w:rsidR="00D86AFF" w:rsidRPr="00890C68">
        <w:rPr>
          <w:rFonts w:ascii="Times New Roman" w:hAnsi="Times New Roman"/>
          <w:color w:val="000000"/>
          <w:sz w:val="20"/>
          <w:szCs w:val="20"/>
        </w:rPr>
        <w:t xml:space="preserve"> czy i w jaki sposób </w:t>
      </w:r>
      <w:r w:rsidR="004244A8" w:rsidRPr="00890C68">
        <w:rPr>
          <w:rFonts w:ascii="Times New Roman" w:hAnsi="Times New Roman"/>
          <w:color w:val="000000"/>
          <w:sz w:val="20"/>
          <w:szCs w:val="20"/>
        </w:rPr>
        <w:t>projektowana regulacj</w:t>
      </w:r>
      <w:r w:rsidR="00B7770F" w:rsidRPr="00890C68">
        <w:rPr>
          <w:rFonts w:ascii="Times New Roman" w:hAnsi="Times New Roman"/>
          <w:color w:val="000000"/>
          <w:sz w:val="20"/>
          <w:szCs w:val="20"/>
        </w:rPr>
        <w:t>a</w:t>
      </w:r>
      <w:r w:rsidR="00D86AFF" w:rsidRPr="00890C68">
        <w:rPr>
          <w:rFonts w:ascii="Times New Roman" w:hAnsi="Times New Roman"/>
          <w:color w:val="000000"/>
          <w:sz w:val="20"/>
          <w:szCs w:val="20"/>
        </w:rPr>
        <w:t xml:space="preserve"> mo</w:t>
      </w:r>
      <w:r w:rsidR="004244A8" w:rsidRPr="00890C68">
        <w:rPr>
          <w:rFonts w:ascii="Times New Roman" w:hAnsi="Times New Roman"/>
          <w:color w:val="000000"/>
          <w:sz w:val="20"/>
          <w:szCs w:val="20"/>
        </w:rPr>
        <w:t>że</w:t>
      </w:r>
      <w:r w:rsidR="00D86AFF" w:rsidRPr="00890C68">
        <w:rPr>
          <w:rFonts w:ascii="Times New Roman" w:hAnsi="Times New Roman"/>
          <w:color w:val="000000"/>
          <w:sz w:val="20"/>
          <w:szCs w:val="20"/>
        </w:rPr>
        <w:t xml:space="preserve"> spowodować zmiany na rynku pracy w </w:t>
      </w:r>
      <w:r w:rsidR="00880F26" w:rsidRPr="00890C68">
        <w:rPr>
          <w:rFonts w:ascii="Times New Roman" w:hAnsi="Times New Roman"/>
          <w:color w:val="000000"/>
          <w:sz w:val="20"/>
          <w:szCs w:val="20"/>
        </w:rPr>
        <w:t xml:space="preserve">odniesieniu do </w:t>
      </w:r>
      <w:r w:rsidR="001A118A" w:rsidRPr="00890C68">
        <w:rPr>
          <w:rFonts w:ascii="Times New Roman" w:hAnsi="Times New Roman"/>
          <w:color w:val="000000"/>
          <w:sz w:val="20"/>
          <w:szCs w:val="20"/>
        </w:rPr>
        <w:t>zatrudnienia</w:t>
      </w:r>
      <w:r w:rsidR="00880F26" w:rsidRPr="00890C68">
        <w:rPr>
          <w:rFonts w:ascii="Times New Roman" w:hAnsi="Times New Roman"/>
          <w:color w:val="000000"/>
          <w:sz w:val="20"/>
          <w:szCs w:val="20"/>
        </w:rPr>
        <w:t xml:space="preserve"> oraz innych wskaźników </w:t>
      </w:r>
      <w:r w:rsidR="00D86AFF" w:rsidRPr="00890C68">
        <w:rPr>
          <w:rFonts w:ascii="Times New Roman" w:hAnsi="Times New Roman"/>
          <w:color w:val="000000"/>
          <w:sz w:val="20"/>
          <w:szCs w:val="20"/>
        </w:rPr>
        <w:t>(</w:t>
      </w:r>
      <w:r w:rsidR="00880F26" w:rsidRPr="00890C68">
        <w:rPr>
          <w:rFonts w:ascii="Times New Roman" w:hAnsi="Times New Roman"/>
          <w:color w:val="000000"/>
          <w:sz w:val="20"/>
          <w:szCs w:val="20"/>
        </w:rPr>
        <w:t xml:space="preserve">np. </w:t>
      </w:r>
      <w:r w:rsidR="00D86AFF" w:rsidRPr="00890C68">
        <w:rPr>
          <w:rFonts w:ascii="Times New Roman" w:hAnsi="Times New Roman"/>
          <w:color w:val="000000"/>
          <w:sz w:val="20"/>
          <w:szCs w:val="20"/>
        </w:rPr>
        <w:t>czas</w:t>
      </w:r>
      <w:r w:rsidR="004244A8" w:rsidRPr="00890C68">
        <w:rPr>
          <w:rFonts w:ascii="Times New Roman" w:hAnsi="Times New Roman"/>
          <w:color w:val="000000"/>
          <w:sz w:val="20"/>
          <w:szCs w:val="20"/>
        </w:rPr>
        <w:t>u</w:t>
      </w:r>
      <w:r w:rsidR="00D86AFF" w:rsidRPr="00890C68">
        <w:rPr>
          <w:rFonts w:ascii="Times New Roman" w:hAnsi="Times New Roman"/>
          <w:color w:val="000000"/>
          <w:sz w:val="20"/>
          <w:szCs w:val="20"/>
        </w:rPr>
        <w:t xml:space="preserve"> poszukiwania pracy, kwalifikacj</w:t>
      </w:r>
      <w:r w:rsidR="004244A8" w:rsidRPr="00890C68">
        <w:rPr>
          <w:rFonts w:ascii="Times New Roman" w:hAnsi="Times New Roman"/>
          <w:color w:val="000000"/>
          <w:sz w:val="20"/>
          <w:szCs w:val="20"/>
        </w:rPr>
        <w:t>i</w:t>
      </w:r>
      <w:r w:rsidR="00880F26" w:rsidRPr="00890C68">
        <w:rPr>
          <w:rFonts w:ascii="Times New Roman" w:hAnsi="Times New Roman"/>
          <w:color w:val="000000"/>
          <w:sz w:val="20"/>
          <w:szCs w:val="20"/>
        </w:rPr>
        <w:t xml:space="preserve"> pracowników</w:t>
      </w:r>
      <w:r w:rsidR="00D86AFF" w:rsidRPr="00890C68">
        <w:rPr>
          <w:rFonts w:ascii="Times New Roman" w:hAnsi="Times New Roman"/>
          <w:color w:val="000000"/>
          <w:sz w:val="20"/>
          <w:szCs w:val="20"/>
        </w:rPr>
        <w:t>).</w:t>
      </w:r>
      <w:r w:rsidR="001A118A" w:rsidRPr="00890C68">
        <w:rPr>
          <w:rFonts w:ascii="Times New Roman" w:hAnsi="Times New Roman"/>
          <w:color w:val="000000"/>
          <w:sz w:val="20"/>
          <w:szCs w:val="20"/>
        </w:rPr>
        <w:t xml:space="preserve"> </w:t>
      </w:r>
    </w:p>
    <w:p w:rsidR="00255DAD" w:rsidRPr="00890C68" w:rsidRDefault="00880F26" w:rsidP="00E2371E">
      <w:pPr>
        <w:spacing w:after="120"/>
        <w:ind w:left="360"/>
        <w:jc w:val="both"/>
        <w:rPr>
          <w:rFonts w:ascii="Times New Roman" w:hAnsi="Times New Roman"/>
          <w:sz w:val="20"/>
          <w:szCs w:val="20"/>
        </w:rPr>
      </w:pPr>
      <w:r w:rsidRPr="00890C68">
        <w:rPr>
          <w:rFonts w:ascii="Times New Roman" w:hAnsi="Times New Roman"/>
          <w:sz w:val="20"/>
          <w:szCs w:val="20"/>
        </w:rPr>
        <w:t>J</w:t>
      </w:r>
      <w:r w:rsidR="00E2371E" w:rsidRPr="00890C68">
        <w:rPr>
          <w:rFonts w:ascii="Times New Roman" w:hAnsi="Times New Roman"/>
          <w:sz w:val="20"/>
          <w:szCs w:val="20"/>
        </w:rPr>
        <w:t>eżeli projekt</w:t>
      </w:r>
      <w:r w:rsidRPr="00890C68">
        <w:rPr>
          <w:rFonts w:ascii="Times New Roman" w:hAnsi="Times New Roman"/>
          <w:sz w:val="20"/>
          <w:szCs w:val="20"/>
        </w:rPr>
        <w:t xml:space="preserve"> ma charakter przekrojowy i</w:t>
      </w:r>
      <w:r w:rsidR="00E2371E" w:rsidRPr="00890C68">
        <w:rPr>
          <w:rFonts w:ascii="Times New Roman" w:hAnsi="Times New Roman"/>
          <w:sz w:val="20"/>
          <w:szCs w:val="20"/>
        </w:rPr>
        <w:t xml:space="preserve"> dotyczy </w:t>
      </w:r>
      <w:r w:rsidRPr="00890C68">
        <w:rPr>
          <w:rFonts w:ascii="Times New Roman" w:hAnsi="Times New Roman"/>
          <w:sz w:val="20"/>
          <w:szCs w:val="20"/>
        </w:rPr>
        <w:t>wielu zagadnień</w:t>
      </w:r>
      <w:r w:rsidR="00E2371E" w:rsidRPr="00890C68">
        <w:rPr>
          <w:rFonts w:ascii="Times New Roman" w:hAnsi="Times New Roman"/>
          <w:sz w:val="20"/>
          <w:szCs w:val="20"/>
        </w:rPr>
        <w:t xml:space="preserve"> (np. ustawa deregulująca zawody, ustawa o ułatwieniu wykonywania działalności gospodarczej) proszę dokonać analizy wpływu dla najważniejszych zmian.</w:t>
      </w:r>
    </w:p>
    <w:p w:rsidR="00522D94" w:rsidRPr="00890C68" w:rsidRDefault="00522D94" w:rsidP="00522D94">
      <w:pPr>
        <w:numPr>
          <w:ilvl w:val="0"/>
          <w:numId w:val="8"/>
        </w:numPr>
        <w:spacing w:after="120" w:line="240" w:lineRule="auto"/>
        <w:jc w:val="both"/>
        <w:rPr>
          <w:rFonts w:ascii="Times New Roman" w:hAnsi="Times New Roman"/>
          <w:b/>
          <w:sz w:val="20"/>
          <w:szCs w:val="20"/>
        </w:rPr>
      </w:pPr>
      <w:r w:rsidRPr="00890C68">
        <w:rPr>
          <w:rFonts w:ascii="Times New Roman" w:hAnsi="Times New Roman"/>
          <w:b/>
          <w:color w:val="000000"/>
          <w:sz w:val="20"/>
          <w:szCs w:val="20"/>
        </w:rPr>
        <w:t>Wpływ na pozostałe obszary</w:t>
      </w:r>
    </w:p>
    <w:p w:rsidR="006316FA" w:rsidRPr="00890C68" w:rsidRDefault="00880F26" w:rsidP="0057189C">
      <w:pPr>
        <w:spacing w:after="120" w:line="240" w:lineRule="auto"/>
        <w:ind w:left="357"/>
        <w:jc w:val="both"/>
        <w:rPr>
          <w:rFonts w:ascii="Times New Roman" w:hAnsi="Times New Roman"/>
          <w:sz w:val="20"/>
          <w:szCs w:val="20"/>
        </w:rPr>
      </w:pPr>
      <w:r w:rsidRPr="00890C68">
        <w:rPr>
          <w:rFonts w:ascii="Times New Roman" w:hAnsi="Times New Roman"/>
          <w:sz w:val="20"/>
          <w:szCs w:val="20"/>
        </w:rPr>
        <w:t>Proszę zaznaczyć pola - zakres oddziaływania projektu na obszary niewymienione</w:t>
      </w:r>
      <w:r w:rsidR="008648C3" w:rsidRPr="00890C68">
        <w:rPr>
          <w:rFonts w:ascii="Times New Roman" w:hAnsi="Times New Roman"/>
          <w:sz w:val="20"/>
          <w:szCs w:val="20"/>
        </w:rPr>
        <w:t xml:space="preserve"> w pkt 6, 7 i 9. Dla </w:t>
      </w:r>
      <w:r w:rsidRPr="00890C68">
        <w:rPr>
          <w:rFonts w:ascii="Times New Roman" w:hAnsi="Times New Roman"/>
          <w:sz w:val="20"/>
          <w:szCs w:val="20"/>
        </w:rPr>
        <w:t>zaznaczonych</w:t>
      </w:r>
      <w:r w:rsidR="008648C3" w:rsidRPr="00890C68">
        <w:rPr>
          <w:rFonts w:ascii="Times New Roman" w:hAnsi="Times New Roman"/>
          <w:sz w:val="20"/>
          <w:szCs w:val="20"/>
        </w:rPr>
        <w:t xml:space="preserve"> obszarów proszę dokonać analizy wpływu. </w:t>
      </w:r>
    </w:p>
    <w:p w:rsidR="006316FA" w:rsidRPr="00890C68" w:rsidRDefault="00880F26" w:rsidP="0057189C">
      <w:pPr>
        <w:spacing w:after="120" w:line="240" w:lineRule="auto"/>
        <w:ind w:left="357"/>
        <w:jc w:val="both"/>
        <w:rPr>
          <w:rFonts w:ascii="Times New Roman" w:hAnsi="Times New Roman"/>
          <w:color w:val="000000"/>
          <w:sz w:val="20"/>
          <w:szCs w:val="20"/>
        </w:rPr>
      </w:pPr>
      <w:r w:rsidRPr="00890C68">
        <w:rPr>
          <w:rFonts w:ascii="Times New Roman" w:hAnsi="Times New Roman"/>
          <w:color w:val="000000"/>
          <w:sz w:val="20"/>
          <w:szCs w:val="20"/>
        </w:rPr>
        <w:t xml:space="preserve">W przypadku analizy </w:t>
      </w:r>
      <w:r w:rsidR="006316FA" w:rsidRPr="00890C68">
        <w:rPr>
          <w:rFonts w:ascii="Times New Roman" w:hAnsi="Times New Roman"/>
          <w:color w:val="000000"/>
          <w:sz w:val="20"/>
          <w:szCs w:val="20"/>
        </w:rPr>
        <w:t xml:space="preserve">wpływu na obszar „informatyzacja” </w:t>
      </w:r>
      <w:r w:rsidRPr="00890C68">
        <w:rPr>
          <w:rFonts w:ascii="Times New Roman" w:hAnsi="Times New Roman"/>
          <w:color w:val="000000"/>
          <w:sz w:val="20"/>
          <w:szCs w:val="20"/>
        </w:rPr>
        <w:t>proszę w szczególności rozważyć następujące kwestie:</w:t>
      </w:r>
    </w:p>
    <w:p w:rsidR="00880F26" w:rsidRPr="00890C68" w:rsidRDefault="006316FA" w:rsidP="00880F26">
      <w:pPr>
        <w:numPr>
          <w:ilvl w:val="0"/>
          <w:numId w:val="17"/>
        </w:numPr>
        <w:spacing w:line="240" w:lineRule="auto"/>
        <w:jc w:val="both"/>
        <w:rPr>
          <w:rFonts w:ascii="Times New Roman" w:hAnsi="Times New Roman"/>
          <w:sz w:val="20"/>
          <w:szCs w:val="20"/>
        </w:rPr>
      </w:pPr>
      <w:r w:rsidRPr="00890C68">
        <w:rPr>
          <w:rFonts w:ascii="Times New Roman" w:hAnsi="Times New Roman"/>
          <w:color w:val="000000"/>
          <w:sz w:val="20"/>
          <w:szCs w:val="20"/>
        </w:rPr>
        <w:t>Czy projekt spełnia wymagania interoperacyjności</w:t>
      </w:r>
      <w:r w:rsidR="00F168CF" w:rsidRPr="00890C68">
        <w:rPr>
          <w:rFonts w:ascii="Times New Roman" w:hAnsi="Times New Roman"/>
          <w:color w:val="000000"/>
          <w:sz w:val="20"/>
          <w:szCs w:val="20"/>
        </w:rPr>
        <w:t xml:space="preserve"> </w:t>
      </w:r>
      <w:r w:rsidR="00880F26" w:rsidRPr="00890C68">
        <w:rPr>
          <w:rFonts w:ascii="Times New Roman" w:hAnsi="Times New Roman"/>
          <w:color w:val="000000"/>
          <w:sz w:val="20"/>
          <w:szCs w:val="20"/>
        </w:rPr>
        <w:t>(</w:t>
      </w:r>
      <w:r w:rsidR="00F168CF" w:rsidRPr="00890C68">
        <w:rPr>
          <w:rFonts w:ascii="Times New Roman" w:hAnsi="Times New Roman"/>
          <w:color w:val="000000"/>
          <w:sz w:val="20"/>
          <w:szCs w:val="20"/>
        </w:rPr>
        <w:t>zdolność sieci do efektywnej współpracy w celu zapewnienia wzajemnego dostępu użytkowników do usług świadczonych w tych sieciach</w:t>
      </w:r>
      <w:r w:rsidR="00880F26" w:rsidRPr="00890C68">
        <w:rPr>
          <w:rFonts w:ascii="Times New Roman" w:hAnsi="Times New Roman"/>
          <w:color w:val="000000"/>
          <w:sz w:val="20"/>
          <w:szCs w:val="20"/>
        </w:rPr>
        <w:t>)</w:t>
      </w:r>
      <w:r w:rsidRPr="00890C68">
        <w:rPr>
          <w:rFonts w:ascii="Times New Roman" w:hAnsi="Times New Roman"/>
          <w:color w:val="000000"/>
          <w:sz w:val="20"/>
          <w:szCs w:val="20"/>
        </w:rPr>
        <w:t xml:space="preserve">? </w:t>
      </w:r>
    </w:p>
    <w:p w:rsidR="006316FA" w:rsidRPr="00890C68" w:rsidRDefault="006316FA" w:rsidP="0057189C">
      <w:pPr>
        <w:numPr>
          <w:ilvl w:val="0"/>
          <w:numId w:val="17"/>
        </w:numPr>
        <w:spacing w:after="120" w:line="240" w:lineRule="auto"/>
        <w:ind w:left="1077" w:hanging="357"/>
        <w:jc w:val="both"/>
        <w:rPr>
          <w:rFonts w:ascii="Times New Roman" w:hAnsi="Times New Roman"/>
          <w:sz w:val="20"/>
          <w:szCs w:val="20"/>
        </w:rPr>
      </w:pPr>
      <w:r w:rsidRPr="00890C68">
        <w:rPr>
          <w:rFonts w:ascii="Times New Roman" w:hAnsi="Times New Roman"/>
          <w:color w:val="000000"/>
          <w:sz w:val="20"/>
          <w:szCs w:val="20"/>
        </w:rPr>
        <w:t>Czy projekt spełnia wymogi</w:t>
      </w:r>
      <w:r w:rsidR="00880F26" w:rsidRPr="00890C68">
        <w:rPr>
          <w:rFonts w:ascii="Times New Roman" w:hAnsi="Times New Roman"/>
          <w:color w:val="000000"/>
          <w:sz w:val="20"/>
          <w:szCs w:val="20"/>
        </w:rPr>
        <w:t xml:space="preserve"> </w:t>
      </w:r>
      <w:r w:rsidRPr="00890C68">
        <w:rPr>
          <w:rFonts w:ascii="Times New Roman" w:hAnsi="Times New Roman"/>
          <w:color w:val="000000"/>
          <w:sz w:val="20"/>
          <w:szCs w:val="20"/>
        </w:rPr>
        <w:t>neutralności technologicznej,</w:t>
      </w:r>
      <w:r w:rsidR="00880F26" w:rsidRPr="00890C68">
        <w:rPr>
          <w:rFonts w:ascii="Times New Roman" w:hAnsi="Times New Roman"/>
          <w:color w:val="000000"/>
          <w:sz w:val="20"/>
          <w:szCs w:val="20"/>
        </w:rPr>
        <w:t xml:space="preserve"> </w:t>
      </w:r>
      <w:r w:rsidRPr="00890C68">
        <w:rPr>
          <w:rFonts w:ascii="Times New Roman" w:hAnsi="Times New Roman"/>
          <w:color w:val="000000"/>
          <w:sz w:val="20"/>
          <w:szCs w:val="20"/>
        </w:rPr>
        <w:t xml:space="preserve">wielojęzyczności, elektronicznej </w:t>
      </w:r>
      <w:r w:rsidR="00C33027" w:rsidRPr="00890C68">
        <w:rPr>
          <w:rFonts w:ascii="Times New Roman" w:hAnsi="Times New Roman"/>
          <w:color w:val="000000"/>
          <w:sz w:val="20"/>
          <w:szCs w:val="20"/>
        </w:rPr>
        <w:t>komunikacji, wykorzystania</w:t>
      </w:r>
      <w:r w:rsidRPr="00890C68">
        <w:rPr>
          <w:rFonts w:ascii="Times New Roman" w:hAnsi="Times New Roman"/>
          <w:color w:val="000000"/>
          <w:sz w:val="20"/>
          <w:szCs w:val="20"/>
        </w:rPr>
        <w:t xml:space="preserve"> danych z rejestrów publicznych, ochrony danych osobowych?</w:t>
      </w:r>
    </w:p>
    <w:p w:rsidR="008648C3" w:rsidRPr="00890C68" w:rsidRDefault="008648C3" w:rsidP="0057189C">
      <w:pPr>
        <w:spacing w:after="120" w:line="240" w:lineRule="auto"/>
        <w:ind w:left="357"/>
        <w:jc w:val="both"/>
        <w:rPr>
          <w:rFonts w:ascii="Times New Roman" w:hAnsi="Times New Roman"/>
          <w:sz w:val="20"/>
          <w:szCs w:val="20"/>
        </w:rPr>
      </w:pPr>
      <w:r w:rsidRPr="00890C68">
        <w:rPr>
          <w:rFonts w:ascii="Times New Roman" w:hAnsi="Times New Roman"/>
          <w:sz w:val="20"/>
          <w:szCs w:val="20"/>
        </w:rPr>
        <w:t>Jeżeli projekt będzie miał wpływ na inne niż wymienione w pkt 10 obszary proszę zaznaczyć „inne” oraz je wymienić. Proszę również omówić wpływ</w:t>
      </w:r>
      <w:r w:rsidR="00B57E5E" w:rsidRPr="00890C68">
        <w:rPr>
          <w:rFonts w:ascii="Times New Roman" w:hAnsi="Times New Roman"/>
          <w:sz w:val="20"/>
          <w:szCs w:val="20"/>
        </w:rPr>
        <w:t>,</w:t>
      </w:r>
      <w:r w:rsidRPr="00890C68">
        <w:rPr>
          <w:rFonts w:ascii="Times New Roman" w:hAnsi="Times New Roman"/>
          <w:sz w:val="20"/>
          <w:szCs w:val="20"/>
        </w:rPr>
        <w:t xml:space="preserve"> jaki będzie miała projektowana regulacja na wymienione obszary.</w:t>
      </w:r>
    </w:p>
    <w:p w:rsidR="008648C3" w:rsidRPr="00890C68" w:rsidRDefault="00880F26" w:rsidP="00D86AFF">
      <w:pPr>
        <w:spacing w:after="120" w:line="240" w:lineRule="auto"/>
        <w:ind w:left="360"/>
        <w:jc w:val="both"/>
        <w:rPr>
          <w:rFonts w:ascii="Times New Roman" w:hAnsi="Times New Roman"/>
          <w:sz w:val="20"/>
          <w:szCs w:val="20"/>
        </w:rPr>
      </w:pPr>
      <w:r w:rsidRPr="00890C68">
        <w:rPr>
          <w:rFonts w:ascii="Times New Roman" w:hAnsi="Times New Roman"/>
          <w:sz w:val="20"/>
          <w:szCs w:val="20"/>
        </w:rPr>
        <w:t>Jeżeli projekt ma charakter przekrojowy i dotyczy wielu zagadnień</w:t>
      </w:r>
      <w:r w:rsidRPr="00890C68" w:rsidDel="00880F26">
        <w:rPr>
          <w:rFonts w:ascii="Times New Roman" w:hAnsi="Times New Roman"/>
          <w:sz w:val="20"/>
          <w:szCs w:val="20"/>
        </w:rPr>
        <w:t xml:space="preserve"> </w:t>
      </w:r>
      <w:r w:rsidR="00305B8A" w:rsidRPr="00890C68">
        <w:rPr>
          <w:rFonts w:ascii="Times New Roman" w:hAnsi="Times New Roman"/>
          <w:sz w:val="20"/>
          <w:szCs w:val="20"/>
        </w:rPr>
        <w:t>(np. ustawa deregulująca zawody, ustawa o ułatwieniu wykonywania działalności gospodarczej) proszę dokonać analizy wpływu dla najważniejszych zmian.</w:t>
      </w:r>
    </w:p>
    <w:p w:rsidR="00522D94" w:rsidRPr="00890C68" w:rsidRDefault="00522D94" w:rsidP="00522D94">
      <w:pPr>
        <w:numPr>
          <w:ilvl w:val="0"/>
          <w:numId w:val="8"/>
        </w:numPr>
        <w:spacing w:after="120" w:line="240" w:lineRule="auto"/>
        <w:jc w:val="both"/>
        <w:rPr>
          <w:rFonts w:ascii="Times New Roman" w:hAnsi="Times New Roman"/>
          <w:b/>
          <w:sz w:val="20"/>
          <w:szCs w:val="20"/>
        </w:rPr>
      </w:pPr>
      <w:r w:rsidRPr="00890C68">
        <w:rPr>
          <w:rFonts w:ascii="Times New Roman" w:hAnsi="Times New Roman"/>
          <w:b/>
          <w:spacing w:val="-2"/>
          <w:sz w:val="20"/>
          <w:szCs w:val="20"/>
        </w:rPr>
        <w:t>Planowane wykonanie przepisów aktu prawnego</w:t>
      </w:r>
    </w:p>
    <w:p w:rsidR="0064074F" w:rsidRPr="00890C68" w:rsidRDefault="0064074F" w:rsidP="0064074F">
      <w:pPr>
        <w:spacing w:after="120" w:line="240" w:lineRule="auto"/>
        <w:ind w:left="360"/>
        <w:jc w:val="both"/>
        <w:rPr>
          <w:rFonts w:ascii="Times New Roman" w:hAnsi="Times New Roman"/>
          <w:spacing w:val="-2"/>
          <w:sz w:val="20"/>
          <w:szCs w:val="20"/>
        </w:rPr>
      </w:pPr>
      <w:r w:rsidRPr="00890C68">
        <w:rPr>
          <w:rFonts w:ascii="Times New Roman" w:hAnsi="Times New Roman"/>
          <w:spacing w:val="-2"/>
          <w:sz w:val="20"/>
          <w:szCs w:val="20"/>
        </w:rPr>
        <w:t>Proszę opisać kiedy planuje się rozwiązanie problemu zidentyfikowanego w pkt 1 (wejście przepisów w życie nie zawsze rozwiązuje dany problem a jedynie daje podstawę do wdrożenia instrumentów do jego rozwiązania). Proszę przedstawić harmonogram wdrożenia działań wykonania aktu prawnego (np. gdy rozwiązywanym problemem jest zwiększona zachorowalność</w:t>
      </w:r>
      <w:r w:rsidR="0066091B" w:rsidRPr="00890C68">
        <w:rPr>
          <w:rFonts w:ascii="Times New Roman" w:hAnsi="Times New Roman"/>
          <w:spacing w:val="-2"/>
          <w:sz w:val="20"/>
          <w:szCs w:val="20"/>
        </w:rPr>
        <w:t>,</w:t>
      </w:r>
      <w:r w:rsidRPr="00890C68">
        <w:rPr>
          <w:rFonts w:ascii="Times New Roman" w:hAnsi="Times New Roman"/>
          <w:spacing w:val="-2"/>
          <w:sz w:val="20"/>
          <w:szCs w:val="20"/>
        </w:rPr>
        <w:t xml:space="preserve"> to działaniami będą: ew. zatrudnienie dodatkowych pracowników, zakup majątku - urządzeń, przeprowadzenie szczepień, zakup szczepionek itp.)).</w:t>
      </w:r>
    </w:p>
    <w:p w:rsidR="0064074F" w:rsidRPr="00890C68" w:rsidRDefault="0064074F" w:rsidP="00300991">
      <w:pPr>
        <w:spacing w:after="120" w:line="240" w:lineRule="auto"/>
        <w:ind w:left="360"/>
        <w:jc w:val="both"/>
        <w:rPr>
          <w:rFonts w:ascii="Times New Roman" w:hAnsi="Times New Roman"/>
          <w:sz w:val="20"/>
          <w:szCs w:val="20"/>
        </w:rPr>
      </w:pPr>
      <w:r w:rsidRPr="00890C68">
        <w:rPr>
          <w:rFonts w:ascii="Times New Roman" w:hAnsi="Times New Roman"/>
          <w:sz w:val="20"/>
          <w:szCs w:val="20"/>
        </w:rPr>
        <w:t xml:space="preserve">Jeżeli akt prawny ma charakter przekrojowy i dotyczy wielu zagadnień (np. ustawa deregulująca zawody, ustawa o ułatwieniu wykonywania działalności </w:t>
      </w:r>
      <w:r w:rsidRPr="00890C68">
        <w:rPr>
          <w:rFonts w:ascii="Times New Roman" w:hAnsi="Times New Roman"/>
          <w:color w:val="000000"/>
          <w:spacing w:val="-2"/>
          <w:sz w:val="20"/>
          <w:szCs w:val="20"/>
        </w:rPr>
        <w:t>gospodarczej</w:t>
      </w:r>
      <w:r w:rsidRPr="00890C68">
        <w:rPr>
          <w:rFonts w:ascii="Times New Roman" w:hAnsi="Times New Roman"/>
          <w:sz w:val="20"/>
          <w:szCs w:val="20"/>
        </w:rPr>
        <w:t xml:space="preserve">) proszę opisać planowane wykonanie dla najważniejszych zmian. </w:t>
      </w:r>
    </w:p>
    <w:p w:rsidR="000969E7" w:rsidRPr="00890C68" w:rsidRDefault="000969E7" w:rsidP="00300991">
      <w:pPr>
        <w:spacing w:after="120" w:line="240" w:lineRule="auto"/>
        <w:ind w:left="360"/>
        <w:jc w:val="both"/>
        <w:rPr>
          <w:rFonts w:ascii="Times New Roman" w:hAnsi="Times New Roman"/>
          <w:sz w:val="20"/>
          <w:szCs w:val="20"/>
        </w:rPr>
      </w:pPr>
      <w:r w:rsidRPr="00890C68">
        <w:rPr>
          <w:rFonts w:ascii="Times New Roman" w:hAnsi="Times New Roman"/>
          <w:sz w:val="20"/>
          <w:szCs w:val="20"/>
        </w:rPr>
        <w:lastRenderedPageBreak/>
        <w:t xml:space="preserve">Jeżeli projektowana </w:t>
      </w:r>
      <w:r w:rsidRPr="00890C68">
        <w:rPr>
          <w:rFonts w:ascii="Times New Roman" w:hAnsi="Times New Roman"/>
          <w:color w:val="000000"/>
          <w:spacing w:val="-2"/>
          <w:sz w:val="20"/>
          <w:szCs w:val="20"/>
        </w:rPr>
        <w:t>regulacja</w:t>
      </w:r>
      <w:r w:rsidRPr="00890C68">
        <w:rPr>
          <w:rFonts w:ascii="Times New Roman" w:hAnsi="Times New Roman"/>
          <w:sz w:val="20"/>
          <w:szCs w:val="20"/>
        </w:rPr>
        <w:t xml:space="preserve"> oddziałuje na przedsiębiorców (na prowadzenie działalności gospodarczej), zgodnie z </w:t>
      </w:r>
      <w:r w:rsidRPr="00890C68">
        <w:rPr>
          <w:rFonts w:ascii="Times New Roman" w:hAnsi="Times New Roman"/>
          <w:i/>
          <w:sz w:val="20"/>
          <w:szCs w:val="20"/>
        </w:rPr>
        <w:t>Uchwałą Rady Ministrów z dnia 18 lutego 2014 r. w sprawie zaleceń ujednolicenia terminów wejścia w życie niektórych aktów normatywnych</w:t>
      </w:r>
      <w:r w:rsidRPr="00890C68">
        <w:rPr>
          <w:rFonts w:ascii="Times New Roman" w:hAnsi="Times New Roman"/>
          <w:sz w:val="20"/>
          <w:szCs w:val="20"/>
        </w:rPr>
        <w:t xml:space="preserve">, terminem wejścia w życie przepisów, po minimum 30-dniowym </w:t>
      </w:r>
      <w:r w:rsidRPr="00890C68">
        <w:rPr>
          <w:rFonts w:ascii="Times New Roman" w:hAnsi="Times New Roman"/>
          <w:i/>
          <w:sz w:val="20"/>
          <w:szCs w:val="20"/>
        </w:rPr>
        <w:t>vacatio legis</w:t>
      </w:r>
      <w:r w:rsidRPr="00890C68">
        <w:rPr>
          <w:rFonts w:ascii="Times New Roman" w:hAnsi="Times New Roman"/>
          <w:sz w:val="20"/>
          <w:szCs w:val="20"/>
        </w:rPr>
        <w:t xml:space="preserve">, </w:t>
      </w:r>
      <w:r w:rsidR="00300991" w:rsidRPr="00890C68">
        <w:rPr>
          <w:rFonts w:ascii="Times New Roman" w:hAnsi="Times New Roman"/>
          <w:sz w:val="20"/>
          <w:szCs w:val="20"/>
        </w:rPr>
        <w:t>powinien być 1 </w:t>
      </w:r>
      <w:r w:rsidRPr="00890C68">
        <w:rPr>
          <w:rFonts w:ascii="Times New Roman" w:hAnsi="Times New Roman"/>
          <w:sz w:val="20"/>
          <w:szCs w:val="20"/>
        </w:rPr>
        <w:t>stycznia lub 1 czerwca. Jeżeli termin ten nie zostanie zachowany, proszę wskazać powód odstąpienia od wyznaczonych terminów.</w:t>
      </w:r>
    </w:p>
    <w:p w:rsidR="00522D94" w:rsidRPr="00890C68" w:rsidRDefault="00522D94" w:rsidP="00522D94">
      <w:pPr>
        <w:numPr>
          <w:ilvl w:val="0"/>
          <w:numId w:val="8"/>
        </w:numPr>
        <w:spacing w:after="120" w:line="240" w:lineRule="auto"/>
        <w:jc w:val="both"/>
        <w:rPr>
          <w:rFonts w:ascii="Times New Roman" w:hAnsi="Times New Roman"/>
          <w:b/>
          <w:sz w:val="20"/>
          <w:szCs w:val="20"/>
        </w:rPr>
      </w:pPr>
      <w:r w:rsidRPr="00890C68">
        <w:rPr>
          <w:rFonts w:ascii="Times New Roman" w:hAnsi="Times New Roman"/>
          <w:b/>
          <w:spacing w:val="-2"/>
          <w:sz w:val="20"/>
          <w:szCs w:val="20"/>
        </w:rPr>
        <w:t xml:space="preserve">W jaki sposób i kiedy nastąpi ewaluacja efektów projektu oraz jakie mierniki zostaną </w:t>
      </w:r>
      <w:r w:rsidR="00C33027" w:rsidRPr="00890C68">
        <w:rPr>
          <w:rFonts w:ascii="Times New Roman" w:hAnsi="Times New Roman"/>
          <w:b/>
          <w:spacing w:val="-2"/>
          <w:sz w:val="20"/>
          <w:szCs w:val="20"/>
        </w:rPr>
        <w:t>zastosowane?</w:t>
      </w:r>
    </w:p>
    <w:p w:rsidR="006A4904" w:rsidRPr="00890C68" w:rsidRDefault="00C33027" w:rsidP="006A4904">
      <w:pPr>
        <w:spacing w:after="120" w:line="240" w:lineRule="auto"/>
        <w:ind w:left="360"/>
        <w:jc w:val="both"/>
        <w:rPr>
          <w:rFonts w:ascii="Times New Roman" w:hAnsi="Times New Roman"/>
          <w:color w:val="000000"/>
          <w:spacing w:val="-2"/>
          <w:sz w:val="20"/>
          <w:szCs w:val="20"/>
        </w:rPr>
      </w:pPr>
      <w:r w:rsidRPr="00890C68">
        <w:rPr>
          <w:rFonts w:ascii="Times New Roman" w:hAnsi="Times New Roman"/>
          <w:color w:val="000000"/>
          <w:spacing w:val="-2"/>
          <w:sz w:val="20"/>
          <w:szCs w:val="20"/>
        </w:rPr>
        <w:t>Proszę opisać</w:t>
      </w:r>
      <w:r w:rsidR="006A4904" w:rsidRPr="00890C68">
        <w:rPr>
          <w:rFonts w:ascii="Times New Roman" w:hAnsi="Times New Roman"/>
          <w:color w:val="000000"/>
          <w:spacing w:val="-2"/>
          <w:sz w:val="20"/>
          <w:szCs w:val="20"/>
        </w:rPr>
        <w:t xml:space="preserve">, kiedy i w jaki sposób będzie mierzone </w:t>
      </w:r>
      <w:r w:rsidRPr="00890C68">
        <w:rPr>
          <w:rFonts w:ascii="Times New Roman" w:hAnsi="Times New Roman"/>
          <w:color w:val="000000"/>
          <w:spacing w:val="-2"/>
          <w:sz w:val="20"/>
          <w:szCs w:val="20"/>
        </w:rPr>
        <w:t>osiągnięcie efektu opisanego</w:t>
      </w:r>
      <w:r w:rsidR="006A4904" w:rsidRPr="00890C68">
        <w:rPr>
          <w:rFonts w:ascii="Times New Roman" w:hAnsi="Times New Roman"/>
          <w:color w:val="000000"/>
          <w:spacing w:val="-2"/>
          <w:sz w:val="20"/>
          <w:szCs w:val="20"/>
        </w:rPr>
        <w:t xml:space="preserve"> w pkt 2. Po jakim czasie nastąpi przegląd kosztów i korzyści projektowanych oddziaływań. Proszę również wskazać mierniki, które pozwolą określić, czy oczekiwane efekty zostały uzyskane. </w:t>
      </w:r>
    </w:p>
    <w:p w:rsidR="006A4904" w:rsidRPr="00890C68" w:rsidRDefault="006A4904" w:rsidP="006A4904">
      <w:pPr>
        <w:spacing w:after="120" w:line="240" w:lineRule="auto"/>
        <w:ind w:left="360"/>
        <w:jc w:val="both"/>
        <w:rPr>
          <w:rFonts w:ascii="Times New Roman" w:hAnsi="Times New Roman"/>
          <w:color w:val="000000"/>
          <w:spacing w:val="-2"/>
          <w:sz w:val="20"/>
          <w:szCs w:val="20"/>
        </w:rPr>
      </w:pPr>
      <w:r w:rsidRPr="00890C68">
        <w:rPr>
          <w:rFonts w:ascii="Times New Roman" w:hAnsi="Times New Roman"/>
          <w:sz w:val="20"/>
          <w:szCs w:val="20"/>
        </w:rPr>
        <w:t>W tym punkcie proszę też podać informację dotyczącą przygotowania oceny funkcjonowania ustawy (OSR ex-post), jeżeli w odniesieniu do projektu ustawy przewiduje się przedstawienie wyników ewaluacji w OSR ex-post.</w:t>
      </w:r>
      <w:r w:rsidRPr="00890C68">
        <w:rPr>
          <w:rFonts w:ascii="Times New Roman" w:hAnsi="Times New Roman"/>
          <w:color w:val="000000"/>
          <w:spacing w:val="-2"/>
          <w:sz w:val="20"/>
          <w:szCs w:val="20"/>
        </w:rPr>
        <w:t xml:space="preserve"> </w:t>
      </w:r>
    </w:p>
    <w:p w:rsidR="006A4904" w:rsidRPr="00890C68" w:rsidRDefault="006A4904" w:rsidP="006A4904">
      <w:pPr>
        <w:spacing w:after="120"/>
        <w:ind w:left="357"/>
        <w:jc w:val="both"/>
        <w:rPr>
          <w:rFonts w:ascii="Times New Roman" w:hAnsi="Times New Roman"/>
          <w:sz w:val="20"/>
          <w:szCs w:val="20"/>
        </w:rPr>
      </w:pPr>
      <w:r w:rsidRPr="00890C68">
        <w:rPr>
          <w:rFonts w:ascii="Times New Roman" w:hAnsi="Times New Roman"/>
          <w:sz w:val="20"/>
          <w:szCs w:val="20"/>
        </w:rPr>
        <w:t>Jeżeli projekt ma charakter przekrojowy i dotyczy wielu zagadnień (np. ustawa deregulująca zawody, ustawa o ułatwieniu wykonywania działalności gospodarczej) proszę opisać sposób przeprowadzania ewaluacji i mierniki dla najważniejszych zmian.</w:t>
      </w:r>
    </w:p>
    <w:p w:rsidR="006A4904" w:rsidRPr="00890C68" w:rsidRDefault="006A4904" w:rsidP="006A4904">
      <w:pPr>
        <w:spacing w:after="120" w:line="240" w:lineRule="auto"/>
        <w:ind w:left="360"/>
        <w:jc w:val="both"/>
        <w:rPr>
          <w:rFonts w:ascii="Times New Roman" w:hAnsi="Times New Roman"/>
          <w:color w:val="000000"/>
          <w:spacing w:val="-2"/>
          <w:sz w:val="20"/>
          <w:szCs w:val="20"/>
        </w:rPr>
      </w:pPr>
      <w:r w:rsidRPr="00890C68">
        <w:rPr>
          <w:rFonts w:ascii="Times New Roman" w:hAnsi="Times New Roman"/>
          <w:color w:val="000000"/>
          <w:spacing w:val="-2"/>
          <w:sz w:val="20"/>
          <w:szCs w:val="20"/>
        </w:rPr>
        <w:t xml:space="preserve">Jeśli specyfika danego projektu uniemożliwia zastosowanie mierników lub też niezasadna jest jego ewaluacja (z uwagi na zakres lub charakter projektu) proszę to opisać. </w:t>
      </w:r>
    </w:p>
    <w:p w:rsidR="00522D94" w:rsidRPr="00890C68" w:rsidRDefault="00522D94" w:rsidP="00522D94">
      <w:pPr>
        <w:numPr>
          <w:ilvl w:val="0"/>
          <w:numId w:val="8"/>
        </w:numPr>
        <w:spacing w:after="120" w:line="240" w:lineRule="auto"/>
        <w:jc w:val="both"/>
        <w:rPr>
          <w:rFonts w:ascii="Times New Roman" w:hAnsi="Times New Roman"/>
          <w:b/>
          <w:sz w:val="20"/>
          <w:szCs w:val="20"/>
        </w:rPr>
      </w:pPr>
      <w:r w:rsidRPr="00890C68">
        <w:rPr>
          <w:rFonts w:ascii="Times New Roman" w:hAnsi="Times New Roman"/>
          <w:b/>
          <w:color w:val="000000"/>
          <w:spacing w:val="-2"/>
          <w:sz w:val="20"/>
          <w:szCs w:val="20"/>
        </w:rPr>
        <w:t xml:space="preserve">Załączniki </w:t>
      </w:r>
      <w:r w:rsidRPr="00890C68">
        <w:rPr>
          <w:rFonts w:ascii="Times New Roman" w:hAnsi="Times New Roman"/>
          <w:b/>
          <w:spacing w:val="-2"/>
          <w:sz w:val="20"/>
          <w:szCs w:val="20"/>
        </w:rPr>
        <w:t>(istotne dokumenty źródłowe, badania, analizy</w:t>
      </w:r>
      <w:r w:rsidR="00B57E5E" w:rsidRPr="00890C68">
        <w:rPr>
          <w:rFonts w:ascii="Times New Roman" w:hAnsi="Times New Roman"/>
          <w:b/>
          <w:spacing w:val="-2"/>
          <w:sz w:val="20"/>
          <w:szCs w:val="20"/>
        </w:rPr>
        <w:t>,</w:t>
      </w:r>
      <w:r w:rsidRPr="00890C68">
        <w:rPr>
          <w:rFonts w:ascii="Times New Roman" w:hAnsi="Times New Roman"/>
          <w:b/>
          <w:spacing w:val="-2"/>
          <w:sz w:val="20"/>
          <w:szCs w:val="20"/>
        </w:rPr>
        <w:t xml:space="preserve"> </w:t>
      </w:r>
      <w:r w:rsidR="00B57E5E" w:rsidRPr="00890C68">
        <w:rPr>
          <w:rFonts w:ascii="Times New Roman" w:hAnsi="Times New Roman"/>
          <w:b/>
          <w:spacing w:val="-2"/>
          <w:sz w:val="20"/>
          <w:szCs w:val="20"/>
        </w:rPr>
        <w:t>itp.</w:t>
      </w:r>
      <w:r w:rsidRPr="00890C68">
        <w:rPr>
          <w:rFonts w:ascii="Times New Roman" w:hAnsi="Times New Roman"/>
          <w:b/>
          <w:color w:val="000000"/>
          <w:spacing w:val="-2"/>
          <w:sz w:val="20"/>
          <w:szCs w:val="20"/>
        </w:rPr>
        <w:t>)</w:t>
      </w:r>
    </w:p>
    <w:p w:rsidR="006176ED" w:rsidRPr="00890C68" w:rsidRDefault="00DE5D80" w:rsidP="00441787">
      <w:pPr>
        <w:spacing w:after="120"/>
        <w:ind w:left="360"/>
        <w:jc w:val="both"/>
        <w:rPr>
          <w:rFonts w:ascii="Times New Roman" w:hAnsi="Times New Roman"/>
          <w:sz w:val="20"/>
          <w:szCs w:val="20"/>
        </w:rPr>
      </w:pPr>
      <w:r w:rsidRPr="00890C68">
        <w:rPr>
          <w:rFonts w:ascii="Times New Roman" w:hAnsi="Times New Roman"/>
          <w:sz w:val="20"/>
          <w:szCs w:val="20"/>
        </w:rPr>
        <w:t>Proszę wymienić dodatkowe dokumenty, które stanowią załączniki do projektu i formularza. Załączanie dodatkowych dokumentów jest opcjonalne.</w:t>
      </w:r>
      <w:r w:rsidR="009D0655" w:rsidRPr="00890C68">
        <w:rPr>
          <w:rFonts w:ascii="Times New Roman" w:hAnsi="Times New Roman"/>
          <w:sz w:val="20"/>
          <w:szCs w:val="20"/>
        </w:rPr>
        <w:t xml:space="preserve"> </w:t>
      </w:r>
    </w:p>
    <w:sectPr w:rsidR="006176ED" w:rsidRPr="00890C68" w:rsidSect="00725DE7">
      <w:pgSz w:w="11906" w:h="16838"/>
      <w:pgMar w:top="568" w:right="707" w:bottom="568" w:left="720" w:header="708" w:footer="2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2A3" w:rsidRDefault="00A132A3" w:rsidP="00044739">
      <w:pPr>
        <w:spacing w:line="240" w:lineRule="auto"/>
      </w:pPr>
      <w:r>
        <w:separator/>
      </w:r>
    </w:p>
  </w:endnote>
  <w:endnote w:type="continuationSeparator" w:id="0">
    <w:p w:rsidR="00A132A3" w:rsidRDefault="00A132A3" w:rsidP="000447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2A3" w:rsidRDefault="00A132A3" w:rsidP="00044739">
      <w:pPr>
        <w:spacing w:line="240" w:lineRule="auto"/>
      </w:pPr>
      <w:r>
        <w:separator/>
      </w:r>
    </w:p>
  </w:footnote>
  <w:footnote w:type="continuationSeparator" w:id="0">
    <w:p w:rsidR="00A132A3" w:rsidRDefault="00A132A3" w:rsidP="00044739">
      <w:pPr>
        <w:spacing w:line="240" w:lineRule="auto"/>
      </w:pPr>
      <w:r>
        <w:continuationSeparator/>
      </w:r>
    </w:p>
  </w:footnote>
  <w:footnote w:id="1">
    <w:p w:rsidR="00054A55" w:rsidRPr="00091AE9" w:rsidRDefault="00054A55" w:rsidP="00091AE9">
      <w:pPr>
        <w:pStyle w:val="Tekstprzypisudolnego"/>
        <w:spacing w:line="240" w:lineRule="auto"/>
        <w:rPr>
          <w:rFonts w:ascii="Times New Roman" w:hAnsi="Times New Roman"/>
          <w:color w:val="0070C0"/>
          <w:sz w:val="18"/>
          <w:u w:val="single"/>
        </w:rPr>
      </w:pPr>
      <w:r w:rsidRPr="00091AE9">
        <w:rPr>
          <w:rStyle w:val="Odwoanieprzypisudolnego"/>
          <w:rFonts w:ascii="Times New Roman" w:hAnsi="Times New Roman"/>
        </w:rPr>
        <w:footnoteRef/>
      </w:r>
      <w:r w:rsidRPr="00091AE9">
        <w:rPr>
          <w:rFonts w:ascii="Times New Roman" w:hAnsi="Times New Roman"/>
        </w:rPr>
        <w:t xml:space="preserve"> </w:t>
      </w:r>
      <w:r w:rsidRPr="00091AE9">
        <w:rPr>
          <w:rFonts w:ascii="Times New Roman" w:hAnsi="Times New Roman"/>
          <w:sz w:val="18"/>
        </w:rPr>
        <w:t xml:space="preserve">Urząd Regulacji Energetyki </w:t>
      </w:r>
      <w:r w:rsidRPr="00091AE9">
        <w:rPr>
          <w:rFonts w:ascii="Times New Roman" w:hAnsi="Times New Roman"/>
          <w:i/>
          <w:sz w:val="18"/>
        </w:rPr>
        <w:t>Trzeci pakiet energetyczny</w:t>
      </w:r>
      <w:r w:rsidRPr="00091AE9">
        <w:rPr>
          <w:rFonts w:ascii="Times New Roman" w:hAnsi="Times New Roman"/>
          <w:sz w:val="18"/>
        </w:rPr>
        <w:t xml:space="preserve">, </w:t>
      </w:r>
      <w:hyperlink r:id="rId1" w:history="1">
        <w:r w:rsidRPr="00091AE9">
          <w:rPr>
            <w:rFonts w:ascii="Times New Roman" w:hAnsi="Times New Roman"/>
            <w:color w:val="0070C0"/>
            <w:sz w:val="18"/>
            <w:u w:val="single"/>
          </w:rPr>
          <w:t>https://www.ure.gov.pl/pl/urzad/wspolpraca-miedzynarod/trzeci-pakiet-energety</w:t>
        </w:r>
      </w:hyperlink>
    </w:p>
  </w:footnote>
  <w:footnote w:id="2">
    <w:p w:rsidR="00054A55" w:rsidRPr="00091AE9" w:rsidRDefault="00054A55" w:rsidP="00091AE9">
      <w:pPr>
        <w:pStyle w:val="Tekstprzypisudolnego"/>
        <w:spacing w:line="240" w:lineRule="auto"/>
        <w:rPr>
          <w:rFonts w:ascii="Times New Roman" w:hAnsi="Times New Roman"/>
          <w:color w:val="0070C0"/>
          <w:sz w:val="18"/>
          <w:u w:val="single"/>
        </w:rPr>
      </w:pPr>
    </w:p>
    <w:p w:rsidR="00054A55" w:rsidRPr="00091AE9" w:rsidRDefault="00054A55" w:rsidP="00091AE9">
      <w:pPr>
        <w:pStyle w:val="Tekstprzypisudolnego"/>
        <w:spacing w:line="240" w:lineRule="auto"/>
        <w:rPr>
          <w:rFonts w:ascii="Times New Roman" w:hAnsi="Times New Roman"/>
          <w:color w:val="0070C0"/>
          <w:sz w:val="18"/>
          <w:szCs w:val="18"/>
          <w:u w:val="single"/>
        </w:rPr>
      </w:pPr>
      <w:r w:rsidRPr="00091AE9">
        <w:rPr>
          <w:rStyle w:val="Odwoanieprzypisudolnego"/>
          <w:rFonts w:ascii="Times New Roman" w:hAnsi="Times New Roman"/>
        </w:rPr>
        <w:footnoteRef/>
      </w:r>
      <w:r w:rsidRPr="00091AE9">
        <w:rPr>
          <w:rFonts w:ascii="Times New Roman" w:hAnsi="Times New Roman"/>
        </w:rPr>
        <w:t xml:space="preserve"> </w:t>
      </w:r>
      <w:r w:rsidRPr="00091AE9">
        <w:rPr>
          <w:rFonts w:ascii="Times New Roman" w:hAnsi="Times New Roman"/>
          <w:sz w:val="18"/>
          <w:szCs w:val="18"/>
        </w:rPr>
        <w:t xml:space="preserve">Minister Gospodarki, Analiza skutków społeczno-gospodarczych wdrożenia inteligentnego opomiarowania, Warszawa kwiecień 2013 r., </w:t>
      </w:r>
      <w:r w:rsidRPr="00091AE9">
        <w:rPr>
          <w:rFonts w:ascii="Times New Roman" w:hAnsi="Times New Roman"/>
          <w:color w:val="0070C0"/>
          <w:spacing w:val="-2"/>
          <w:sz w:val="18"/>
          <w:szCs w:val="18"/>
          <w:u w:val="single"/>
        </w:rPr>
        <w:t>https://informatyzacja-w-energetyce.cire.pl/pliki/1/Analiza_skutkow_spoleczno-gospodarczych.pdf</w:t>
      </w:r>
    </w:p>
    <w:p w:rsidR="00054A55" w:rsidRDefault="00054A55" w:rsidP="00091AE9">
      <w:pPr>
        <w:pStyle w:val="Tekstprzypisudolnego"/>
      </w:pPr>
    </w:p>
  </w:footnote>
  <w:footnote w:id="3">
    <w:p w:rsidR="00054A55" w:rsidRPr="00211A9F" w:rsidRDefault="00054A55" w:rsidP="00091AE9">
      <w:pPr>
        <w:pStyle w:val="Tekstprzypisudolnego"/>
        <w:rPr>
          <w:rFonts w:ascii="Times New Roman" w:hAnsi="Times New Roman"/>
        </w:rPr>
      </w:pPr>
      <w:r w:rsidRPr="00211A9F">
        <w:rPr>
          <w:rStyle w:val="Odwoanieprzypisudolnego"/>
          <w:rFonts w:ascii="Times New Roman" w:hAnsi="Times New Roman"/>
        </w:rPr>
        <w:footnoteRef/>
      </w:r>
      <w:r w:rsidRPr="00211A9F">
        <w:rPr>
          <w:rFonts w:ascii="Times New Roman" w:hAnsi="Times New Roman"/>
        </w:rPr>
        <w:t xml:space="preserve"> </w:t>
      </w:r>
      <w:r w:rsidRPr="00211A9F">
        <w:rPr>
          <w:rFonts w:ascii="Times New Roman" w:hAnsi="Times New Roman"/>
          <w:sz w:val="18"/>
        </w:rPr>
        <w:t xml:space="preserve">Model obliczeniowy do </w:t>
      </w:r>
      <w:r w:rsidRPr="00211A9F">
        <w:rPr>
          <w:rFonts w:ascii="Times New Roman" w:hAnsi="Times New Roman"/>
          <w:i/>
          <w:sz w:val="18"/>
        </w:rPr>
        <w:t>Aktualizacji kluczowych elementów Analizy skutków społeczno-gospodarczych wdrożenia inteligentnego opomiarowania</w:t>
      </w:r>
      <w:r w:rsidRPr="00211A9F">
        <w:rPr>
          <w:rFonts w:ascii="Times New Roman" w:hAnsi="Times New Roman"/>
          <w:sz w:val="18"/>
        </w:rPr>
        <w:t xml:space="preserve">, </w:t>
      </w:r>
      <w:r>
        <w:rPr>
          <w:rFonts w:ascii="Times New Roman" w:hAnsi="Times New Roman"/>
          <w:sz w:val="18"/>
        </w:rPr>
        <w:t>kwiecień</w:t>
      </w:r>
      <w:r w:rsidRPr="00211A9F">
        <w:rPr>
          <w:rFonts w:ascii="Times New Roman" w:hAnsi="Times New Roman"/>
          <w:sz w:val="18"/>
        </w:rPr>
        <w:t xml:space="preserve"> 201</w:t>
      </w:r>
      <w:r>
        <w:rPr>
          <w:rFonts w:ascii="Times New Roman" w:hAnsi="Times New Roman"/>
          <w:sz w:val="18"/>
        </w:rPr>
        <w:t>9</w:t>
      </w:r>
      <w:r w:rsidRPr="00211A9F">
        <w:rPr>
          <w:rFonts w:ascii="Times New Roman" w:hAnsi="Times New Roman"/>
          <w:sz w:val="18"/>
        </w:rPr>
        <w:t xml:space="preserve"> r.</w:t>
      </w:r>
    </w:p>
  </w:footnote>
  <w:footnote w:id="4">
    <w:p w:rsidR="00054A55" w:rsidRPr="00434137" w:rsidRDefault="00054A55" w:rsidP="00091AE9">
      <w:pPr>
        <w:pStyle w:val="Tekstprzypisudolnego"/>
        <w:rPr>
          <w:color w:val="0070C0"/>
          <w:sz w:val="18"/>
          <w:u w:val="single"/>
        </w:rPr>
      </w:pPr>
      <w:r w:rsidRPr="00211A9F">
        <w:rPr>
          <w:rStyle w:val="Odwoanieprzypisudolnego"/>
          <w:rFonts w:ascii="Times New Roman" w:hAnsi="Times New Roman"/>
        </w:rPr>
        <w:footnoteRef/>
      </w:r>
      <w:r w:rsidRPr="00211A9F">
        <w:rPr>
          <w:rFonts w:ascii="Times New Roman" w:hAnsi="Times New Roman"/>
        </w:rPr>
        <w:t xml:space="preserve"> </w:t>
      </w:r>
      <w:r w:rsidRPr="00211A9F">
        <w:rPr>
          <w:rFonts w:ascii="Times New Roman" w:hAnsi="Times New Roman"/>
          <w:sz w:val="18"/>
        </w:rPr>
        <w:t xml:space="preserve">Urząd Regulacji Energetyki, Charakterystyka rynku energii elektrycznej w 2017 r.; </w:t>
      </w:r>
      <w:r w:rsidRPr="00211A9F">
        <w:rPr>
          <w:rFonts w:ascii="Times New Roman" w:hAnsi="Times New Roman"/>
          <w:color w:val="0070C0"/>
          <w:sz w:val="18"/>
          <w:u w:val="single"/>
        </w:rPr>
        <w:t>https://www.ure.gov.pl/pl/rynki-energii/energia-elektryczna/charakterystyka-rynku/7562,2017.html</w:t>
      </w:r>
    </w:p>
  </w:footnote>
  <w:footnote w:id="5">
    <w:p w:rsidR="00054A55" w:rsidRPr="00091AE9" w:rsidRDefault="00054A55" w:rsidP="00091AE9">
      <w:pPr>
        <w:pStyle w:val="Tekstprzypisudolnego"/>
        <w:rPr>
          <w:rFonts w:ascii="Times New Roman" w:hAnsi="Times New Roman"/>
          <w:lang w:val="en-GB"/>
        </w:rPr>
      </w:pPr>
      <w:r w:rsidRPr="00091AE9">
        <w:rPr>
          <w:rStyle w:val="Odwoanieprzypisudolnego"/>
          <w:rFonts w:ascii="Times New Roman" w:hAnsi="Times New Roman"/>
        </w:rPr>
        <w:footnoteRef/>
      </w:r>
      <w:r w:rsidRPr="00091AE9">
        <w:rPr>
          <w:rFonts w:ascii="Times New Roman" w:hAnsi="Times New Roman"/>
          <w:lang w:val="en-GB"/>
        </w:rPr>
        <w:t xml:space="preserve"> </w:t>
      </w:r>
      <w:r w:rsidRPr="00091AE9">
        <w:rPr>
          <w:rFonts w:ascii="Times New Roman" w:hAnsi="Times New Roman"/>
          <w:i/>
          <w:lang w:val="en-GB"/>
        </w:rPr>
        <w:t>Data Exchange in Electric Power Systems: European State of Play and Perspectives</w:t>
      </w:r>
      <w:r w:rsidRPr="00091AE9">
        <w:rPr>
          <w:rFonts w:ascii="Times New Roman" w:hAnsi="Times New Roman"/>
          <w:lang w:val="en-GB"/>
        </w:rPr>
        <w:t>, Thema Consulting Group, czerwiec 2017</w:t>
      </w:r>
    </w:p>
  </w:footnote>
  <w:footnote w:id="6">
    <w:p w:rsidR="00054A55" w:rsidRPr="001B02C5" w:rsidRDefault="00054A55" w:rsidP="00091AE9">
      <w:pPr>
        <w:pStyle w:val="Tekstprzypisudolnego"/>
        <w:rPr>
          <w:lang w:val="en-GB"/>
        </w:rPr>
      </w:pPr>
      <w:r w:rsidRPr="00091AE9">
        <w:rPr>
          <w:rStyle w:val="Odwoanieprzypisudolnego"/>
          <w:rFonts w:ascii="Times New Roman" w:hAnsi="Times New Roman"/>
        </w:rPr>
        <w:footnoteRef/>
      </w:r>
      <w:r w:rsidRPr="00091AE9">
        <w:rPr>
          <w:rFonts w:ascii="Times New Roman" w:hAnsi="Times New Roman"/>
          <w:lang w:val="en-GB"/>
        </w:rPr>
        <w:t xml:space="preserve"> CEER, Review of Current and Future Data Management Models – CEER Report, Ref: C16-RMF-89-03, 13 grudnia 2016;  </w:t>
      </w:r>
      <w:r w:rsidRPr="00091AE9">
        <w:rPr>
          <w:rFonts w:ascii="Times New Roman" w:hAnsi="Times New Roman"/>
          <w:color w:val="0070C0"/>
          <w:u w:val="single"/>
          <w:lang w:val="en-GB"/>
        </w:rPr>
        <w:t>https://www.ceer.eu/documents/104400/-/-/1fbc8e21-2502-c6c8-7017-a6df5652d20b</w:t>
      </w:r>
    </w:p>
  </w:footnote>
  <w:footnote w:id="7">
    <w:p w:rsidR="00054A55" w:rsidRPr="00445A78" w:rsidRDefault="00054A55" w:rsidP="00091AE9">
      <w:pPr>
        <w:pStyle w:val="Tekstprzypisudolnego"/>
        <w:rPr>
          <w:rFonts w:ascii="Times New Roman" w:hAnsi="Times New Roman"/>
        </w:rPr>
      </w:pPr>
      <w:r w:rsidRPr="00445A78">
        <w:rPr>
          <w:rStyle w:val="Odwoanieprzypisudolnego"/>
          <w:rFonts w:ascii="Times New Roman" w:hAnsi="Times New Roman"/>
        </w:rPr>
        <w:footnoteRef/>
      </w:r>
      <w:r w:rsidRPr="00445A78">
        <w:rPr>
          <w:rFonts w:ascii="Times New Roman" w:hAnsi="Times New Roman"/>
        </w:rPr>
        <w:t xml:space="preserve"> Statnett, aktualności ze strony internetowej </w:t>
      </w:r>
      <w:hyperlink r:id="rId2" w:history="1">
        <w:r w:rsidRPr="00445A78">
          <w:rPr>
            <w:rStyle w:val="Hipercze"/>
            <w:rFonts w:ascii="Times New Roman" w:hAnsi="Times New Roman"/>
            <w:color w:val="0070C0"/>
          </w:rPr>
          <w:t>http://www.statnett.no/Media/Nyheter/Nyhetsarkiv-2018/De-forste-aktorer-er-godkjent-for-a-ta-i-bruk-Elhub/</w:t>
        </w:r>
      </w:hyperlink>
      <w:r w:rsidRPr="00445A78">
        <w:rPr>
          <w:rFonts w:ascii="Times New Roman" w:hAnsi="Times New Roman"/>
        </w:rPr>
        <w:t xml:space="preserve">, data publikacji: 16 maja 2018 r. </w:t>
      </w:r>
    </w:p>
  </w:footnote>
  <w:footnote w:id="8">
    <w:p w:rsidR="00054A55" w:rsidRPr="00D85971" w:rsidRDefault="00054A55" w:rsidP="00091AE9">
      <w:pPr>
        <w:pStyle w:val="Tekstprzypisudolnego"/>
        <w:rPr>
          <w:lang w:val="en-GB"/>
        </w:rPr>
      </w:pPr>
      <w:r>
        <w:rPr>
          <w:rStyle w:val="Odwoanieprzypisudolnego"/>
        </w:rPr>
        <w:footnoteRef/>
      </w:r>
      <w:r w:rsidRPr="00D85971">
        <w:rPr>
          <w:lang w:val="en-GB"/>
        </w:rPr>
        <w:t xml:space="preserve"> </w:t>
      </w:r>
      <w:r w:rsidRPr="00091AE9">
        <w:rPr>
          <w:rFonts w:ascii="Times New Roman" w:hAnsi="Times New Roman"/>
          <w:lang w:val="en-GB"/>
        </w:rPr>
        <w:t>Prezentacja „Elering’s Data Hubs for Energy Markets”, Elering AS, lipiec 2018.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E4F79"/>
    <w:multiLevelType w:val="hybridMultilevel"/>
    <w:tmpl w:val="5E823C9E"/>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9E2B58"/>
    <w:multiLevelType w:val="hybridMultilevel"/>
    <w:tmpl w:val="DD34BEF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292349"/>
    <w:multiLevelType w:val="hybridMultilevel"/>
    <w:tmpl w:val="F1FC0650"/>
    <w:lvl w:ilvl="0" w:tplc="0415000F">
      <w:start w:val="1"/>
      <w:numFmt w:val="decimal"/>
      <w:lvlText w:val="%1."/>
      <w:lvlJc w:val="left"/>
      <w:pPr>
        <w:tabs>
          <w:tab w:val="num" w:pos="1047"/>
        </w:tabs>
        <w:ind w:left="1047" w:hanging="360"/>
      </w:pPr>
    </w:lvl>
    <w:lvl w:ilvl="1" w:tplc="2610BC42">
      <w:start w:val="1"/>
      <w:numFmt w:val="bullet"/>
      <w:lvlText w:val=""/>
      <w:lvlJc w:val="left"/>
      <w:pPr>
        <w:tabs>
          <w:tab w:val="num" w:pos="1767"/>
        </w:tabs>
        <w:ind w:left="1767" w:hanging="360"/>
      </w:pPr>
      <w:rPr>
        <w:rFonts w:ascii="Symbol" w:hAnsi="Symbol" w:hint="default"/>
      </w:rPr>
    </w:lvl>
    <w:lvl w:ilvl="2" w:tplc="0415001B" w:tentative="1">
      <w:start w:val="1"/>
      <w:numFmt w:val="lowerRoman"/>
      <w:lvlText w:val="%3."/>
      <w:lvlJc w:val="right"/>
      <w:pPr>
        <w:tabs>
          <w:tab w:val="num" w:pos="2487"/>
        </w:tabs>
        <w:ind w:left="2487" w:hanging="180"/>
      </w:pPr>
    </w:lvl>
    <w:lvl w:ilvl="3" w:tplc="0415000F" w:tentative="1">
      <w:start w:val="1"/>
      <w:numFmt w:val="decimal"/>
      <w:lvlText w:val="%4."/>
      <w:lvlJc w:val="left"/>
      <w:pPr>
        <w:tabs>
          <w:tab w:val="num" w:pos="3207"/>
        </w:tabs>
        <w:ind w:left="3207" w:hanging="360"/>
      </w:pPr>
    </w:lvl>
    <w:lvl w:ilvl="4" w:tplc="04150019" w:tentative="1">
      <w:start w:val="1"/>
      <w:numFmt w:val="lowerLetter"/>
      <w:lvlText w:val="%5."/>
      <w:lvlJc w:val="left"/>
      <w:pPr>
        <w:tabs>
          <w:tab w:val="num" w:pos="3927"/>
        </w:tabs>
        <w:ind w:left="3927" w:hanging="360"/>
      </w:pPr>
    </w:lvl>
    <w:lvl w:ilvl="5" w:tplc="0415001B" w:tentative="1">
      <w:start w:val="1"/>
      <w:numFmt w:val="lowerRoman"/>
      <w:lvlText w:val="%6."/>
      <w:lvlJc w:val="right"/>
      <w:pPr>
        <w:tabs>
          <w:tab w:val="num" w:pos="4647"/>
        </w:tabs>
        <w:ind w:left="4647" w:hanging="180"/>
      </w:pPr>
    </w:lvl>
    <w:lvl w:ilvl="6" w:tplc="0415000F" w:tentative="1">
      <w:start w:val="1"/>
      <w:numFmt w:val="decimal"/>
      <w:lvlText w:val="%7."/>
      <w:lvlJc w:val="left"/>
      <w:pPr>
        <w:tabs>
          <w:tab w:val="num" w:pos="5367"/>
        </w:tabs>
        <w:ind w:left="5367" w:hanging="360"/>
      </w:pPr>
    </w:lvl>
    <w:lvl w:ilvl="7" w:tplc="04150019" w:tentative="1">
      <w:start w:val="1"/>
      <w:numFmt w:val="lowerLetter"/>
      <w:lvlText w:val="%8."/>
      <w:lvlJc w:val="left"/>
      <w:pPr>
        <w:tabs>
          <w:tab w:val="num" w:pos="6087"/>
        </w:tabs>
        <w:ind w:left="6087" w:hanging="360"/>
      </w:pPr>
    </w:lvl>
    <w:lvl w:ilvl="8" w:tplc="0415001B" w:tentative="1">
      <w:start w:val="1"/>
      <w:numFmt w:val="lowerRoman"/>
      <w:lvlText w:val="%9."/>
      <w:lvlJc w:val="right"/>
      <w:pPr>
        <w:tabs>
          <w:tab w:val="num" w:pos="6807"/>
        </w:tabs>
        <w:ind w:left="6807" w:hanging="180"/>
      </w:pPr>
    </w:lvl>
  </w:abstractNum>
  <w:abstractNum w:abstractNumId="3" w15:restartNumberingAfterBreak="0">
    <w:nsid w:val="1A166F0E"/>
    <w:multiLevelType w:val="hybridMultilevel"/>
    <w:tmpl w:val="41408C06"/>
    <w:lvl w:ilvl="0" w:tplc="0415000F">
      <w:start w:val="1"/>
      <w:numFmt w:val="decimal"/>
      <w:lvlText w:val="%1."/>
      <w:lvlJc w:val="left"/>
      <w:pPr>
        <w:ind w:left="360" w:hanging="360"/>
      </w:pPr>
      <w:rPr>
        <w:rFonts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1FA23D91"/>
    <w:multiLevelType w:val="hybridMultilevel"/>
    <w:tmpl w:val="29A04C7E"/>
    <w:lvl w:ilvl="0" w:tplc="A31018B0">
      <w:start w:val="1"/>
      <w:numFmt w:val="decimal"/>
      <w:lvlText w:val="%1."/>
      <w:lvlJc w:val="left"/>
      <w:pPr>
        <w:tabs>
          <w:tab w:val="num" w:pos="357"/>
        </w:tabs>
      </w:pPr>
      <w:rPr>
        <w:rFonts w:cs="Times New Roman" w:hint="default"/>
      </w:rPr>
    </w:lvl>
    <w:lvl w:ilvl="1" w:tplc="4D263FF8">
      <w:start w:val="1"/>
      <w:numFmt w:val="bullet"/>
      <w:lvlText w:val=""/>
      <w:lvlJc w:val="left"/>
      <w:pPr>
        <w:tabs>
          <w:tab w:val="num" w:pos="1440"/>
        </w:tabs>
        <w:ind w:left="1440" w:hanging="360"/>
      </w:pPr>
      <w:rPr>
        <w:rFonts w:ascii="Wingdings" w:hAnsi="Wingding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FEE2A02"/>
    <w:multiLevelType w:val="multilevel"/>
    <w:tmpl w:val="3EE2E83E"/>
    <w:lvl w:ilvl="0">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1CD007E"/>
    <w:multiLevelType w:val="hybridMultilevel"/>
    <w:tmpl w:val="FC0C11C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22DF723B"/>
    <w:multiLevelType w:val="multilevel"/>
    <w:tmpl w:val="42ECDCCE"/>
    <w:lvl w:ilvl="0">
      <w:start w:val="1"/>
      <w:numFmt w:val="decimal"/>
      <w:lvlText w:val="%1."/>
      <w:lvlJc w:val="left"/>
      <w:pPr>
        <w:tabs>
          <w:tab w:val="num" w:pos="1047"/>
        </w:tabs>
        <w:ind w:left="1047" w:hanging="360"/>
      </w:pPr>
    </w:lvl>
    <w:lvl w:ilvl="1">
      <w:start w:val="1"/>
      <w:numFmt w:val="decimal"/>
      <w:lvlText w:val="%2."/>
      <w:lvlJc w:val="left"/>
      <w:pPr>
        <w:tabs>
          <w:tab w:val="num" w:pos="1767"/>
        </w:tabs>
        <w:ind w:left="1767" w:hanging="360"/>
      </w:pPr>
    </w:lvl>
    <w:lvl w:ilvl="2">
      <w:start w:val="1"/>
      <w:numFmt w:val="decimal"/>
      <w:lvlText w:val="%3."/>
      <w:lvlJc w:val="left"/>
      <w:pPr>
        <w:tabs>
          <w:tab w:val="num" w:pos="2487"/>
        </w:tabs>
        <w:ind w:left="2487" w:hanging="360"/>
      </w:pPr>
    </w:lvl>
    <w:lvl w:ilvl="3">
      <w:start w:val="1"/>
      <w:numFmt w:val="decimal"/>
      <w:lvlText w:val="%4."/>
      <w:lvlJc w:val="left"/>
      <w:pPr>
        <w:tabs>
          <w:tab w:val="num" w:pos="3207"/>
        </w:tabs>
        <w:ind w:left="3207" w:hanging="360"/>
      </w:pPr>
    </w:lvl>
    <w:lvl w:ilvl="4">
      <w:start w:val="1"/>
      <w:numFmt w:val="decimal"/>
      <w:lvlText w:val="%5."/>
      <w:lvlJc w:val="left"/>
      <w:pPr>
        <w:tabs>
          <w:tab w:val="num" w:pos="3927"/>
        </w:tabs>
        <w:ind w:left="3927" w:hanging="360"/>
      </w:pPr>
    </w:lvl>
    <w:lvl w:ilvl="5">
      <w:start w:val="1"/>
      <w:numFmt w:val="decimal"/>
      <w:lvlText w:val="%6."/>
      <w:lvlJc w:val="left"/>
      <w:pPr>
        <w:tabs>
          <w:tab w:val="num" w:pos="4647"/>
        </w:tabs>
        <w:ind w:left="4647" w:hanging="360"/>
      </w:pPr>
    </w:lvl>
    <w:lvl w:ilvl="6">
      <w:start w:val="1"/>
      <w:numFmt w:val="decimal"/>
      <w:lvlText w:val="%7."/>
      <w:lvlJc w:val="left"/>
      <w:pPr>
        <w:tabs>
          <w:tab w:val="num" w:pos="5367"/>
        </w:tabs>
        <w:ind w:left="5367" w:hanging="360"/>
      </w:pPr>
    </w:lvl>
    <w:lvl w:ilvl="7">
      <w:start w:val="1"/>
      <w:numFmt w:val="decimal"/>
      <w:lvlText w:val="%8."/>
      <w:lvlJc w:val="left"/>
      <w:pPr>
        <w:tabs>
          <w:tab w:val="num" w:pos="6087"/>
        </w:tabs>
        <w:ind w:left="6087" w:hanging="360"/>
      </w:pPr>
    </w:lvl>
    <w:lvl w:ilvl="8">
      <w:start w:val="1"/>
      <w:numFmt w:val="decimal"/>
      <w:lvlText w:val="%9."/>
      <w:lvlJc w:val="left"/>
      <w:pPr>
        <w:tabs>
          <w:tab w:val="num" w:pos="6807"/>
        </w:tabs>
        <w:ind w:left="6807" w:hanging="360"/>
      </w:pPr>
    </w:lvl>
  </w:abstractNum>
  <w:abstractNum w:abstractNumId="8" w15:restartNumberingAfterBreak="0">
    <w:nsid w:val="25E86603"/>
    <w:multiLevelType w:val="hybridMultilevel"/>
    <w:tmpl w:val="40CE8F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9D6C8D"/>
    <w:multiLevelType w:val="hybridMultilevel"/>
    <w:tmpl w:val="DD34BEF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3A446CD"/>
    <w:multiLevelType w:val="hybridMultilevel"/>
    <w:tmpl w:val="A036BC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92A41E7"/>
    <w:multiLevelType w:val="hybridMultilevel"/>
    <w:tmpl w:val="1F5C7EEA"/>
    <w:lvl w:ilvl="0" w:tplc="680E46FE">
      <w:start w:val="1"/>
      <w:numFmt w:val="decimal"/>
      <w:lvlText w:val="%1."/>
      <w:lvlJc w:val="left"/>
      <w:pPr>
        <w:tabs>
          <w:tab w:val="num" w:pos="360"/>
        </w:tabs>
        <w:ind w:left="36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A8B1EDD"/>
    <w:multiLevelType w:val="hybridMultilevel"/>
    <w:tmpl w:val="95FA285E"/>
    <w:lvl w:ilvl="0" w:tplc="0415000F">
      <w:start w:val="1"/>
      <w:numFmt w:val="decimal"/>
      <w:lvlText w:val="%1."/>
      <w:lvlJc w:val="left"/>
      <w:pPr>
        <w:tabs>
          <w:tab w:val="num" w:pos="1047"/>
        </w:tabs>
        <w:ind w:left="1047" w:hanging="360"/>
      </w:pPr>
    </w:lvl>
    <w:lvl w:ilvl="1" w:tplc="04150019" w:tentative="1">
      <w:start w:val="1"/>
      <w:numFmt w:val="lowerLetter"/>
      <w:lvlText w:val="%2."/>
      <w:lvlJc w:val="left"/>
      <w:pPr>
        <w:tabs>
          <w:tab w:val="num" w:pos="1767"/>
        </w:tabs>
        <w:ind w:left="1767" w:hanging="360"/>
      </w:pPr>
    </w:lvl>
    <w:lvl w:ilvl="2" w:tplc="0415001B" w:tentative="1">
      <w:start w:val="1"/>
      <w:numFmt w:val="lowerRoman"/>
      <w:lvlText w:val="%3."/>
      <w:lvlJc w:val="right"/>
      <w:pPr>
        <w:tabs>
          <w:tab w:val="num" w:pos="2487"/>
        </w:tabs>
        <w:ind w:left="2487" w:hanging="180"/>
      </w:pPr>
    </w:lvl>
    <w:lvl w:ilvl="3" w:tplc="0415000F" w:tentative="1">
      <w:start w:val="1"/>
      <w:numFmt w:val="decimal"/>
      <w:lvlText w:val="%4."/>
      <w:lvlJc w:val="left"/>
      <w:pPr>
        <w:tabs>
          <w:tab w:val="num" w:pos="3207"/>
        </w:tabs>
        <w:ind w:left="3207" w:hanging="360"/>
      </w:pPr>
    </w:lvl>
    <w:lvl w:ilvl="4" w:tplc="04150019" w:tentative="1">
      <w:start w:val="1"/>
      <w:numFmt w:val="lowerLetter"/>
      <w:lvlText w:val="%5."/>
      <w:lvlJc w:val="left"/>
      <w:pPr>
        <w:tabs>
          <w:tab w:val="num" w:pos="3927"/>
        </w:tabs>
        <w:ind w:left="3927" w:hanging="360"/>
      </w:pPr>
    </w:lvl>
    <w:lvl w:ilvl="5" w:tplc="0415001B" w:tentative="1">
      <w:start w:val="1"/>
      <w:numFmt w:val="lowerRoman"/>
      <w:lvlText w:val="%6."/>
      <w:lvlJc w:val="right"/>
      <w:pPr>
        <w:tabs>
          <w:tab w:val="num" w:pos="4647"/>
        </w:tabs>
        <w:ind w:left="4647" w:hanging="180"/>
      </w:pPr>
    </w:lvl>
    <w:lvl w:ilvl="6" w:tplc="0415000F" w:tentative="1">
      <w:start w:val="1"/>
      <w:numFmt w:val="decimal"/>
      <w:lvlText w:val="%7."/>
      <w:lvlJc w:val="left"/>
      <w:pPr>
        <w:tabs>
          <w:tab w:val="num" w:pos="5367"/>
        </w:tabs>
        <w:ind w:left="5367" w:hanging="360"/>
      </w:pPr>
    </w:lvl>
    <w:lvl w:ilvl="7" w:tplc="04150019" w:tentative="1">
      <w:start w:val="1"/>
      <w:numFmt w:val="lowerLetter"/>
      <w:lvlText w:val="%8."/>
      <w:lvlJc w:val="left"/>
      <w:pPr>
        <w:tabs>
          <w:tab w:val="num" w:pos="6087"/>
        </w:tabs>
        <w:ind w:left="6087" w:hanging="360"/>
      </w:pPr>
    </w:lvl>
    <w:lvl w:ilvl="8" w:tplc="0415001B" w:tentative="1">
      <w:start w:val="1"/>
      <w:numFmt w:val="lowerRoman"/>
      <w:lvlText w:val="%9."/>
      <w:lvlJc w:val="right"/>
      <w:pPr>
        <w:tabs>
          <w:tab w:val="num" w:pos="6807"/>
        </w:tabs>
        <w:ind w:left="6807" w:hanging="180"/>
      </w:pPr>
    </w:lvl>
  </w:abstractNum>
  <w:abstractNum w:abstractNumId="13" w15:restartNumberingAfterBreak="0">
    <w:nsid w:val="3B65511A"/>
    <w:multiLevelType w:val="hybridMultilevel"/>
    <w:tmpl w:val="4CAA9CB6"/>
    <w:lvl w:ilvl="0" w:tplc="C79E83AC">
      <w:start w:val="1"/>
      <w:numFmt w:val="bullet"/>
      <w:lvlText w:val=""/>
      <w:lvlJc w:val="left"/>
      <w:pPr>
        <w:tabs>
          <w:tab w:val="num" w:pos="1077"/>
        </w:tabs>
        <w:ind w:left="1077" w:hanging="360"/>
      </w:pPr>
      <w:rPr>
        <w:rFonts w:ascii="Symbol" w:hAnsi="Symbol" w:hint="default"/>
      </w:rPr>
    </w:lvl>
    <w:lvl w:ilvl="1" w:tplc="04150003" w:tentative="1">
      <w:start w:val="1"/>
      <w:numFmt w:val="bullet"/>
      <w:lvlText w:val="o"/>
      <w:lvlJc w:val="left"/>
      <w:pPr>
        <w:tabs>
          <w:tab w:val="num" w:pos="1797"/>
        </w:tabs>
        <w:ind w:left="1797" w:hanging="360"/>
      </w:pPr>
      <w:rPr>
        <w:rFonts w:ascii="Courier New" w:hAnsi="Courier New" w:cs="Courier New" w:hint="default"/>
      </w:rPr>
    </w:lvl>
    <w:lvl w:ilvl="2" w:tplc="04150005" w:tentative="1">
      <w:start w:val="1"/>
      <w:numFmt w:val="bullet"/>
      <w:lvlText w:val=""/>
      <w:lvlJc w:val="left"/>
      <w:pPr>
        <w:tabs>
          <w:tab w:val="num" w:pos="2517"/>
        </w:tabs>
        <w:ind w:left="2517" w:hanging="360"/>
      </w:pPr>
      <w:rPr>
        <w:rFonts w:ascii="Wingdings" w:hAnsi="Wingdings" w:hint="default"/>
      </w:rPr>
    </w:lvl>
    <w:lvl w:ilvl="3" w:tplc="04150001" w:tentative="1">
      <w:start w:val="1"/>
      <w:numFmt w:val="bullet"/>
      <w:lvlText w:val=""/>
      <w:lvlJc w:val="left"/>
      <w:pPr>
        <w:tabs>
          <w:tab w:val="num" w:pos="3237"/>
        </w:tabs>
        <w:ind w:left="3237" w:hanging="360"/>
      </w:pPr>
      <w:rPr>
        <w:rFonts w:ascii="Symbol" w:hAnsi="Symbol" w:hint="default"/>
      </w:rPr>
    </w:lvl>
    <w:lvl w:ilvl="4" w:tplc="04150003" w:tentative="1">
      <w:start w:val="1"/>
      <w:numFmt w:val="bullet"/>
      <w:lvlText w:val="o"/>
      <w:lvlJc w:val="left"/>
      <w:pPr>
        <w:tabs>
          <w:tab w:val="num" w:pos="3957"/>
        </w:tabs>
        <w:ind w:left="3957" w:hanging="360"/>
      </w:pPr>
      <w:rPr>
        <w:rFonts w:ascii="Courier New" w:hAnsi="Courier New" w:cs="Courier New" w:hint="default"/>
      </w:rPr>
    </w:lvl>
    <w:lvl w:ilvl="5" w:tplc="04150005" w:tentative="1">
      <w:start w:val="1"/>
      <w:numFmt w:val="bullet"/>
      <w:lvlText w:val=""/>
      <w:lvlJc w:val="left"/>
      <w:pPr>
        <w:tabs>
          <w:tab w:val="num" w:pos="4677"/>
        </w:tabs>
        <w:ind w:left="4677" w:hanging="360"/>
      </w:pPr>
      <w:rPr>
        <w:rFonts w:ascii="Wingdings" w:hAnsi="Wingdings" w:hint="default"/>
      </w:rPr>
    </w:lvl>
    <w:lvl w:ilvl="6" w:tplc="04150001" w:tentative="1">
      <w:start w:val="1"/>
      <w:numFmt w:val="bullet"/>
      <w:lvlText w:val=""/>
      <w:lvlJc w:val="left"/>
      <w:pPr>
        <w:tabs>
          <w:tab w:val="num" w:pos="5397"/>
        </w:tabs>
        <w:ind w:left="5397" w:hanging="360"/>
      </w:pPr>
      <w:rPr>
        <w:rFonts w:ascii="Symbol" w:hAnsi="Symbol" w:hint="default"/>
      </w:rPr>
    </w:lvl>
    <w:lvl w:ilvl="7" w:tplc="04150003" w:tentative="1">
      <w:start w:val="1"/>
      <w:numFmt w:val="bullet"/>
      <w:lvlText w:val="o"/>
      <w:lvlJc w:val="left"/>
      <w:pPr>
        <w:tabs>
          <w:tab w:val="num" w:pos="6117"/>
        </w:tabs>
        <w:ind w:left="6117" w:hanging="360"/>
      </w:pPr>
      <w:rPr>
        <w:rFonts w:ascii="Courier New" w:hAnsi="Courier New" w:cs="Courier New" w:hint="default"/>
      </w:rPr>
    </w:lvl>
    <w:lvl w:ilvl="8" w:tplc="04150005" w:tentative="1">
      <w:start w:val="1"/>
      <w:numFmt w:val="bullet"/>
      <w:lvlText w:val=""/>
      <w:lvlJc w:val="left"/>
      <w:pPr>
        <w:tabs>
          <w:tab w:val="num" w:pos="6837"/>
        </w:tabs>
        <w:ind w:left="6837" w:hanging="360"/>
      </w:pPr>
      <w:rPr>
        <w:rFonts w:ascii="Wingdings" w:hAnsi="Wingdings" w:hint="default"/>
      </w:rPr>
    </w:lvl>
  </w:abstractNum>
  <w:abstractNum w:abstractNumId="14" w15:restartNumberingAfterBreak="0">
    <w:nsid w:val="41FB05F7"/>
    <w:multiLevelType w:val="hybridMultilevel"/>
    <w:tmpl w:val="F09AFB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6E5730E"/>
    <w:multiLevelType w:val="hybridMultilevel"/>
    <w:tmpl w:val="3C7829F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7414353"/>
    <w:multiLevelType w:val="hybridMultilevel"/>
    <w:tmpl w:val="224AE50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496D2104"/>
    <w:multiLevelType w:val="hybridMultilevel"/>
    <w:tmpl w:val="1D7445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9BE361A"/>
    <w:multiLevelType w:val="hybridMultilevel"/>
    <w:tmpl w:val="3AE85FAA"/>
    <w:lvl w:ilvl="0" w:tplc="04150011">
      <w:start w:val="1"/>
      <w:numFmt w:val="decimal"/>
      <w:lvlText w:val="%1)"/>
      <w:lvlJc w:val="left"/>
      <w:pPr>
        <w:tabs>
          <w:tab w:val="num" w:pos="1047"/>
        </w:tabs>
        <w:ind w:left="1047" w:hanging="360"/>
      </w:pPr>
    </w:lvl>
    <w:lvl w:ilvl="1" w:tplc="04150019">
      <w:start w:val="1"/>
      <w:numFmt w:val="decimal"/>
      <w:lvlText w:val="%2."/>
      <w:lvlJc w:val="left"/>
      <w:pPr>
        <w:tabs>
          <w:tab w:val="num" w:pos="1767"/>
        </w:tabs>
        <w:ind w:left="1767" w:hanging="360"/>
      </w:pPr>
    </w:lvl>
    <w:lvl w:ilvl="2" w:tplc="0415001B">
      <w:start w:val="1"/>
      <w:numFmt w:val="decimal"/>
      <w:lvlText w:val="%3."/>
      <w:lvlJc w:val="left"/>
      <w:pPr>
        <w:tabs>
          <w:tab w:val="num" w:pos="2487"/>
        </w:tabs>
        <w:ind w:left="2487" w:hanging="360"/>
      </w:pPr>
    </w:lvl>
    <w:lvl w:ilvl="3" w:tplc="0415000F">
      <w:start w:val="1"/>
      <w:numFmt w:val="decimal"/>
      <w:lvlText w:val="%4."/>
      <w:lvlJc w:val="left"/>
      <w:pPr>
        <w:tabs>
          <w:tab w:val="num" w:pos="3207"/>
        </w:tabs>
        <w:ind w:left="3207" w:hanging="360"/>
      </w:pPr>
    </w:lvl>
    <w:lvl w:ilvl="4" w:tplc="04150019">
      <w:start w:val="1"/>
      <w:numFmt w:val="decimal"/>
      <w:lvlText w:val="%5."/>
      <w:lvlJc w:val="left"/>
      <w:pPr>
        <w:tabs>
          <w:tab w:val="num" w:pos="3927"/>
        </w:tabs>
        <w:ind w:left="3927" w:hanging="360"/>
      </w:pPr>
    </w:lvl>
    <w:lvl w:ilvl="5" w:tplc="0415001B">
      <w:start w:val="1"/>
      <w:numFmt w:val="decimal"/>
      <w:lvlText w:val="%6."/>
      <w:lvlJc w:val="left"/>
      <w:pPr>
        <w:tabs>
          <w:tab w:val="num" w:pos="4647"/>
        </w:tabs>
        <w:ind w:left="4647" w:hanging="360"/>
      </w:pPr>
    </w:lvl>
    <w:lvl w:ilvl="6" w:tplc="0415000F">
      <w:start w:val="1"/>
      <w:numFmt w:val="decimal"/>
      <w:lvlText w:val="%7."/>
      <w:lvlJc w:val="left"/>
      <w:pPr>
        <w:tabs>
          <w:tab w:val="num" w:pos="5367"/>
        </w:tabs>
        <w:ind w:left="5367" w:hanging="360"/>
      </w:pPr>
    </w:lvl>
    <w:lvl w:ilvl="7" w:tplc="04150019">
      <w:start w:val="1"/>
      <w:numFmt w:val="decimal"/>
      <w:lvlText w:val="%8."/>
      <w:lvlJc w:val="left"/>
      <w:pPr>
        <w:tabs>
          <w:tab w:val="num" w:pos="6087"/>
        </w:tabs>
        <w:ind w:left="6087" w:hanging="360"/>
      </w:pPr>
    </w:lvl>
    <w:lvl w:ilvl="8" w:tplc="0415001B">
      <w:start w:val="1"/>
      <w:numFmt w:val="decimal"/>
      <w:lvlText w:val="%9."/>
      <w:lvlJc w:val="left"/>
      <w:pPr>
        <w:tabs>
          <w:tab w:val="num" w:pos="6807"/>
        </w:tabs>
        <w:ind w:left="6807" w:hanging="360"/>
      </w:pPr>
    </w:lvl>
  </w:abstractNum>
  <w:abstractNum w:abstractNumId="19" w15:restartNumberingAfterBreak="0">
    <w:nsid w:val="51461DEA"/>
    <w:multiLevelType w:val="hybridMultilevel"/>
    <w:tmpl w:val="80049DC2"/>
    <w:lvl w:ilvl="0" w:tplc="C79E83AC">
      <w:start w:val="1"/>
      <w:numFmt w:val="bullet"/>
      <w:lvlText w:val=""/>
      <w:lvlJc w:val="left"/>
      <w:pPr>
        <w:tabs>
          <w:tab w:val="num" w:pos="1077"/>
        </w:tabs>
        <w:ind w:left="1077" w:hanging="360"/>
      </w:pPr>
      <w:rPr>
        <w:rFonts w:ascii="Symbol" w:hAnsi="Symbol" w:hint="default"/>
      </w:rPr>
    </w:lvl>
    <w:lvl w:ilvl="1" w:tplc="04150003" w:tentative="1">
      <w:start w:val="1"/>
      <w:numFmt w:val="bullet"/>
      <w:lvlText w:val="o"/>
      <w:lvlJc w:val="left"/>
      <w:pPr>
        <w:tabs>
          <w:tab w:val="num" w:pos="1797"/>
        </w:tabs>
        <w:ind w:left="1797" w:hanging="360"/>
      </w:pPr>
      <w:rPr>
        <w:rFonts w:ascii="Courier New" w:hAnsi="Courier New" w:cs="Courier New" w:hint="default"/>
      </w:rPr>
    </w:lvl>
    <w:lvl w:ilvl="2" w:tplc="04150005" w:tentative="1">
      <w:start w:val="1"/>
      <w:numFmt w:val="bullet"/>
      <w:lvlText w:val=""/>
      <w:lvlJc w:val="left"/>
      <w:pPr>
        <w:tabs>
          <w:tab w:val="num" w:pos="2517"/>
        </w:tabs>
        <w:ind w:left="2517" w:hanging="360"/>
      </w:pPr>
      <w:rPr>
        <w:rFonts w:ascii="Wingdings" w:hAnsi="Wingdings" w:hint="default"/>
      </w:rPr>
    </w:lvl>
    <w:lvl w:ilvl="3" w:tplc="04150001" w:tentative="1">
      <w:start w:val="1"/>
      <w:numFmt w:val="bullet"/>
      <w:lvlText w:val=""/>
      <w:lvlJc w:val="left"/>
      <w:pPr>
        <w:tabs>
          <w:tab w:val="num" w:pos="3237"/>
        </w:tabs>
        <w:ind w:left="3237" w:hanging="360"/>
      </w:pPr>
      <w:rPr>
        <w:rFonts w:ascii="Symbol" w:hAnsi="Symbol" w:hint="default"/>
      </w:rPr>
    </w:lvl>
    <w:lvl w:ilvl="4" w:tplc="04150003" w:tentative="1">
      <w:start w:val="1"/>
      <w:numFmt w:val="bullet"/>
      <w:lvlText w:val="o"/>
      <w:lvlJc w:val="left"/>
      <w:pPr>
        <w:tabs>
          <w:tab w:val="num" w:pos="3957"/>
        </w:tabs>
        <w:ind w:left="3957" w:hanging="360"/>
      </w:pPr>
      <w:rPr>
        <w:rFonts w:ascii="Courier New" w:hAnsi="Courier New" w:cs="Courier New" w:hint="default"/>
      </w:rPr>
    </w:lvl>
    <w:lvl w:ilvl="5" w:tplc="04150005" w:tentative="1">
      <w:start w:val="1"/>
      <w:numFmt w:val="bullet"/>
      <w:lvlText w:val=""/>
      <w:lvlJc w:val="left"/>
      <w:pPr>
        <w:tabs>
          <w:tab w:val="num" w:pos="4677"/>
        </w:tabs>
        <w:ind w:left="4677" w:hanging="360"/>
      </w:pPr>
      <w:rPr>
        <w:rFonts w:ascii="Wingdings" w:hAnsi="Wingdings" w:hint="default"/>
      </w:rPr>
    </w:lvl>
    <w:lvl w:ilvl="6" w:tplc="04150001" w:tentative="1">
      <w:start w:val="1"/>
      <w:numFmt w:val="bullet"/>
      <w:lvlText w:val=""/>
      <w:lvlJc w:val="left"/>
      <w:pPr>
        <w:tabs>
          <w:tab w:val="num" w:pos="5397"/>
        </w:tabs>
        <w:ind w:left="5397" w:hanging="360"/>
      </w:pPr>
      <w:rPr>
        <w:rFonts w:ascii="Symbol" w:hAnsi="Symbol" w:hint="default"/>
      </w:rPr>
    </w:lvl>
    <w:lvl w:ilvl="7" w:tplc="04150003" w:tentative="1">
      <w:start w:val="1"/>
      <w:numFmt w:val="bullet"/>
      <w:lvlText w:val="o"/>
      <w:lvlJc w:val="left"/>
      <w:pPr>
        <w:tabs>
          <w:tab w:val="num" w:pos="6117"/>
        </w:tabs>
        <w:ind w:left="6117" w:hanging="360"/>
      </w:pPr>
      <w:rPr>
        <w:rFonts w:ascii="Courier New" w:hAnsi="Courier New" w:cs="Courier New" w:hint="default"/>
      </w:rPr>
    </w:lvl>
    <w:lvl w:ilvl="8" w:tplc="04150005" w:tentative="1">
      <w:start w:val="1"/>
      <w:numFmt w:val="bullet"/>
      <w:lvlText w:val=""/>
      <w:lvlJc w:val="left"/>
      <w:pPr>
        <w:tabs>
          <w:tab w:val="num" w:pos="6837"/>
        </w:tabs>
        <w:ind w:left="6837" w:hanging="360"/>
      </w:pPr>
      <w:rPr>
        <w:rFonts w:ascii="Wingdings" w:hAnsi="Wingdings" w:hint="default"/>
      </w:rPr>
    </w:lvl>
  </w:abstractNum>
  <w:abstractNum w:abstractNumId="20" w15:restartNumberingAfterBreak="0">
    <w:nsid w:val="59863083"/>
    <w:multiLevelType w:val="hybridMultilevel"/>
    <w:tmpl w:val="B28ADCD0"/>
    <w:lvl w:ilvl="0" w:tplc="69624922">
      <w:start w:val="1"/>
      <w:numFmt w:val="bullet"/>
      <w:lvlText w:val=""/>
      <w:lvlJc w:val="left"/>
      <w:pPr>
        <w:tabs>
          <w:tab w:val="num" w:pos="780"/>
        </w:tabs>
        <w:ind w:left="78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5DBB20EB"/>
    <w:multiLevelType w:val="hybridMultilevel"/>
    <w:tmpl w:val="10E6B354"/>
    <w:lvl w:ilvl="0" w:tplc="FF5892AC">
      <w:start w:val="1"/>
      <w:numFmt w:val="bullet"/>
      <w:lvlText w:val="-"/>
      <w:lvlJc w:val="left"/>
      <w:pPr>
        <w:tabs>
          <w:tab w:val="num" w:pos="1080"/>
        </w:tabs>
        <w:ind w:left="1080" w:hanging="360"/>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0417BAC"/>
    <w:multiLevelType w:val="hybridMultilevel"/>
    <w:tmpl w:val="7ACED012"/>
    <w:lvl w:ilvl="0" w:tplc="69624922">
      <w:start w:val="1"/>
      <w:numFmt w:val="bullet"/>
      <w:lvlText w:val=""/>
      <w:lvlJc w:val="left"/>
      <w:pPr>
        <w:tabs>
          <w:tab w:val="num" w:pos="1140"/>
        </w:tabs>
        <w:ind w:left="1140" w:hanging="360"/>
      </w:pPr>
      <w:rPr>
        <w:rFonts w:ascii="Symbol" w:hAnsi="Symbol" w:hint="default"/>
      </w:rPr>
    </w:lvl>
    <w:lvl w:ilvl="1" w:tplc="04150003" w:tentative="1">
      <w:start w:val="1"/>
      <w:numFmt w:val="bullet"/>
      <w:lvlText w:val="o"/>
      <w:lvlJc w:val="left"/>
      <w:pPr>
        <w:tabs>
          <w:tab w:val="num" w:pos="1860"/>
        </w:tabs>
        <w:ind w:left="1860" w:hanging="360"/>
      </w:pPr>
      <w:rPr>
        <w:rFonts w:ascii="Courier New" w:hAnsi="Courier New" w:cs="Courier New" w:hint="default"/>
      </w:rPr>
    </w:lvl>
    <w:lvl w:ilvl="2" w:tplc="04150005" w:tentative="1">
      <w:start w:val="1"/>
      <w:numFmt w:val="bullet"/>
      <w:lvlText w:val=""/>
      <w:lvlJc w:val="left"/>
      <w:pPr>
        <w:tabs>
          <w:tab w:val="num" w:pos="2580"/>
        </w:tabs>
        <w:ind w:left="2580" w:hanging="360"/>
      </w:pPr>
      <w:rPr>
        <w:rFonts w:ascii="Wingdings" w:hAnsi="Wingdings" w:hint="default"/>
      </w:rPr>
    </w:lvl>
    <w:lvl w:ilvl="3" w:tplc="04150001" w:tentative="1">
      <w:start w:val="1"/>
      <w:numFmt w:val="bullet"/>
      <w:lvlText w:val=""/>
      <w:lvlJc w:val="left"/>
      <w:pPr>
        <w:tabs>
          <w:tab w:val="num" w:pos="3300"/>
        </w:tabs>
        <w:ind w:left="3300" w:hanging="360"/>
      </w:pPr>
      <w:rPr>
        <w:rFonts w:ascii="Symbol" w:hAnsi="Symbol" w:hint="default"/>
      </w:rPr>
    </w:lvl>
    <w:lvl w:ilvl="4" w:tplc="04150003" w:tentative="1">
      <w:start w:val="1"/>
      <w:numFmt w:val="bullet"/>
      <w:lvlText w:val="o"/>
      <w:lvlJc w:val="left"/>
      <w:pPr>
        <w:tabs>
          <w:tab w:val="num" w:pos="4020"/>
        </w:tabs>
        <w:ind w:left="4020" w:hanging="360"/>
      </w:pPr>
      <w:rPr>
        <w:rFonts w:ascii="Courier New" w:hAnsi="Courier New" w:cs="Courier New" w:hint="default"/>
      </w:rPr>
    </w:lvl>
    <w:lvl w:ilvl="5" w:tplc="04150005" w:tentative="1">
      <w:start w:val="1"/>
      <w:numFmt w:val="bullet"/>
      <w:lvlText w:val=""/>
      <w:lvlJc w:val="left"/>
      <w:pPr>
        <w:tabs>
          <w:tab w:val="num" w:pos="4740"/>
        </w:tabs>
        <w:ind w:left="4740" w:hanging="360"/>
      </w:pPr>
      <w:rPr>
        <w:rFonts w:ascii="Wingdings" w:hAnsi="Wingdings" w:hint="default"/>
      </w:rPr>
    </w:lvl>
    <w:lvl w:ilvl="6" w:tplc="04150001" w:tentative="1">
      <w:start w:val="1"/>
      <w:numFmt w:val="bullet"/>
      <w:lvlText w:val=""/>
      <w:lvlJc w:val="left"/>
      <w:pPr>
        <w:tabs>
          <w:tab w:val="num" w:pos="5460"/>
        </w:tabs>
        <w:ind w:left="5460" w:hanging="360"/>
      </w:pPr>
      <w:rPr>
        <w:rFonts w:ascii="Symbol" w:hAnsi="Symbol" w:hint="default"/>
      </w:rPr>
    </w:lvl>
    <w:lvl w:ilvl="7" w:tplc="04150003" w:tentative="1">
      <w:start w:val="1"/>
      <w:numFmt w:val="bullet"/>
      <w:lvlText w:val="o"/>
      <w:lvlJc w:val="left"/>
      <w:pPr>
        <w:tabs>
          <w:tab w:val="num" w:pos="6180"/>
        </w:tabs>
        <w:ind w:left="6180" w:hanging="360"/>
      </w:pPr>
      <w:rPr>
        <w:rFonts w:ascii="Courier New" w:hAnsi="Courier New" w:cs="Courier New" w:hint="default"/>
      </w:rPr>
    </w:lvl>
    <w:lvl w:ilvl="8" w:tplc="04150005" w:tentative="1">
      <w:start w:val="1"/>
      <w:numFmt w:val="bullet"/>
      <w:lvlText w:val=""/>
      <w:lvlJc w:val="left"/>
      <w:pPr>
        <w:tabs>
          <w:tab w:val="num" w:pos="6900"/>
        </w:tabs>
        <w:ind w:left="6900" w:hanging="360"/>
      </w:pPr>
      <w:rPr>
        <w:rFonts w:ascii="Wingdings" w:hAnsi="Wingdings" w:hint="default"/>
      </w:rPr>
    </w:lvl>
  </w:abstractNum>
  <w:abstractNum w:abstractNumId="23" w15:restartNumberingAfterBreak="0">
    <w:nsid w:val="61DD2B62"/>
    <w:multiLevelType w:val="hybridMultilevel"/>
    <w:tmpl w:val="9CBC53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2C56F97"/>
    <w:multiLevelType w:val="hybridMultilevel"/>
    <w:tmpl w:val="07FCC908"/>
    <w:lvl w:ilvl="0" w:tplc="04150017">
      <w:start w:val="1"/>
      <w:numFmt w:val="lowerLetter"/>
      <w:lvlText w:val="%1)"/>
      <w:lvlJc w:val="left"/>
      <w:pPr>
        <w:ind w:left="780" w:hanging="360"/>
      </w:pPr>
    </w:lvl>
    <w:lvl w:ilvl="1" w:tplc="04150019" w:tentative="1">
      <w:start w:val="1"/>
      <w:numFmt w:val="lowerLetter"/>
      <w:lvlText w:val="%2."/>
      <w:lvlJc w:val="left"/>
      <w:pPr>
        <w:tabs>
          <w:tab w:val="num" w:pos="1860"/>
        </w:tabs>
        <w:ind w:left="1860" w:hanging="360"/>
      </w:pPr>
    </w:lvl>
    <w:lvl w:ilvl="2" w:tplc="0415001B" w:tentative="1">
      <w:start w:val="1"/>
      <w:numFmt w:val="lowerRoman"/>
      <w:lvlText w:val="%3."/>
      <w:lvlJc w:val="right"/>
      <w:pPr>
        <w:tabs>
          <w:tab w:val="num" w:pos="2580"/>
        </w:tabs>
        <w:ind w:left="2580" w:hanging="180"/>
      </w:pPr>
    </w:lvl>
    <w:lvl w:ilvl="3" w:tplc="0415000F" w:tentative="1">
      <w:start w:val="1"/>
      <w:numFmt w:val="decimal"/>
      <w:lvlText w:val="%4."/>
      <w:lvlJc w:val="left"/>
      <w:pPr>
        <w:tabs>
          <w:tab w:val="num" w:pos="3300"/>
        </w:tabs>
        <w:ind w:left="3300" w:hanging="360"/>
      </w:pPr>
    </w:lvl>
    <w:lvl w:ilvl="4" w:tplc="04150019" w:tentative="1">
      <w:start w:val="1"/>
      <w:numFmt w:val="lowerLetter"/>
      <w:lvlText w:val="%5."/>
      <w:lvlJc w:val="left"/>
      <w:pPr>
        <w:tabs>
          <w:tab w:val="num" w:pos="4020"/>
        </w:tabs>
        <w:ind w:left="4020" w:hanging="360"/>
      </w:pPr>
    </w:lvl>
    <w:lvl w:ilvl="5" w:tplc="0415001B" w:tentative="1">
      <w:start w:val="1"/>
      <w:numFmt w:val="lowerRoman"/>
      <w:lvlText w:val="%6."/>
      <w:lvlJc w:val="right"/>
      <w:pPr>
        <w:tabs>
          <w:tab w:val="num" w:pos="4740"/>
        </w:tabs>
        <w:ind w:left="4740" w:hanging="180"/>
      </w:pPr>
    </w:lvl>
    <w:lvl w:ilvl="6" w:tplc="0415000F" w:tentative="1">
      <w:start w:val="1"/>
      <w:numFmt w:val="decimal"/>
      <w:lvlText w:val="%7."/>
      <w:lvlJc w:val="left"/>
      <w:pPr>
        <w:tabs>
          <w:tab w:val="num" w:pos="5460"/>
        </w:tabs>
        <w:ind w:left="5460" w:hanging="360"/>
      </w:pPr>
    </w:lvl>
    <w:lvl w:ilvl="7" w:tplc="04150019" w:tentative="1">
      <w:start w:val="1"/>
      <w:numFmt w:val="lowerLetter"/>
      <w:lvlText w:val="%8."/>
      <w:lvlJc w:val="left"/>
      <w:pPr>
        <w:tabs>
          <w:tab w:val="num" w:pos="6180"/>
        </w:tabs>
        <w:ind w:left="6180" w:hanging="360"/>
      </w:pPr>
    </w:lvl>
    <w:lvl w:ilvl="8" w:tplc="0415001B" w:tentative="1">
      <w:start w:val="1"/>
      <w:numFmt w:val="lowerRoman"/>
      <w:lvlText w:val="%9."/>
      <w:lvlJc w:val="right"/>
      <w:pPr>
        <w:tabs>
          <w:tab w:val="num" w:pos="6900"/>
        </w:tabs>
        <w:ind w:left="6900" w:hanging="180"/>
      </w:pPr>
    </w:lvl>
  </w:abstractNum>
  <w:abstractNum w:abstractNumId="25" w15:restartNumberingAfterBreak="0">
    <w:nsid w:val="6B091637"/>
    <w:multiLevelType w:val="hybridMultilevel"/>
    <w:tmpl w:val="40CE8F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FFD0546"/>
    <w:multiLevelType w:val="hybridMultilevel"/>
    <w:tmpl w:val="EFCC1B3A"/>
    <w:lvl w:ilvl="0" w:tplc="FF5892AC">
      <w:start w:val="1"/>
      <w:numFmt w:val="bullet"/>
      <w:lvlText w:val="-"/>
      <w:lvlJc w:val="left"/>
      <w:pPr>
        <w:tabs>
          <w:tab w:val="num" w:pos="1080"/>
        </w:tabs>
        <w:ind w:left="1080" w:hanging="360"/>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14B247B"/>
    <w:multiLevelType w:val="multilevel"/>
    <w:tmpl w:val="806C31F6"/>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7B164B50"/>
    <w:multiLevelType w:val="hybridMultilevel"/>
    <w:tmpl w:val="16C045B8"/>
    <w:lvl w:ilvl="0" w:tplc="FF5892AC">
      <w:start w:val="1"/>
      <w:numFmt w:val="bullet"/>
      <w:lvlText w:val="-"/>
      <w:lvlJc w:val="left"/>
      <w:pPr>
        <w:tabs>
          <w:tab w:val="num" w:pos="1080"/>
        </w:tabs>
        <w:ind w:left="1080" w:hanging="360"/>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0"/>
  </w:num>
  <w:num w:numId="3">
    <w:abstractNumId w:val="11"/>
  </w:num>
  <w:num w:numId="4">
    <w:abstractNumId w:val="23"/>
  </w:num>
  <w:num w:numId="5">
    <w:abstractNumId w:val="1"/>
  </w:num>
  <w:num w:numId="6">
    <w:abstractNumId w:val="9"/>
  </w:num>
  <w:num w:numId="7">
    <w:abstractNumId w:val="15"/>
  </w:num>
  <w:num w:numId="8">
    <w:abstractNumId w:val="5"/>
  </w:num>
  <w:num w:numId="9">
    <w:abstractNumId w:val="19"/>
  </w:num>
  <w:num w:numId="10">
    <w:abstractNumId w:val="13"/>
  </w:num>
  <w:num w:numId="11">
    <w:abstractNumId w:val="18"/>
  </w:num>
  <w:num w:numId="12">
    <w:abstractNumId w:val="2"/>
  </w:num>
  <w:num w:numId="13">
    <w:abstractNumId w:val="12"/>
  </w:num>
  <w:num w:numId="14">
    <w:abstractNumId w:val="24"/>
  </w:num>
  <w:num w:numId="15">
    <w:abstractNumId w:val="20"/>
  </w:num>
  <w:num w:numId="16">
    <w:abstractNumId w:val="22"/>
  </w:num>
  <w:num w:numId="17">
    <w:abstractNumId w:val="6"/>
  </w:num>
  <w:num w:numId="18">
    <w:abstractNumId w:val="26"/>
  </w:num>
  <w:num w:numId="19">
    <w:abstractNumId w:val="28"/>
  </w:num>
  <w:num w:numId="20">
    <w:abstractNumId w:val="21"/>
  </w:num>
  <w:num w:numId="21">
    <w:abstractNumId w:val="7"/>
  </w:num>
  <w:num w:numId="22">
    <w:abstractNumId w:val="27"/>
  </w:num>
  <w:num w:numId="23">
    <w:abstractNumId w:val="3"/>
  </w:num>
  <w:num w:numId="24">
    <w:abstractNumId w:val="16"/>
  </w:num>
  <w:num w:numId="25">
    <w:abstractNumId w:val="25"/>
  </w:num>
  <w:num w:numId="26">
    <w:abstractNumId w:val="8"/>
  </w:num>
  <w:num w:numId="27">
    <w:abstractNumId w:val="17"/>
  </w:num>
  <w:num w:numId="28">
    <w:abstractNumId w:val="14"/>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cumentProtection w:edit="forms" w:formatting="1" w:enforcement="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6CB"/>
    <w:rsid w:val="000008E5"/>
    <w:rsid w:val="000015EE"/>
    <w:rsid w:val="000022D5"/>
    <w:rsid w:val="00002A4B"/>
    <w:rsid w:val="00004C61"/>
    <w:rsid w:val="00004C6A"/>
    <w:rsid w:val="00005194"/>
    <w:rsid w:val="00012D11"/>
    <w:rsid w:val="00013E95"/>
    <w:rsid w:val="00013EB5"/>
    <w:rsid w:val="000165A9"/>
    <w:rsid w:val="00023836"/>
    <w:rsid w:val="00023C23"/>
    <w:rsid w:val="0002682A"/>
    <w:rsid w:val="0003215D"/>
    <w:rsid w:val="000356A9"/>
    <w:rsid w:val="000357D6"/>
    <w:rsid w:val="00042E91"/>
    <w:rsid w:val="000430B8"/>
    <w:rsid w:val="00044138"/>
    <w:rsid w:val="00044739"/>
    <w:rsid w:val="00046FC2"/>
    <w:rsid w:val="00051637"/>
    <w:rsid w:val="000528E6"/>
    <w:rsid w:val="000538C5"/>
    <w:rsid w:val="00054A55"/>
    <w:rsid w:val="00056681"/>
    <w:rsid w:val="0006177E"/>
    <w:rsid w:val="000648A7"/>
    <w:rsid w:val="00065673"/>
    <w:rsid w:val="0006618B"/>
    <w:rsid w:val="00066ECB"/>
    <w:rsid w:val="000670C0"/>
    <w:rsid w:val="00067388"/>
    <w:rsid w:val="00071B99"/>
    <w:rsid w:val="000756E5"/>
    <w:rsid w:val="0007704E"/>
    <w:rsid w:val="00080EC8"/>
    <w:rsid w:val="0008212B"/>
    <w:rsid w:val="000840F0"/>
    <w:rsid w:val="00091AE9"/>
    <w:rsid w:val="000944AC"/>
    <w:rsid w:val="00094CB9"/>
    <w:rsid w:val="000956B2"/>
    <w:rsid w:val="000969E7"/>
    <w:rsid w:val="000A0853"/>
    <w:rsid w:val="000A1CF6"/>
    <w:rsid w:val="000A23DE"/>
    <w:rsid w:val="000A4020"/>
    <w:rsid w:val="000A440C"/>
    <w:rsid w:val="000A55BD"/>
    <w:rsid w:val="000B1AAB"/>
    <w:rsid w:val="000B1BA0"/>
    <w:rsid w:val="000B5152"/>
    <w:rsid w:val="000B54FB"/>
    <w:rsid w:val="000B6DFD"/>
    <w:rsid w:val="000C1164"/>
    <w:rsid w:val="000C29B0"/>
    <w:rsid w:val="000C6240"/>
    <w:rsid w:val="000C76FC"/>
    <w:rsid w:val="000D2A03"/>
    <w:rsid w:val="000D38FC"/>
    <w:rsid w:val="000D4D90"/>
    <w:rsid w:val="000D622C"/>
    <w:rsid w:val="000D7D9E"/>
    <w:rsid w:val="000E1043"/>
    <w:rsid w:val="000E2D10"/>
    <w:rsid w:val="000E6825"/>
    <w:rsid w:val="000E7A3F"/>
    <w:rsid w:val="000F3204"/>
    <w:rsid w:val="00100D79"/>
    <w:rsid w:val="0010548B"/>
    <w:rsid w:val="00105DC4"/>
    <w:rsid w:val="001072D1"/>
    <w:rsid w:val="0011199D"/>
    <w:rsid w:val="0011245F"/>
    <w:rsid w:val="00113AF4"/>
    <w:rsid w:val="00117017"/>
    <w:rsid w:val="001269F9"/>
    <w:rsid w:val="00130E8E"/>
    <w:rsid w:val="0013216E"/>
    <w:rsid w:val="0013640F"/>
    <w:rsid w:val="00137AC3"/>
    <w:rsid w:val="001401B5"/>
    <w:rsid w:val="001422B9"/>
    <w:rsid w:val="0014665F"/>
    <w:rsid w:val="00153464"/>
    <w:rsid w:val="001541B3"/>
    <w:rsid w:val="00155B15"/>
    <w:rsid w:val="00155F50"/>
    <w:rsid w:val="00156691"/>
    <w:rsid w:val="001625BE"/>
    <w:rsid w:val="001629C8"/>
    <w:rsid w:val="001643A4"/>
    <w:rsid w:val="00165F1C"/>
    <w:rsid w:val="0017134A"/>
    <w:rsid w:val="00171B18"/>
    <w:rsid w:val="001727BB"/>
    <w:rsid w:val="001763A6"/>
    <w:rsid w:val="00176635"/>
    <w:rsid w:val="00180D25"/>
    <w:rsid w:val="0018318D"/>
    <w:rsid w:val="00183EB1"/>
    <w:rsid w:val="0018521D"/>
    <w:rsid w:val="0018572C"/>
    <w:rsid w:val="00186C20"/>
    <w:rsid w:val="00187643"/>
    <w:rsid w:val="00187E79"/>
    <w:rsid w:val="00187F0D"/>
    <w:rsid w:val="00192CC5"/>
    <w:rsid w:val="00194137"/>
    <w:rsid w:val="001956A7"/>
    <w:rsid w:val="001A118A"/>
    <w:rsid w:val="001A27F4"/>
    <w:rsid w:val="001A2D95"/>
    <w:rsid w:val="001A68F6"/>
    <w:rsid w:val="001B2CA8"/>
    <w:rsid w:val="001B3460"/>
    <w:rsid w:val="001B4C38"/>
    <w:rsid w:val="001B4CA1"/>
    <w:rsid w:val="001B75D8"/>
    <w:rsid w:val="001C1060"/>
    <w:rsid w:val="001C2142"/>
    <w:rsid w:val="001C3C63"/>
    <w:rsid w:val="001C4543"/>
    <w:rsid w:val="001C52B5"/>
    <w:rsid w:val="001C67A4"/>
    <w:rsid w:val="001C7FB3"/>
    <w:rsid w:val="001D4732"/>
    <w:rsid w:val="001D6A3C"/>
    <w:rsid w:val="001D6D51"/>
    <w:rsid w:val="001E244C"/>
    <w:rsid w:val="001E45DE"/>
    <w:rsid w:val="001E5817"/>
    <w:rsid w:val="001E6EAA"/>
    <w:rsid w:val="001E7412"/>
    <w:rsid w:val="001F5743"/>
    <w:rsid w:val="001F653A"/>
    <w:rsid w:val="001F6979"/>
    <w:rsid w:val="002016E4"/>
    <w:rsid w:val="00202BC6"/>
    <w:rsid w:val="00203B23"/>
    <w:rsid w:val="00203F6A"/>
    <w:rsid w:val="00205141"/>
    <w:rsid w:val="0020516B"/>
    <w:rsid w:val="00206AF8"/>
    <w:rsid w:val="0021068D"/>
    <w:rsid w:val="002122B0"/>
    <w:rsid w:val="00213559"/>
    <w:rsid w:val="00213EFD"/>
    <w:rsid w:val="00214EC8"/>
    <w:rsid w:val="002158A3"/>
    <w:rsid w:val="002172F1"/>
    <w:rsid w:val="002222BE"/>
    <w:rsid w:val="002235C1"/>
    <w:rsid w:val="00223C7B"/>
    <w:rsid w:val="00224AB1"/>
    <w:rsid w:val="002257D2"/>
    <w:rsid w:val="0022687A"/>
    <w:rsid w:val="0023026A"/>
    <w:rsid w:val="00230728"/>
    <w:rsid w:val="00232E4D"/>
    <w:rsid w:val="00233845"/>
    <w:rsid w:val="00234040"/>
    <w:rsid w:val="00235CD2"/>
    <w:rsid w:val="00243335"/>
    <w:rsid w:val="00245004"/>
    <w:rsid w:val="00245872"/>
    <w:rsid w:val="00254DED"/>
    <w:rsid w:val="00255619"/>
    <w:rsid w:val="00255DAD"/>
    <w:rsid w:val="00256108"/>
    <w:rsid w:val="00260B8D"/>
    <w:rsid w:val="00260F33"/>
    <w:rsid w:val="002613BD"/>
    <w:rsid w:val="002624F1"/>
    <w:rsid w:val="00263675"/>
    <w:rsid w:val="002673E6"/>
    <w:rsid w:val="00270C81"/>
    <w:rsid w:val="00271558"/>
    <w:rsid w:val="002725BC"/>
    <w:rsid w:val="00274862"/>
    <w:rsid w:val="00274B57"/>
    <w:rsid w:val="00274F1F"/>
    <w:rsid w:val="0027529E"/>
    <w:rsid w:val="00282D72"/>
    <w:rsid w:val="00283402"/>
    <w:rsid w:val="00283B53"/>
    <w:rsid w:val="00290FD6"/>
    <w:rsid w:val="00294259"/>
    <w:rsid w:val="002943F1"/>
    <w:rsid w:val="00294D0D"/>
    <w:rsid w:val="002955A7"/>
    <w:rsid w:val="002A06F0"/>
    <w:rsid w:val="002A2C81"/>
    <w:rsid w:val="002A55C9"/>
    <w:rsid w:val="002A7A36"/>
    <w:rsid w:val="002B3D1A"/>
    <w:rsid w:val="002B773C"/>
    <w:rsid w:val="002C27D0"/>
    <w:rsid w:val="002C2C9B"/>
    <w:rsid w:val="002D17D6"/>
    <w:rsid w:val="002D18D7"/>
    <w:rsid w:val="002D21CE"/>
    <w:rsid w:val="002D4555"/>
    <w:rsid w:val="002E1216"/>
    <w:rsid w:val="002E1C90"/>
    <w:rsid w:val="002E3DA3"/>
    <w:rsid w:val="002E450F"/>
    <w:rsid w:val="002E50A1"/>
    <w:rsid w:val="002E5C52"/>
    <w:rsid w:val="002E6B38"/>
    <w:rsid w:val="002E6D63"/>
    <w:rsid w:val="002E6E2B"/>
    <w:rsid w:val="002F22EF"/>
    <w:rsid w:val="002F2300"/>
    <w:rsid w:val="002F358F"/>
    <w:rsid w:val="002F500B"/>
    <w:rsid w:val="002F52CB"/>
    <w:rsid w:val="00300991"/>
    <w:rsid w:val="00301959"/>
    <w:rsid w:val="0030238F"/>
    <w:rsid w:val="00305B8A"/>
    <w:rsid w:val="003064CA"/>
    <w:rsid w:val="003072AB"/>
    <w:rsid w:val="003073CF"/>
    <w:rsid w:val="00310F07"/>
    <w:rsid w:val="003136BF"/>
    <w:rsid w:val="00321FBB"/>
    <w:rsid w:val="00331BF9"/>
    <w:rsid w:val="00334381"/>
    <w:rsid w:val="0033495E"/>
    <w:rsid w:val="00334A79"/>
    <w:rsid w:val="00334C18"/>
    <w:rsid w:val="00334D8D"/>
    <w:rsid w:val="003367D9"/>
    <w:rsid w:val="00337345"/>
    <w:rsid w:val="00337749"/>
    <w:rsid w:val="00337DD2"/>
    <w:rsid w:val="003404D1"/>
    <w:rsid w:val="00342DD0"/>
    <w:rsid w:val="003443FF"/>
    <w:rsid w:val="00347B04"/>
    <w:rsid w:val="003519B1"/>
    <w:rsid w:val="00354A55"/>
    <w:rsid w:val="00355808"/>
    <w:rsid w:val="00362C7E"/>
    <w:rsid w:val="00363309"/>
    <w:rsid w:val="00363601"/>
    <w:rsid w:val="00366C7E"/>
    <w:rsid w:val="00370774"/>
    <w:rsid w:val="00376AC9"/>
    <w:rsid w:val="00382A9F"/>
    <w:rsid w:val="003848AA"/>
    <w:rsid w:val="003863C0"/>
    <w:rsid w:val="003864AD"/>
    <w:rsid w:val="003916B4"/>
    <w:rsid w:val="003920C7"/>
    <w:rsid w:val="00393032"/>
    <w:rsid w:val="00394B69"/>
    <w:rsid w:val="003960A4"/>
    <w:rsid w:val="00397078"/>
    <w:rsid w:val="003A3F16"/>
    <w:rsid w:val="003A4462"/>
    <w:rsid w:val="003A6953"/>
    <w:rsid w:val="003B219D"/>
    <w:rsid w:val="003B6083"/>
    <w:rsid w:val="003B68CB"/>
    <w:rsid w:val="003B7AE4"/>
    <w:rsid w:val="003C3838"/>
    <w:rsid w:val="003C5847"/>
    <w:rsid w:val="003C5AD1"/>
    <w:rsid w:val="003C7ECC"/>
    <w:rsid w:val="003D0681"/>
    <w:rsid w:val="003D12F6"/>
    <w:rsid w:val="003D1426"/>
    <w:rsid w:val="003E0FE3"/>
    <w:rsid w:val="003E2F4E"/>
    <w:rsid w:val="003E4023"/>
    <w:rsid w:val="003E4B4A"/>
    <w:rsid w:val="003E52D2"/>
    <w:rsid w:val="003E720A"/>
    <w:rsid w:val="003E7417"/>
    <w:rsid w:val="003F16EE"/>
    <w:rsid w:val="003F2E5A"/>
    <w:rsid w:val="003F3B09"/>
    <w:rsid w:val="003F5344"/>
    <w:rsid w:val="003F6CFD"/>
    <w:rsid w:val="00403E6E"/>
    <w:rsid w:val="00404DA8"/>
    <w:rsid w:val="004129B4"/>
    <w:rsid w:val="00417EF0"/>
    <w:rsid w:val="004202CB"/>
    <w:rsid w:val="00422181"/>
    <w:rsid w:val="0042368F"/>
    <w:rsid w:val="004244A8"/>
    <w:rsid w:val="004245C7"/>
    <w:rsid w:val="00425F72"/>
    <w:rsid w:val="00427736"/>
    <w:rsid w:val="00431C96"/>
    <w:rsid w:val="004326A9"/>
    <w:rsid w:val="00432ABE"/>
    <w:rsid w:val="00436589"/>
    <w:rsid w:val="00441787"/>
    <w:rsid w:val="004425BD"/>
    <w:rsid w:val="00444F2D"/>
    <w:rsid w:val="00445AB2"/>
    <w:rsid w:val="00447040"/>
    <w:rsid w:val="0045048A"/>
    <w:rsid w:val="00451761"/>
    <w:rsid w:val="00452034"/>
    <w:rsid w:val="00454072"/>
    <w:rsid w:val="004547D8"/>
    <w:rsid w:val="00455FA6"/>
    <w:rsid w:val="0046468B"/>
    <w:rsid w:val="00466C70"/>
    <w:rsid w:val="004702C9"/>
    <w:rsid w:val="00472E45"/>
    <w:rsid w:val="00473FEA"/>
    <w:rsid w:val="0047420E"/>
    <w:rsid w:val="0047579D"/>
    <w:rsid w:val="00475EDF"/>
    <w:rsid w:val="00476684"/>
    <w:rsid w:val="00483262"/>
    <w:rsid w:val="004839C7"/>
    <w:rsid w:val="00484107"/>
    <w:rsid w:val="00485CC5"/>
    <w:rsid w:val="0049343F"/>
    <w:rsid w:val="004964FC"/>
    <w:rsid w:val="00497A44"/>
    <w:rsid w:val="004A145E"/>
    <w:rsid w:val="004A1F15"/>
    <w:rsid w:val="004A2A81"/>
    <w:rsid w:val="004A3AF7"/>
    <w:rsid w:val="004A3C47"/>
    <w:rsid w:val="004A43F8"/>
    <w:rsid w:val="004A7BD7"/>
    <w:rsid w:val="004C15C2"/>
    <w:rsid w:val="004C1B5A"/>
    <w:rsid w:val="004C36D8"/>
    <w:rsid w:val="004C6A0C"/>
    <w:rsid w:val="004C6CF1"/>
    <w:rsid w:val="004D0916"/>
    <w:rsid w:val="004D1248"/>
    <w:rsid w:val="004D1E3C"/>
    <w:rsid w:val="004D4169"/>
    <w:rsid w:val="004D4641"/>
    <w:rsid w:val="004D6E14"/>
    <w:rsid w:val="004D72D5"/>
    <w:rsid w:val="004E46FC"/>
    <w:rsid w:val="004F4339"/>
    <w:rsid w:val="004F4E17"/>
    <w:rsid w:val="004F6C15"/>
    <w:rsid w:val="0050082F"/>
    <w:rsid w:val="00500C56"/>
    <w:rsid w:val="00501713"/>
    <w:rsid w:val="005044C0"/>
    <w:rsid w:val="00506568"/>
    <w:rsid w:val="0051551B"/>
    <w:rsid w:val="00520C57"/>
    <w:rsid w:val="00522D94"/>
    <w:rsid w:val="005236E7"/>
    <w:rsid w:val="00524B67"/>
    <w:rsid w:val="00530762"/>
    <w:rsid w:val="00533D89"/>
    <w:rsid w:val="00536564"/>
    <w:rsid w:val="0054037A"/>
    <w:rsid w:val="00544597"/>
    <w:rsid w:val="00544AB2"/>
    <w:rsid w:val="00544FFE"/>
    <w:rsid w:val="005473F5"/>
    <w:rsid w:val="005477E7"/>
    <w:rsid w:val="00547D92"/>
    <w:rsid w:val="00552794"/>
    <w:rsid w:val="00556F00"/>
    <w:rsid w:val="00560BB2"/>
    <w:rsid w:val="00560F98"/>
    <w:rsid w:val="005630C0"/>
    <w:rsid w:val="00563199"/>
    <w:rsid w:val="0056333E"/>
    <w:rsid w:val="00564874"/>
    <w:rsid w:val="00565BE6"/>
    <w:rsid w:val="00567963"/>
    <w:rsid w:val="0057009A"/>
    <w:rsid w:val="00571260"/>
    <w:rsid w:val="0057189C"/>
    <w:rsid w:val="0057204B"/>
    <w:rsid w:val="00573FC1"/>
    <w:rsid w:val="005741EE"/>
    <w:rsid w:val="00574426"/>
    <w:rsid w:val="005762AF"/>
    <w:rsid w:val="0057668E"/>
    <w:rsid w:val="0058053B"/>
    <w:rsid w:val="00582550"/>
    <w:rsid w:val="00586C4B"/>
    <w:rsid w:val="00586CAB"/>
    <w:rsid w:val="00595E83"/>
    <w:rsid w:val="00596530"/>
    <w:rsid w:val="005967F3"/>
    <w:rsid w:val="005A06DF"/>
    <w:rsid w:val="005A1299"/>
    <w:rsid w:val="005A2DFC"/>
    <w:rsid w:val="005A5527"/>
    <w:rsid w:val="005A5AE6"/>
    <w:rsid w:val="005A7A39"/>
    <w:rsid w:val="005B1206"/>
    <w:rsid w:val="005B37E8"/>
    <w:rsid w:val="005B39BC"/>
    <w:rsid w:val="005B5ECD"/>
    <w:rsid w:val="005C0056"/>
    <w:rsid w:val="005C32AF"/>
    <w:rsid w:val="005D0D56"/>
    <w:rsid w:val="005D61D6"/>
    <w:rsid w:val="005D7415"/>
    <w:rsid w:val="005E0D13"/>
    <w:rsid w:val="005E39F8"/>
    <w:rsid w:val="005E5047"/>
    <w:rsid w:val="005E7205"/>
    <w:rsid w:val="005E7371"/>
    <w:rsid w:val="005E7690"/>
    <w:rsid w:val="005F116C"/>
    <w:rsid w:val="005F2131"/>
    <w:rsid w:val="005F2A72"/>
    <w:rsid w:val="006032DF"/>
    <w:rsid w:val="00605EF6"/>
    <w:rsid w:val="00606455"/>
    <w:rsid w:val="006103C4"/>
    <w:rsid w:val="00613FEA"/>
    <w:rsid w:val="00614929"/>
    <w:rsid w:val="00616511"/>
    <w:rsid w:val="006176ED"/>
    <w:rsid w:val="006202F3"/>
    <w:rsid w:val="0062097A"/>
    <w:rsid w:val="0062120D"/>
    <w:rsid w:val="00621DA6"/>
    <w:rsid w:val="00622AA1"/>
    <w:rsid w:val="00623560"/>
    <w:rsid w:val="0062395F"/>
    <w:rsid w:val="00623CFE"/>
    <w:rsid w:val="00627221"/>
    <w:rsid w:val="00627AE8"/>
    <w:rsid w:val="00627EE8"/>
    <w:rsid w:val="006316FA"/>
    <w:rsid w:val="006343D5"/>
    <w:rsid w:val="006370D2"/>
    <w:rsid w:val="0064074F"/>
    <w:rsid w:val="00641996"/>
    <w:rsid w:val="00641F55"/>
    <w:rsid w:val="00645B39"/>
    <w:rsid w:val="00645E4A"/>
    <w:rsid w:val="00652DC7"/>
    <w:rsid w:val="00653688"/>
    <w:rsid w:val="0066091B"/>
    <w:rsid w:val="00662F07"/>
    <w:rsid w:val="006660E9"/>
    <w:rsid w:val="00667249"/>
    <w:rsid w:val="00667558"/>
    <w:rsid w:val="006704B3"/>
    <w:rsid w:val="00670FC7"/>
    <w:rsid w:val="00671523"/>
    <w:rsid w:val="00672811"/>
    <w:rsid w:val="006754EF"/>
    <w:rsid w:val="006769F9"/>
    <w:rsid w:val="00676B7E"/>
    <w:rsid w:val="00676C8D"/>
    <w:rsid w:val="00676F1F"/>
    <w:rsid w:val="00677381"/>
    <w:rsid w:val="00677414"/>
    <w:rsid w:val="006832CF"/>
    <w:rsid w:val="0068601E"/>
    <w:rsid w:val="006939C0"/>
    <w:rsid w:val="0069486B"/>
    <w:rsid w:val="006A47E7"/>
    <w:rsid w:val="006A4904"/>
    <w:rsid w:val="006A548F"/>
    <w:rsid w:val="006A5A94"/>
    <w:rsid w:val="006A701A"/>
    <w:rsid w:val="006B64DC"/>
    <w:rsid w:val="006B7A91"/>
    <w:rsid w:val="006C6898"/>
    <w:rsid w:val="006C7C20"/>
    <w:rsid w:val="006D391B"/>
    <w:rsid w:val="006D4704"/>
    <w:rsid w:val="006D506A"/>
    <w:rsid w:val="006D6A2D"/>
    <w:rsid w:val="006E0D68"/>
    <w:rsid w:val="006E1E18"/>
    <w:rsid w:val="006E31CE"/>
    <w:rsid w:val="006E34D3"/>
    <w:rsid w:val="006F1435"/>
    <w:rsid w:val="006F68C9"/>
    <w:rsid w:val="006F78C4"/>
    <w:rsid w:val="006F7C1E"/>
    <w:rsid w:val="0070244F"/>
    <w:rsid w:val="007024B3"/>
    <w:rsid w:val="007031A0"/>
    <w:rsid w:val="00705A29"/>
    <w:rsid w:val="00706E8E"/>
    <w:rsid w:val="00707498"/>
    <w:rsid w:val="00711A03"/>
    <w:rsid w:val="00711A65"/>
    <w:rsid w:val="00713D6F"/>
    <w:rsid w:val="00714133"/>
    <w:rsid w:val="00714DA4"/>
    <w:rsid w:val="007158B2"/>
    <w:rsid w:val="00716081"/>
    <w:rsid w:val="00722B48"/>
    <w:rsid w:val="00724164"/>
    <w:rsid w:val="00725DE7"/>
    <w:rsid w:val="0072636A"/>
    <w:rsid w:val="00726B44"/>
    <w:rsid w:val="007318DD"/>
    <w:rsid w:val="00733167"/>
    <w:rsid w:val="00737060"/>
    <w:rsid w:val="00740D2C"/>
    <w:rsid w:val="00744BF9"/>
    <w:rsid w:val="00746E3D"/>
    <w:rsid w:val="00751AB0"/>
    <w:rsid w:val="007521E6"/>
    <w:rsid w:val="00752623"/>
    <w:rsid w:val="00760F1F"/>
    <w:rsid w:val="00764206"/>
    <w:rsid w:val="0076423E"/>
    <w:rsid w:val="007646CB"/>
    <w:rsid w:val="0076658F"/>
    <w:rsid w:val="00766CBE"/>
    <w:rsid w:val="0077040A"/>
    <w:rsid w:val="00772D64"/>
    <w:rsid w:val="007762A8"/>
    <w:rsid w:val="00776BBE"/>
    <w:rsid w:val="0078582F"/>
    <w:rsid w:val="00792609"/>
    <w:rsid w:val="00792887"/>
    <w:rsid w:val="007943E2"/>
    <w:rsid w:val="00794F2C"/>
    <w:rsid w:val="007954A5"/>
    <w:rsid w:val="00797C22"/>
    <w:rsid w:val="00797DCE"/>
    <w:rsid w:val="007A0BFF"/>
    <w:rsid w:val="007A3BC7"/>
    <w:rsid w:val="007A5AC4"/>
    <w:rsid w:val="007A5D37"/>
    <w:rsid w:val="007B0FDD"/>
    <w:rsid w:val="007B3683"/>
    <w:rsid w:val="007B4802"/>
    <w:rsid w:val="007B6668"/>
    <w:rsid w:val="007B6B33"/>
    <w:rsid w:val="007B7B52"/>
    <w:rsid w:val="007C2701"/>
    <w:rsid w:val="007D096F"/>
    <w:rsid w:val="007D0CE9"/>
    <w:rsid w:val="007D2192"/>
    <w:rsid w:val="007D58FB"/>
    <w:rsid w:val="007D7205"/>
    <w:rsid w:val="007E2119"/>
    <w:rsid w:val="007E43C5"/>
    <w:rsid w:val="007E50B0"/>
    <w:rsid w:val="007F0021"/>
    <w:rsid w:val="007F2F52"/>
    <w:rsid w:val="007F651F"/>
    <w:rsid w:val="00801F71"/>
    <w:rsid w:val="00802CD9"/>
    <w:rsid w:val="00804C3B"/>
    <w:rsid w:val="00805F28"/>
    <w:rsid w:val="0080619C"/>
    <w:rsid w:val="0080749F"/>
    <w:rsid w:val="00810D86"/>
    <w:rsid w:val="00811D46"/>
    <w:rsid w:val="008125B0"/>
    <w:rsid w:val="008144CB"/>
    <w:rsid w:val="0081730A"/>
    <w:rsid w:val="0081730E"/>
    <w:rsid w:val="00821717"/>
    <w:rsid w:val="00822D3A"/>
    <w:rsid w:val="00824210"/>
    <w:rsid w:val="00825C52"/>
    <w:rsid w:val="008263C0"/>
    <w:rsid w:val="00827226"/>
    <w:rsid w:val="00831A76"/>
    <w:rsid w:val="008330E5"/>
    <w:rsid w:val="00840DD2"/>
    <w:rsid w:val="00841422"/>
    <w:rsid w:val="00841D3B"/>
    <w:rsid w:val="0084314C"/>
    <w:rsid w:val="00843171"/>
    <w:rsid w:val="00844EFC"/>
    <w:rsid w:val="00846EF2"/>
    <w:rsid w:val="0085568A"/>
    <w:rsid w:val="008575C3"/>
    <w:rsid w:val="008635C0"/>
    <w:rsid w:val="00863D28"/>
    <w:rsid w:val="008648C3"/>
    <w:rsid w:val="0086707C"/>
    <w:rsid w:val="008707A7"/>
    <w:rsid w:val="00870E82"/>
    <w:rsid w:val="00876AAA"/>
    <w:rsid w:val="008809F2"/>
    <w:rsid w:val="00880F26"/>
    <w:rsid w:val="008816C6"/>
    <w:rsid w:val="00884AC7"/>
    <w:rsid w:val="00884D5F"/>
    <w:rsid w:val="00885B5B"/>
    <w:rsid w:val="00890C68"/>
    <w:rsid w:val="00891C9E"/>
    <w:rsid w:val="00893117"/>
    <w:rsid w:val="00896C2E"/>
    <w:rsid w:val="008A27D1"/>
    <w:rsid w:val="008A5095"/>
    <w:rsid w:val="008A608F"/>
    <w:rsid w:val="008A79E8"/>
    <w:rsid w:val="008B039D"/>
    <w:rsid w:val="008B1A9A"/>
    <w:rsid w:val="008B3190"/>
    <w:rsid w:val="008B4FE6"/>
    <w:rsid w:val="008B59AD"/>
    <w:rsid w:val="008B6C37"/>
    <w:rsid w:val="008C542B"/>
    <w:rsid w:val="008D2E31"/>
    <w:rsid w:val="008D5181"/>
    <w:rsid w:val="008E18F7"/>
    <w:rsid w:val="008E1E10"/>
    <w:rsid w:val="008E291B"/>
    <w:rsid w:val="008E4F2F"/>
    <w:rsid w:val="008E74B0"/>
    <w:rsid w:val="008F3F72"/>
    <w:rsid w:val="008F5663"/>
    <w:rsid w:val="00900026"/>
    <w:rsid w:val="009008A8"/>
    <w:rsid w:val="0090211F"/>
    <w:rsid w:val="0090572D"/>
    <w:rsid w:val="009063B0"/>
    <w:rsid w:val="00907106"/>
    <w:rsid w:val="009107FD"/>
    <w:rsid w:val="0091137C"/>
    <w:rsid w:val="00911567"/>
    <w:rsid w:val="0091345F"/>
    <w:rsid w:val="00916138"/>
    <w:rsid w:val="00917AAE"/>
    <w:rsid w:val="009251A9"/>
    <w:rsid w:val="0092632D"/>
    <w:rsid w:val="00930699"/>
    <w:rsid w:val="00930DAD"/>
    <w:rsid w:val="00931F69"/>
    <w:rsid w:val="00933DB4"/>
    <w:rsid w:val="00934123"/>
    <w:rsid w:val="00935585"/>
    <w:rsid w:val="00945864"/>
    <w:rsid w:val="009460A7"/>
    <w:rsid w:val="00955774"/>
    <w:rsid w:val="009560B5"/>
    <w:rsid w:val="0096055E"/>
    <w:rsid w:val="009609F5"/>
    <w:rsid w:val="0096169E"/>
    <w:rsid w:val="009617E2"/>
    <w:rsid w:val="0096662D"/>
    <w:rsid w:val="009703D6"/>
    <w:rsid w:val="0097181B"/>
    <w:rsid w:val="0097221B"/>
    <w:rsid w:val="00976DC5"/>
    <w:rsid w:val="00977D34"/>
    <w:rsid w:val="009818C7"/>
    <w:rsid w:val="009819C7"/>
    <w:rsid w:val="00982608"/>
    <w:rsid w:val="00982DD4"/>
    <w:rsid w:val="009841E5"/>
    <w:rsid w:val="0098460A"/>
    <w:rsid w:val="0098479F"/>
    <w:rsid w:val="00984A8A"/>
    <w:rsid w:val="009857B6"/>
    <w:rsid w:val="00985A8D"/>
    <w:rsid w:val="00986610"/>
    <w:rsid w:val="00987208"/>
    <w:rsid w:val="009877DC"/>
    <w:rsid w:val="00991F96"/>
    <w:rsid w:val="00996F0A"/>
    <w:rsid w:val="00997FE7"/>
    <w:rsid w:val="009A0814"/>
    <w:rsid w:val="009A1D86"/>
    <w:rsid w:val="009A6966"/>
    <w:rsid w:val="009A6979"/>
    <w:rsid w:val="009A6DB5"/>
    <w:rsid w:val="009B049C"/>
    <w:rsid w:val="009B11C8"/>
    <w:rsid w:val="009B2053"/>
    <w:rsid w:val="009B232F"/>
    <w:rsid w:val="009B2BCF"/>
    <w:rsid w:val="009B2FF8"/>
    <w:rsid w:val="009B5BA3"/>
    <w:rsid w:val="009C0E62"/>
    <w:rsid w:val="009C31C9"/>
    <w:rsid w:val="009C3582"/>
    <w:rsid w:val="009C3E6E"/>
    <w:rsid w:val="009C419B"/>
    <w:rsid w:val="009C7962"/>
    <w:rsid w:val="009D0027"/>
    <w:rsid w:val="009D0655"/>
    <w:rsid w:val="009D3651"/>
    <w:rsid w:val="009D6A58"/>
    <w:rsid w:val="009E0DB0"/>
    <w:rsid w:val="009E1E98"/>
    <w:rsid w:val="009E2853"/>
    <w:rsid w:val="009E3ABE"/>
    <w:rsid w:val="009E3C4B"/>
    <w:rsid w:val="009E5225"/>
    <w:rsid w:val="009E7D12"/>
    <w:rsid w:val="009F0637"/>
    <w:rsid w:val="009F06AF"/>
    <w:rsid w:val="009F2074"/>
    <w:rsid w:val="009F62A6"/>
    <w:rsid w:val="009F674F"/>
    <w:rsid w:val="009F799E"/>
    <w:rsid w:val="00A02020"/>
    <w:rsid w:val="00A056CB"/>
    <w:rsid w:val="00A07A29"/>
    <w:rsid w:val="00A10B95"/>
    <w:rsid w:val="00A10FF1"/>
    <w:rsid w:val="00A132A3"/>
    <w:rsid w:val="00A1506B"/>
    <w:rsid w:val="00A15D97"/>
    <w:rsid w:val="00A17CB2"/>
    <w:rsid w:val="00A20581"/>
    <w:rsid w:val="00A23191"/>
    <w:rsid w:val="00A24FFC"/>
    <w:rsid w:val="00A251B9"/>
    <w:rsid w:val="00A27149"/>
    <w:rsid w:val="00A276E6"/>
    <w:rsid w:val="00A319C0"/>
    <w:rsid w:val="00A33560"/>
    <w:rsid w:val="00A34BA5"/>
    <w:rsid w:val="00A364E4"/>
    <w:rsid w:val="00A371A5"/>
    <w:rsid w:val="00A37257"/>
    <w:rsid w:val="00A41309"/>
    <w:rsid w:val="00A41811"/>
    <w:rsid w:val="00A41B38"/>
    <w:rsid w:val="00A47BDF"/>
    <w:rsid w:val="00A51CD7"/>
    <w:rsid w:val="00A522BA"/>
    <w:rsid w:val="00A5288C"/>
    <w:rsid w:val="00A52ADB"/>
    <w:rsid w:val="00A533E8"/>
    <w:rsid w:val="00A542D9"/>
    <w:rsid w:val="00A561FA"/>
    <w:rsid w:val="00A56660"/>
    <w:rsid w:val="00A56667"/>
    <w:rsid w:val="00A56E64"/>
    <w:rsid w:val="00A602F0"/>
    <w:rsid w:val="00A624C3"/>
    <w:rsid w:val="00A63B1D"/>
    <w:rsid w:val="00A642B5"/>
    <w:rsid w:val="00A6641C"/>
    <w:rsid w:val="00A75D7F"/>
    <w:rsid w:val="00A767D2"/>
    <w:rsid w:val="00A77616"/>
    <w:rsid w:val="00A805DA"/>
    <w:rsid w:val="00A80728"/>
    <w:rsid w:val="00A811B4"/>
    <w:rsid w:val="00A872D1"/>
    <w:rsid w:val="00A87CDE"/>
    <w:rsid w:val="00A92BAF"/>
    <w:rsid w:val="00A94737"/>
    <w:rsid w:val="00A94BA3"/>
    <w:rsid w:val="00A96CBA"/>
    <w:rsid w:val="00AA2AB9"/>
    <w:rsid w:val="00AB04A1"/>
    <w:rsid w:val="00AB1ACD"/>
    <w:rsid w:val="00AB20A0"/>
    <w:rsid w:val="00AB24A4"/>
    <w:rsid w:val="00AB277F"/>
    <w:rsid w:val="00AB4099"/>
    <w:rsid w:val="00AB449A"/>
    <w:rsid w:val="00AB53E5"/>
    <w:rsid w:val="00AC6895"/>
    <w:rsid w:val="00AD0115"/>
    <w:rsid w:val="00AD0756"/>
    <w:rsid w:val="00AD14F9"/>
    <w:rsid w:val="00AD338F"/>
    <w:rsid w:val="00AD35D6"/>
    <w:rsid w:val="00AD58C5"/>
    <w:rsid w:val="00AE36C4"/>
    <w:rsid w:val="00AE472C"/>
    <w:rsid w:val="00AE5375"/>
    <w:rsid w:val="00AE6CF8"/>
    <w:rsid w:val="00AF0A12"/>
    <w:rsid w:val="00AF3356"/>
    <w:rsid w:val="00AF41DB"/>
    <w:rsid w:val="00AF46DD"/>
    <w:rsid w:val="00AF4CAC"/>
    <w:rsid w:val="00B006E4"/>
    <w:rsid w:val="00B03E0D"/>
    <w:rsid w:val="00B054F8"/>
    <w:rsid w:val="00B0628E"/>
    <w:rsid w:val="00B16B19"/>
    <w:rsid w:val="00B17EE9"/>
    <w:rsid w:val="00B2121B"/>
    <w:rsid w:val="00B2219A"/>
    <w:rsid w:val="00B23FB6"/>
    <w:rsid w:val="00B27DB1"/>
    <w:rsid w:val="00B303AA"/>
    <w:rsid w:val="00B355A2"/>
    <w:rsid w:val="00B3581B"/>
    <w:rsid w:val="00B35CA3"/>
    <w:rsid w:val="00B36B81"/>
    <w:rsid w:val="00B36FEE"/>
    <w:rsid w:val="00B37C80"/>
    <w:rsid w:val="00B42653"/>
    <w:rsid w:val="00B4404E"/>
    <w:rsid w:val="00B5092B"/>
    <w:rsid w:val="00B50D2C"/>
    <w:rsid w:val="00B5194E"/>
    <w:rsid w:val="00B51AF5"/>
    <w:rsid w:val="00B531FC"/>
    <w:rsid w:val="00B53777"/>
    <w:rsid w:val="00B54050"/>
    <w:rsid w:val="00B5491A"/>
    <w:rsid w:val="00B55347"/>
    <w:rsid w:val="00B57E5E"/>
    <w:rsid w:val="00B61F37"/>
    <w:rsid w:val="00B64EDD"/>
    <w:rsid w:val="00B74DFC"/>
    <w:rsid w:val="00B7770F"/>
    <w:rsid w:val="00B77813"/>
    <w:rsid w:val="00B77A89"/>
    <w:rsid w:val="00B77B27"/>
    <w:rsid w:val="00B8134E"/>
    <w:rsid w:val="00B81B55"/>
    <w:rsid w:val="00B84613"/>
    <w:rsid w:val="00B87874"/>
    <w:rsid w:val="00B87AF0"/>
    <w:rsid w:val="00B9037B"/>
    <w:rsid w:val="00B90D24"/>
    <w:rsid w:val="00B910BD"/>
    <w:rsid w:val="00B93834"/>
    <w:rsid w:val="00B95B45"/>
    <w:rsid w:val="00B96469"/>
    <w:rsid w:val="00B96E31"/>
    <w:rsid w:val="00BA0D84"/>
    <w:rsid w:val="00BA0DA2"/>
    <w:rsid w:val="00BA21B3"/>
    <w:rsid w:val="00BA25FB"/>
    <w:rsid w:val="00BA2981"/>
    <w:rsid w:val="00BA365A"/>
    <w:rsid w:val="00BA42EE"/>
    <w:rsid w:val="00BA48F9"/>
    <w:rsid w:val="00BA5A32"/>
    <w:rsid w:val="00BA7486"/>
    <w:rsid w:val="00BB0DCA"/>
    <w:rsid w:val="00BB2666"/>
    <w:rsid w:val="00BB4949"/>
    <w:rsid w:val="00BB5C44"/>
    <w:rsid w:val="00BB6B80"/>
    <w:rsid w:val="00BC3773"/>
    <w:rsid w:val="00BC381A"/>
    <w:rsid w:val="00BC4F64"/>
    <w:rsid w:val="00BC5109"/>
    <w:rsid w:val="00BD0962"/>
    <w:rsid w:val="00BD1EED"/>
    <w:rsid w:val="00BD37D6"/>
    <w:rsid w:val="00BE0C72"/>
    <w:rsid w:val="00BF07E7"/>
    <w:rsid w:val="00BF0DA2"/>
    <w:rsid w:val="00BF109C"/>
    <w:rsid w:val="00BF131C"/>
    <w:rsid w:val="00BF34FA"/>
    <w:rsid w:val="00BF56F5"/>
    <w:rsid w:val="00C004B6"/>
    <w:rsid w:val="00C005EA"/>
    <w:rsid w:val="00C0146F"/>
    <w:rsid w:val="00C047A7"/>
    <w:rsid w:val="00C052C2"/>
    <w:rsid w:val="00C05DE5"/>
    <w:rsid w:val="00C076F4"/>
    <w:rsid w:val="00C11EE2"/>
    <w:rsid w:val="00C277CC"/>
    <w:rsid w:val="00C33027"/>
    <w:rsid w:val="00C33193"/>
    <w:rsid w:val="00C37667"/>
    <w:rsid w:val="00C37ED4"/>
    <w:rsid w:val="00C429B8"/>
    <w:rsid w:val="00C435DB"/>
    <w:rsid w:val="00C44D73"/>
    <w:rsid w:val="00C50B42"/>
    <w:rsid w:val="00C516FF"/>
    <w:rsid w:val="00C52BFA"/>
    <w:rsid w:val="00C53D1D"/>
    <w:rsid w:val="00C53F26"/>
    <w:rsid w:val="00C540BC"/>
    <w:rsid w:val="00C62169"/>
    <w:rsid w:val="00C649FB"/>
    <w:rsid w:val="00C64F7D"/>
    <w:rsid w:val="00C654DF"/>
    <w:rsid w:val="00C67309"/>
    <w:rsid w:val="00C67FA8"/>
    <w:rsid w:val="00C7614E"/>
    <w:rsid w:val="00C76CED"/>
    <w:rsid w:val="00C76F70"/>
    <w:rsid w:val="00C77BF1"/>
    <w:rsid w:val="00C80D60"/>
    <w:rsid w:val="00C82FBD"/>
    <w:rsid w:val="00C85267"/>
    <w:rsid w:val="00C86AA8"/>
    <w:rsid w:val="00C8721B"/>
    <w:rsid w:val="00C877C0"/>
    <w:rsid w:val="00C91432"/>
    <w:rsid w:val="00C9358E"/>
    <w:rsid w:val="00C9372C"/>
    <w:rsid w:val="00C9470E"/>
    <w:rsid w:val="00C95CEB"/>
    <w:rsid w:val="00CA1054"/>
    <w:rsid w:val="00CA1C90"/>
    <w:rsid w:val="00CA1E2B"/>
    <w:rsid w:val="00CA63EB"/>
    <w:rsid w:val="00CA69F1"/>
    <w:rsid w:val="00CA76D3"/>
    <w:rsid w:val="00CB6991"/>
    <w:rsid w:val="00CC1321"/>
    <w:rsid w:val="00CC5172"/>
    <w:rsid w:val="00CC6194"/>
    <w:rsid w:val="00CC6305"/>
    <w:rsid w:val="00CC78A5"/>
    <w:rsid w:val="00CD0516"/>
    <w:rsid w:val="00CD0A05"/>
    <w:rsid w:val="00CD2FD7"/>
    <w:rsid w:val="00CD44B0"/>
    <w:rsid w:val="00CD578F"/>
    <w:rsid w:val="00CD756B"/>
    <w:rsid w:val="00CE22D2"/>
    <w:rsid w:val="00CE4AE4"/>
    <w:rsid w:val="00CE55A0"/>
    <w:rsid w:val="00CE734F"/>
    <w:rsid w:val="00CF0C9B"/>
    <w:rsid w:val="00CF112E"/>
    <w:rsid w:val="00CF3CF7"/>
    <w:rsid w:val="00CF5F4F"/>
    <w:rsid w:val="00D11D07"/>
    <w:rsid w:val="00D12C13"/>
    <w:rsid w:val="00D146F8"/>
    <w:rsid w:val="00D20C65"/>
    <w:rsid w:val="00D218DC"/>
    <w:rsid w:val="00D246C6"/>
    <w:rsid w:val="00D24E56"/>
    <w:rsid w:val="00D26D64"/>
    <w:rsid w:val="00D30643"/>
    <w:rsid w:val="00D30D70"/>
    <w:rsid w:val="00D31643"/>
    <w:rsid w:val="00D31AEB"/>
    <w:rsid w:val="00D32ECD"/>
    <w:rsid w:val="00D35522"/>
    <w:rsid w:val="00D361E4"/>
    <w:rsid w:val="00D36747"/>
    <w:rsid w:val="00D36A44"/>
    <w:rsid w:val="00D3798D"/>
    <w:rsid w:val="00D4211A"/>
    <w:rsid w:val="00D42A8F"/>
    <w:rsid w:val="00D437B5"/>
    <w:rsid w:val="00D439F6"/>
    <w:rsid w:val="00D459C6"/>
    <w:rsid w:val="00D50729"/>
    <w:rsid w:val="00D50C19"/>
    <w:rsid w:val="00D5328F"/>
    <w:rsid w:val="00D53327"/>
    <w:rsid w:val="00D5379E"/>
    <w:rsid w:val="00D54F43"/>
    <w:rsid w:val="00D57AA9"/>
    <w:rsid w:val="00D57DEB"/>
    <w:rsid w:val="00D62643"/>
    <w:rsid w:val="00D64C0F"/>
    <w:rsid w:val="00D65999"/>
    <w:rsid w:val="00D70409"/>
    <w:rsid w:val="00D705AD"/>
    <w:rsid w:val="00D71B84"/>
    <w:rsid w:val="00D72EFE"/>
    <w:rsid w:val="00D753DA"/>
    <w:rsid w:val="00D76227"/>
    <w:rsid w:val="00D76438"/>
    <w:rsid w:val="00D768EB"/>
    <w:rsid w:val="00D77DF1"/>
    <w:rsid w:val="00D858A1"/>
    <w:rsid w:val="00D86AFF"/>
    <w:rsid w:val="00D95A44"/>
    <w:rsid w:val="00D95D16"/>
    <w:rsid w:val="00D97C76"/>
    <w:rsid w:val="00DA2D4C"/>
    <w:rsid w:val="00DB02B4"/>
    <w:rsid w:val="00DB538D"/>
    <w:rsid w:val="00DC275C"/>
    <w:rsid w:val="00DC391A"/>
    <w:rsid w:val="00DC4B0D"/>
    <w:rsid w:val="00DC7FE1"/>
    <w:rsid w:val="00DD3570"/>
    <w:rsid w:val="00DD3F3F"/>
    <w:rsid w:val="00DD4C7F"/>
    <w:rsid w:val="00DD5572"/>
    <w:rsid w:val="00DD6456"/>
    <w:rsid w:val="00DD6544"/>
    <w:rsid w:val="00DE0B81"/>
    <w:rsid w:val="00DE4146"/>
    <w:rsid w:val="00DE5D80"/>
    <w:rsid w:val="00DE66BD"/>
    <w:rsid w:val="00DE6DA0"/>
    <w:rsid w:val="00DE7C66"/>
    <w:rsid w:val="00DF58CD"/>
    <w:rsid w:val="00DF65DE"/>
    <w:rsid w:val="00E019A5"/>
    <w:rsid w:val="00E02A70"/>
    <w:rsid w:val="00E02EC8"/>
    <w:rsid w:val="00E037F5"/>
    <w:rsid w:val="00E04ECB"/>
    <w:rsid w:val="00E05A09"/>
    <w:rsid w:val="00E06482"/>
    <w:rsid w:val="00E06C2B"/>
    <w:rsid w:val="00E06CA1"/>
    <w:rsid w:val="00E12A5E"/>
    <w:rsid w:val="00E14AE1"/>
    <w:rsid w:val="00E172B8"/>
    <w:rsid w:val="00E17FB4"/>
    <w:rsid w:val="00E20B75"/>
    <w:rsid w:val="00E214F2"/>
    <w:rsid w:val="00E2371E"/>
    <w:rsid w:val="00E24BD7"/>
    <w:rsid w:val="00E25DB6"/>
    <w:rsid w:val="00E26523"/>
    <w:rsid w:val="00E26809"/>
    <w:rsid w:val="00E307B3"/>
    <w:rsid w:val="00E30FCE"/>
    <w:rsid w:val="00E33D27"/>
    <w:rsid w:val="00E3412D"/>
    <w:rsid w:val="00E35E8E"/>
    <w:rsid w:val="00E373C2"/>
    <w:rsid w:val="00E41006"/>
    <w:rsid w:val="00E414A8"/>
    <w:rsid w:val="00E44B10"/>
    <w:rsid w:val="00E51BF1"/>
    <w:rsid w:val="00E5618F"/>
    <w:rsid w:val="00E56E70"/>
    <w:rsid w:val="00E57322"/>
    <w:rsid w:val="00E628CB"/>
    <w:rsid w:val="00E62AD9"/>
    <w:rsid w:val="00E638C8"/>
    <w:rsid w:val="00E6432B"/>
    <w:rsid w:val="00E64DAE"/>
    <w:rsid w:val="00E72802"/>
    <w:rsid w:val="00E7509B"/>
    <w:rsid w:val="00E86590"/>
    <w:rsid w:val="00E907FF"/>
    <w:rsid w:val="00E90B32"/>
    <w:rsid w:val="00E91458"/>
    <w:rsid w:val="00E91FED"/>
    <w:rsid w:val="00E9254B"/>
    <w:rsid w:val="00E92B53"/>
    <w:rsid w:val="00E97401"/>
    <w:rsid w:val="00EA0BA3"/>
    <w:rsid w:val="00EA14E8"/>
    <w:rsid w:val="00EA42D1"/>
    <w:rsid w:val="00EA42EF"/>
    <w:rsid w:val="00EB2307"/>
    <w:rsid w:val="00EB2DD1"/>
    <w:rsid w:val="00EB4E32"/>
    <w:rsid w:val="00EB6523"/>
    <w:rsid w:val="00EB66C1"/>
    <w:rsid w:val="00EB6B37"/>
    <w:rsid w:val="00EB7017"/>
    <w:rsid w:val="00EC29FE"/>
    <w:rsid w:val="00EC3940"/>
    <w:rsid w:val="00EC3C70"/>
    <w:rsid w:val="00EC4166"/>
    <w:rsid w:val="00EC4D6C"/>
    <w:rsid w:val="00EC51E1"/>
    <w:rsid w:val="00ED2D59"/>
    <w:rsid w:val="00ED32D6"/>
    <w:rsid w:val="00ED3A3D"/>
    <w:rsid w:val="00ED499E"/>
    <w:rsid w:val="00ED538A"/>
    <w:rsid w:val="00ED5689"/>
    <w:rsid w:val="00ED6FBC"/>
    <w:rsid w:val="00EE2F16"/>
    <w:rsid w:val="00EE3861"/>
    <w:rsid w:val="00EF1D5A"/>
    <w:rsid w:val="00EF2E73"/>
    <w:rsid w:val="00EF4C50"/>
    <w:rsid w:val="00EF7683"/>
    <w:rsid w:val="00EF7A2D"/>
    <w:rsid w:val="00EF7ED1"/>
    <w:rsid w:val="00F005B5"/>
    <w:rsid w:val="00F04F8D"/>
    <w:rsid w:val="00F05C55"/>
    <w:rsid w:val="00F10AD0"/>
    <w:rsid w:val="00F116CC"/>
    <w:rsid w:val="00F12BD1"/>
    <w:rsid w:val="00F14864"/>
    <w:rsid w:val="00F15327"/>
    <w:rsid w:val="00F168CF"/>
    <w:rsid w:val="00F23415"/>
    <w:rsid w:val="00F2555C"/>
    <w:rsid w:val="00F255A2"/>
    <w:rsid w:val="00F272FA"/>
    <w:rsid w:val="00F3031E"/>
    <w:rsid w:val="00F31DF3"/>
    <w:rsid w:val="00F32C23"/>
    <w:rsid w:val="00F33AE5"/>
    <w:rsid w:val="00F356EF"/>
    <w:rsid w:val="00F3597D"/>
    <w:rsid w:val="00F4376D"/>
    <w:rsid w:val="00F45399"/>
    <w:rsid w:val="00F465EA"/>
    <w:rsid w:val="00F525C0"/>
    <w:rsid w:val="00F54E7B"/>
    <w:rsid w:val="00F55A88"/>
    <w:rsid w:val="00F63504"/>
    <w:rsid w:val="00F64A7E"/>
    <w:rsid w:val="00F66091"/>
    <w:rsid w:val="00F72723"/>
    <w:rsid w:val="00F74005"/>
    <w:rsid w:val="00F7451D"/>
    <w:rsid w:val="00F74C4F"/>
    <w:rsid w:val="00F76884"/>
    <w:rsid w:val="00F77B0B"/>
    <w:rsid w:val="00F83D24"/>
    <w:rsid w:val="00F83DD9"/>
    <w:rsid w:val="00F83F40"/>
    <w:rsid w:val="00F85992"/>
    <w:rsid w:val="00F87BB4"/>
    <w:rsid w:val="00F95CEA"/>
    <w:rsid w:val="00FA04AB"/>
    <w:rsid w:val="00FA117A"/>
    <w:rsid w:val="00FA37A5"/>
    <w:rsid w:val="00FA3EDF"/>
    <w:rsid w:val="00FB386A"/>
    <w:rsid w:val="00FB4137"/>
    <w:rsid w:val="00FB61C4"/>
    <w:rsid w:val="00FC0786"/>
    <w:rsid w:val="00FC49EF"/>
    <w:rsid w:val="00FD1C09"/>
    <w:rsid w:val="00FD3CAD"/>
    <w:rsid w:val="00FE36E2"/>
    <w:rsid w:val="00FF11AD"/>
    <w:rsid w:val="00FF2971"/>
    <w:rsid w:val="00FF2BE9"/>
    <w:rsid w:val="00FF34D4"/>
    <w:rsid w:val="00FF3D00"/>
    <w:rsid w:val="00FF63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725BC"/>
    <w:pPr>
      <w:spacing w:line="276" w:lineRule="auto"/>
    </w:pPr>
    <w:rPr>
      <w:sz w:val="22"/>
      <w:szCs w:val="22"/>
      <w:lang w:eastAsia="en-US"/>
    </w:rPr>
  </w:style>
  <w:style w:type="paragraph" w:styleId="Nagwek1">
    <w:name w:val="heading 1"/>
    <w:basedOn w:val="Normalny"/>
    <w:next w:val="Normalny"/>
    <w:qFormat/>
    <w:locked/>
    <w:rsid w:val="006176ED"/>
    <w:pPr>
      <w:keepNext/>
      <w:spacing w:before="240" w:after="60" w:line="240" w:lineRule="auto"/>
      <w:outlineLvl w:val="0"/>
    </w:pPr>
    <w:rPr>
      <w:rFonts w:ascii="Arial" w:eastAsia="Times New Roman" w:hAnsi="Arial" w:cs="Arial"/>
      <w:b/>
      <w:bCs/>
      <w:kern w:val="32"/>
      <w:sz w:val="32"/>
      <w:szCs w:val="32"/>
      <w:lang w:eastAsia="pl-PL"/>
    </w:rPr>
  </w:style>
  <w:style w:type="paragraph" w:styleId="Nagwek3">
    <w:name w:val="heading 3"/>
    <w:basedOn w:val="Normalny"/>
    <w:next w:val="Normalny"/>
    <w:qFormat/>
    <w:locked/>
    <w:rsid w:val="00522D94"/>
    <w:pPr>
      <w:keepNext/>
      <w:spacing w:before="240" w:after="60" w:line="240" w:lineRule="auto"/>
      <w:outlineLvl w:val="2"/>
    </w:pPr>
    <w:rPr>
      <w:rFonts w:ascii="Arial" w:eastAsia="Times New Roman" w:hAnsi="Arial" w:cs="Arial"/>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99"/>
    <w:rsid w:val="00764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rsid w:val="004702C9"/>
    <w:pPr>
      <w:spacing w:line="240" w:lineRule="auto"/>
    </w:pPr>
    <w:rPr>
      <w:rFonts w:ascii="Tahoma" w:hAnsi="Tahoma" w:cs="Tahoma"/>
      <w:sz w:val="16"/>
      <w:szCs w:val="16"/>
    </w:rPr>
  </w:style>
  <w:style w:type="character" w:customStyle="1" w:styleId="TekstdymkaZnak">
    <w:name w:val="Tekst dymka Znak"/>
    <w:link w:val="Tekstdymka"/>
    <w:uiPriority w:val="99"/>
    <w:semiHidden/>
    <w:locked/>
    <w:rsid w:val="004702C9"/>
    <w:rPr>
      <w:rFonts w:ascii="Tahoma" w:hAnsi="Tahoma" w:cs="Tahoma"/>
      <w:sz w:val="16"/>
      <w:szCs w:val="16"/>
    </w:rPr>
  </w:style>
  <w:style w:type="paragraph" w:styleId="Nagwek">
    <w:name w:val="header"/>
    <w:basedOn w:val="Normalny"/>
    <w:link w:val="NagwekZnak"/>
    <w:uiPriority w:val="99"/>
    <w:unhideWhenUsed/>
    <w:rsid w:val="00044739"/>
    <w:pPr>
      <w:tabs>
        <w:tab w:val="center" w:pos="4536"/>
        <w:tab w:val="right" w:pos="9072"/>
      </w:tabs>
      <w:spacing w:line="240" w:lineRule="auto"/>
    </w:pPr>
  </w:style>
  <w:style w:type="character" w:customStyle="1" w:styleId="NagwekZnak">
    <w:name w:val="Nagłówek Znak"/>
    <w:link w:val="Nagwek"/>
    <w:uiPriority w:val="99"/>
    <w:rsid w:val="00044739"/>
    <w:rPr>
      <w:lang w:eastAsia="en-US"/>
    </w:rPr>
  </w:style>
  <w:style w:type="paragraph" w:styleId="Stopka">
    <w:name w:val="footer"/>
    <w:basedOn w:val="Normalny"/>
    <w:link w:val="StopkaZnak"/>
    <w:uiPriority w:val="99"/>
    <w:unhideWhenUsed/>
    <w:rsid w:val="00044739"/>
    <w:pPr>
      <w:tabs>
        <w:tab w:val="center" w:pos="4536"/>
        <w:tab w:val="right" w:pos="9072"/>
      </w:tabs>
      <w:spacing w:line="240" w:lineRule="auto"/>
    </w:pPr>
  </w:style>
  <w:style w:type="character" w:customStyle="1" w:styleId="StopkaZnak">
    <w:name w:val="Stopka Znak"/>
    <w:link w:val="Stopka"/>
    <w:uiPriority w:val="99"/>
    <w:rsid w:val="00044739"/>
    <w:rPr>
      <w:lang w:eastAsia="en-US"/>
    </w:rPr>
  </w:style>
  <w:style w:type="paragraph" w:styleId="Tekstprzypisukocowego">
    <w:name w:val="endnote text"/>
    <w:basedOn w:val="Normalny"/>
    <w:link w:val="TekstprzypisukocowegoZnak"/>
    <w:uiPriority w:val="99"/>
    <w:semiHidden/>
    <w:unhideWhenUsed/>
    <w:rsid w:val="00DF58CD"/>
    <w:pPr>
      <w:spacing w:line="240" w:lineRule="auto"/>
    </w:pPr>
    <w:rPr>
      <w:sz w:val="20"/>
      <w:szCs w:val="20"/>
    </w:rPr>
  </w:style>
  <w:style w:type="character" w:customStyle="1" w:styleId="TekstprzypisukocowegoZnak">
    <w:name w:val="Tekst przypisu końcowego Znak"/>
    <w:link w:val="Tekstprzypisukocowego"/>
    <w:uiPriority w:val="99"/>
    <w:semiHidden/>
    <w:rsid w:val="00DF58CD"/>
    <w:rPr>
      <w:sz w:val="20"/>
      <w:szCs w:val="20"/>
      <w:lang w:eastAsia="en-US"/>
    </w:rPr>
  </w:style>
  <w:style w:type="character" w:styleId="Odwoanieprzypisukocowego">
    <w:name w:val="endnote reference"/>
    <w:uiPriority w:val="99"/>
    <w:semiHidden/>
    <w:unhideWhenUsed/>
    <w:rsid w:val="00DF58CD"/>
    <w:rPr>
      <w:vertAlign w:val="superscript"/>
    </w:rPr>
  </w:style>
  <w:style w:type="paragraph" w:styleId="Akapitzlist">
    <w:name w:val="List Paragraph"/>
    <w:basedOn w:val="Normalny"/>
    <w:uiPriority w:val="99"/>
    <w:qFormat/>
    <w:rsid w:val="00397078"/>
    <w:pPr>
      <w:ind w:left="720"/>
      <w:contextualSpacing/>
    </w:pPr>
  </w:style>
  <w:style w:type="character" w:styleId="Odwoaniedokomentarza">
    <w:name w:val="annotation reference"/>
    <w:uiPriority w:val="99"/>
    <w:semiHidden/>
    <w:unhideWhenUsed/>
    <w:rsid w:val="00A17CB2"/>
    <w:rPr>
      <w:sz w:val="16"/>
      <w:szCs w:val="16"/>
    </w:rPr>
  </w:style>
  <w:style w:type="paragraph" w:styleId="Tekstkomentarza">
    <w:name w:val="annotation text"/>
    <w:basedOn w:val="Normalny"/>
    <w:link w:val="TekstkomentarzaZnak"/>
    <w:uiPriority w:val="99"/>
    <w:semiHidden/>
    <w:unhideWhenUsed/>
    <w:rsid w:val="00A17CB2"/>
    <w:rPr>
      <w:sz w:val="20"/>
      <w:szCs w:val="20"/>
    </w:rPr>
  </w:style>
  <w:style w:type="character" w:customStyle="1" w:styleId="TekstkomentarzaZnak">
    <w:name w:val="Tekst komentarza Znak"/>
    <w:link w:val="Tekstkomentarza"/>
    <w:uiPriority w:val="99"/>
    <w:semiHidden/>
    <w:rsid w:val="00A17CB2"/>
    <w:rPr>
      <w:lang w:eastAsia="en-US"/>
    </w:rPr>
  </w:style>
  <w:style w:type="paragraph" w:styleId="Tematkomentarza">
    <w:name w:val="annotation subject"/>
    <w:basedOn w:val="Tekstkomentarza"/>
    <w:next w:val="Tekstkomentarza"/>
    <w:link w:val="TematkomentarzaZnak"/>
    <w:uiPriority w:val="99"/>
    <w:semiHidden/>
    <w:unhideWhenUsed/>
    <w:rsid w:val="00A17CB2"/>
    <w:rPr>
      <w:b/>
      <w:bCs/>
    </w:rPr>
  </w:style>
  <w:style w:type="character" w:customStyle="1" w:styleId="TematkomentarzaZnak">
    <w:name w:val="Temat komentarza Znak"/>
    <w:link w:val="Tematkomentarza"/>
    <w:uiPriority w:val="99"/>
    <w:semiHidden/>
    <w:rsid w:val="00A17CB2"/>
    <w:rPr>
      <w:b/>
      <w:bCs/>
      <w:lang w:eastAsia="en-US"/>
    </w:rPr>
  </w:style>
  <w:style w:type="paragraph" w:styleId="Tekstprzypisudolnego">
    <w:name w:val="footnote text"/>
    <w:basedOn w:val="Normalny"/>
    <w:link w:val="TekstprzypisudolnegoZnak"/>
    <w:uiPriority w:val="99"/>
    <w:semiHidden/>
    <w:unhideWhenUsed/>
    <w:rsid w:val="00C047A7"/>
    <w:rPr>
      <w:sz w:val="20"/>
      <w:szCs w:val="20"/>
    </w:rPr>
  </w:style>
  <w:style w:type="character" w:customStyle="1" w:styleId="TekstprzypisudolnegoZnak">
    <w:name w:val="Tekst przypisu dolnego Znak"/>
    <w:link w:val="Tekstprzypisudolnego"/>
    <w:uiPriority w:val="99"/>
    <w:semiHidden/>
    <w:rsid w:val="00C047A7"/>
    <w:rPr>
      <w:lang w:eastAsia="en-US"/>
    </w:rPr>
  </w:style>
  <w:style w:type="character" w:styleId="Odwoanieprzypisudolnego">
    <w:name w:val="footnote reference"/>
    <w:uiPriority w:val="99"/>
    <w:semiHidden/>
    <w:unhideWhenUsed/>
    <w:rsid w:val="00C047A7"/>
    <w:rPr>
      <w:vertAlign w:val="superscript"/>
    </w:rPr>
  </w:style>
  <w:style w:type="character" w:styleId="Hipercze">
    <w:name w:val="Hyperlink"/>
    <w:uiPriority w:val="99"/>
    <w:unhideWhenUsed/>
    <w:rsid w:val="0072636A"/>
    <w:rPr>
      <w:color w:val="0000FF"/>
      <w:u w:val="single"/>
    </w:rPr>
  </w:style>
  <w:style w:type="character" w:styleId="UyteHipercze">
    <w:name w:val="FollowedHyperlink"/>
    <w:uiPriority w:val="99"/>
    <w:semiHidden/>
    <w:unhideWhenUsed/>
    <w:rsid w:val="00801F71"/>
    <w:rPr>
      <w:color w:val="800080"/>
      <w:u w:val="single"/>
    </w:rPr>
  </w:style>
  <w:style w:type="paragraph" w:styleId="Poprawka">
    <w:name w:val="Revision"/>
    <w:hidden/>
    <w:uiPriority w:val="99"/>
    <w:semiHidden/>
    <w:rsid w:val="00F525C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0433">
      <w:bodyDiv w:val="1"/>
      <w:marLeft w:val="0"/>
      <w:marRight w:val="0"/>
      <w:marTop w:val="0"/>
      <w:marBottom w:val="0"/>
      <w:divBdr>
        <w:top w:val="none" w:sz="0" w:space="0" w:color="auto"/>
        <w:left w:val="none" w:sz="0" w:space="0" w:color="auto"/>
        <w:bottom w:val="none" w:sz="0" w:space="0" w:color="auto"/>
        <w:right w:val="none" w:sz="0" w:space="0" w:color="auto"/>
      </w:divBdr>
    </w:div>
    <w:div w:id="203905230">
      <w:bodyDiv w:val="1"/>
      <w:marLeft w:val="0"/>
      <w:marRight w:val="0"/>
      <w:marTop w:val="0"/>
      <w:marBottom w:val="0"/>
      <w:divBdr>
        <w:top w:val="none" w:sz="0" w:space="0" w:color="auto"/>
        <w:left w:val="none" w:sz="0" w:space="0" w:color="auto"/>
        <w:bottom w:val="none" w:sz="0" w:space="0" w:color="auto"/>
        <w:right w:val="none" w:sz="0" w:space="0" w:color="auto"/>
      </w:divBdr>
    </w:div>
    <w:div w:id="275987058">
      <w:bodyDiv w:val="1"/>
      <w:marLeft w:val="0"/>
      <w:marRight w:val="0"/>
      <w:marTop w:val="0"/>
      <w:marBottom w:val="0"/>
      <w:divBdr>
        <w:top w:val="none" w:sz="0" w:space="0" w:color="auto"/>
        <w:left w:val="none" w:sz="0" w:space="0" w:color="auto"/>
        <w:bottom w:val="none" w:sz="0" w:space="0" w:color="auto"/>
        <w:right w:val="none" w:sz="0" w:space="0" w:color="auto"/>
      </w:divBdr>
    </w:div>
    <w:div w:id="556551767">
      <w:bodyDiv w:val="1"/>
      <w:marLeft w:val="0"/>
      <w:marRight w:val="0"/>
      <w:marTop w:val="0"/>
      <w:marBottom w:val="0"/>
      <w:divBdr>
        <w:top w:val="none" w:sz="0" w:space="0" w:color="auto"/>
        <w:left w:val="none" w:sz="0" w:space="0" w:color="auto"/>
        <w:bottom w:val="none" w:sz="0" w:space="0" w:color="auto"/>
        <w:right w:val="none" w:sz="0" w:space="0" w:color="auto"/>
      </w:divBdr>
    </w:div>
    <w:div w:id="557935918">
      <w:bodyDiv w:val="1"/>
      <w:marLeft w:val="0"/>
      <w:marRight w:val="0"/>
      <w:marTop w:val="0"/>
      <w:marBottom w:val="0"/>
      <w:divBdr>
        <w:top w:val="none" w:sz="0" w:space="0" w:color="auto"/>
        <w:left w:val="none" w:sz="0" w:space="0" w:color="auto"/>
        <w:bottom w:val="none" w:sz="0" w:space="0" w:color="auto"/>
        <w:right w:val="none" w:sz="0" w:space="0" w:color="auto"/>
      </w:divBdr>
    </w:div>
    <w:div w:id="589629821">
      <w:bodyDiv w:val="1"/>
      <w:marLeft w:val="0"/>
      <w:marRight w:val="0"/>
      <w:marTop w:val="0"/>
      <w:marBottom w:val="0"/>
      <w:divBdr>
        <w:top w:val="none" w:sz="0" w:space="0" w:color="auto"/>
        <w:left w:val="none" w:sz="0" w:space="0" w:color="auto"/>
        <w:bottom w:val="none" w:sz="0" w:space="0" w:color="auto"/>
        <w:right w:val="none" w:sz="0" w:space="0" w:color="auto"/>
      </w:divBdr>
    </w:div>
    <w:div w:id="832917754">
      <w:bodyDiv w:val="1"/>
      <w:marLeft w:val="0"/>
      <w:marRight w:val="0"/>
      <w:marTop w:val="0"/>
      <w:marBottom w:val="0"/>
      <w:divBdr>
        <w:top w:val="none" w:sz="0" w:space="0" w:color="auto"/>
        <w:left w:val="none" w:sz="0" w:space="0" w:color="auto"/>
        <w:bottom w:val="none" w:sz="0" w:space="0" w:color="auto"/>
        <w:right w:val="none" w:sz="0" w:space="0" w:color="auto"/>
      </w:divBdr>
    </w:div>
    <w:div w:id="1063797178">
      <w:bodyDiv w:val="1"/>
      <w:marLeft w:val="0"/>
      <w:marRight w:val="0"/>
      <w:marTop w:val="0"/>
      <w:marBottom w:val="0"/>
      <w:divBdr>
        <w:top w:val="none" w:sz="0" w:space="0" w:color="auto"/>
        <w:left w:val="none" w:sz="0" w:space="0" w:color="auto"/>
        <w:bottom w:val="none" w:sz="0" w:space="0" w:color="auto"/>
        <w:right w:val="none" w:sz="0" w:space="0" w:color="auto"/>
      </w:divBdr>
    </w:div>
    <w:div w:id="1408189191">
      <w:bodyDiv w:val="1"/>
      <w:marLeft w:val="0"/>
      <w:marRight w:val="0"/>
      <w:marTop w:val="0"/>
      <w:marBottom w:val="0"/>
      <w:divBdr>
        <w:top w:val="none" w:sz="0" w:space="0" w:color="auto"/>
        <w:left w:val="none" w:sz="0" w:space="0" w:color="auto"/>
        <w:bottom w:val="none" w:sz="0" w:space="0" w:color="auto"/>
        <w:right w:val="none" w:sz="0" w:space="0" w:color="auto"/>
      </w:divBdr>
    </w:div>
    <w:div w:id="1831095207">
      <w:bodyDiv w:val="1"/>
      <w:marLeft w:val="0"/>
      <w:marRight w:val="0"/>
      <w:marTop w:val="0"/>
      <w:marBottom w:val="0"/>
      <w:divBdr>
        <w:top w:val="none" w:sz="0" w:space="0" w:color="auto"/>
        <w:left w:val="none" w:sz="0" w:space="0" w:color="auto"/>
        <w:bottom w:val="none" w:sz="0" w:space="0" w:color="auto"/>
        <w:right w:val="none" w:sz="0" w:space="0" w:color="auto"/>
      </w:divBdr>
    </w:div>
    <w:div w:id="190756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kasz.bartuszek@klimat.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f.gov.pl/ministerstwo-finansow/dzialalnosc/finanse-publiczne/sytuacja-makroekonomiczna-i-finanse-publiczne/wytyczne/-/asset_publisher/S0gu/content/wytyczne-dotyczace-stosowania-jednolitych-wskaznikow-makroekonomicznych-bedacych-podstawa-oszacowania-skutkow-finansowych-projektowanych-ustaw;jsessionid=1065FD5D001213ECD71FD650347F1674?redirect=http%3A%2F%2Fwww.mf.gov.pl%2Fministerstwo-finansow%2Fdzialalnosc%2Ffinanse-publiczne%2Fsytuacja-makroekonomiczna-i-finanse-publiczne%2Fwytyczne%3Fp_p_id%3D101_INSTANCE_S0gu%26p_p_lifecycle%3D0%26p_p_state%3Dnormal%26p_p_mode%3Dview%26p_p_col_id%3Dcolumn-2%26p_p_col_count%3D1%20-%20p_p_id_101_INSTANCE_S0gu_" TargetMode="External"/><Relationship Id="rId5" Type="http://schemas.openxmlformats.org/officeDocument/2006/relationships/webSettings" Target="webSettings.xml"/><Relationship Id="rId10" Type="http://schemas.openxmlformats.org/officeDocument/2006/relationships/hyperlink" Target="http://www.mf.gov.pl/ministerstwo-finansow/dzialalnosc/finanse-publiczne/sytuacja-makroekonomiczna-i-finanse-publiczne/wytyczne/-/asset_publisher/S0gu/content/wytyczne-dotyczace-stosowania-jednolitych-wskaznikow-makroekonomicznych-bedacych-podstawa-oszacowania-skutkow-finansowych-projektowanych-ustaw?redirect=http%3A%2F%2Fwww.mf.gov.pl%2Fministerstwo-finansow%2Fdzialalnosc%2Ffinanse-publiczne%2Fsytuacja-makroekonomiczna-i-finanse-publiczne%2Fwytyczne%3Fp_p_id%3D101_INSTANCE_S0gu%26p_p_lifecycle%3D0%26p_p_state%3Dnormal%26p_p_mode%3Dview%26p_p_col_id%3Dcolumn-2%26p_p_col_count%3D1" TargetMode="External"/><Relationship Id="rId4" Type="http://schemas.openxmlformats.org/officeDocument/2006/relationships/settings" Target="setting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www.statnett.no/Media/Nyheter/Nyhetsarkiv-2018/De-forste-aktorer-er-godkjent-for-a-ta-i-bruk-Elhub/" TargetMode="External"/><Relationship Id="rId1" Type="http://schemas.openxmlformats.org/officeDocument/2006/relationships/hyperlink" Target="https://www.ure.gov.pl/pl/urzad/wspolpraca-miedzynarod/trzeci-pakiet-energet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0EEE6-9345-4715-A7A5-F1A48D7D0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14914</Words>
  <Characters>89486</Characters>
  <Application>Microsoft Office Word</Application>
  <DocSecurity>0</DocSecurity>
  <Lines>745</Lines>
  <Paragraphs>208</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104192</CharactersWithSpaces>
  <SharedDoc>false</SharedDoc>
  <HLinks>
    <vt:vector size="30" baseType="variant">
      <vt:variant>
        <vt:i4>1638433</vt:i4>
      </vt:variant>
      <vt:variant>
        <vt:i4>67</vt:i4>
      </vt:variant>
      <vt:variant>
        <vt:i4>0</vt:i4>
      </vt:variant>
      <vt:variant>
        <vt:i4>5</vt:i4>
      </vt:variant>
      <vt:variant>
        <vt:lpwstr>http://www.mf.gov.pl/ministerstwo-finansow/dzialalnosc/finanse-publiczne/sytuacja-makroekonomiczna-i-finanse-publiczne/wytyczne/-/asset_publisher/S0gu/content/wytyczne-dotyczace-stosowania-jednolitych-wskaznikow-makroekonomicznych-bedacych-podstawa-oszacowania-skutkow-finansowych-projektowanych-ustaw;jsessionid=1065FD5D001213ECD71FD650347F1674?redirect=http%3A%2F%2Fwww.mf.gov.pl%2Fministerstwo-finansow%2Fdzialalnosc%2Ffinanse-publiczne%2Fsytuacja-makroekonomiczna-i-finanse-publiczne%2Fwytyczne%3Fp_p_id%3D101_INSTANCE_S0gu%26p_p_lifecycle%3D0%26p_p_state%3Dnormal%26p_p_mode%3Dview%26p_p_col_id%3Dcolumn-2%26p_p_col_count%3D1%20-%20p_p_id_101_INSTANCE_S0gu_</vt:lpwstr>
      </vt:variant>
      <vt:variant>
        <vt:lpwstr/>
      </vt:variant>
      <vt:variant>
        <vt:i4>8323197</vt:i4>
      </vt:variant>
      <vt:variant>
        <vt:i4>64</vt:i4>
      </vt:variant>
      <vt:variant>
        <vt:i4>0</vt:i4>
      </vt:variant>
      <vt:variant>
        <vt:i4>5</vt:i4>
      </vt:variant>
      <vt:variant>
        <vt:lpwstr>http://www.mf.gov.pl/ministerstwo-finansow/dzialalnosc/finanse-publiczne/sytuacja-makroekonomiczna-i-finanse-publiczne/wytyczne/-/asset_publisher/S0gu/content/wytyczne-dotyczace-stosowania-jednolitych-wskaznikow-makroekonomicznych-bedacych-podstawa-oszacowania-skutkow-finansowych-projektowanych-ustaw?redirect=http%3A%2F%2Fwww.mf.gov.pl%2Fministerstwo-finansow%2Fdzialalnosc%2Ffinanse-publiczne%2Fsytuacja-makroekonomiczna-i-finanse-publiczne%2Fwytyczne%3Fp_p_id%3D101_INSTANCE_S0gu%26p_p_lifecycle%3D0%26p_p_state%3Dnormal%26p_p_mode%3Dview%26p_p_col_id%3Dcolumn-2%26p_p_col_count%3D1</vt:lpwstr>
      </vt:variant>
      <vt:variant>
        <vt:lpwstr>p_p_id_101_INSTANCE_S0gu_</vt:lpwstr>
      </vt:variant>
      <vt:variant>
        <vt:i4>7405649</vt:i4>
      </vt:variant>
      <vt:variant>
        <vt:i4>0</vt:i4>
      </vt:variant>
      <vt:variant>
        <vt:i4>0</vt:i4>
      </vt:variant>
      <vt:variant>
        <vt:i4>5</vt:i4>
      </vt:variant>
      <vt:variant>
        <vt:lpwstr>http://www.senat.gov.pl/gfx/senat/userfiles/_public/k8/dokumenty/stenogram/oswiadczenia/jackowski/5921o.pdf</vt:lpwstr>
      </vt:variant>
      <vt:variant>
        <vt:lpwstr/>
      </vt:variant>
      <vt:variant>
        <vt:i4>8323115</vt:i4>
      </vt:variant>
      <vt:variant>
        <vt:i4>3</vt:i4>
      </vt:variant>
      <vt:variant>
        <vt:i4>0</vt:i4>
      </vt:variant>
      <vt:variant>
        <vt:i4>5</vt:i4>
      </vt:variant>
      <vt:variant>
        <vt:lpwstr>http://www.statnett.no/Media/Nyheter/Nyhetsarkiv-2018/De-forste-aktorer-er-godkjent-for-a-ta-i-bruk-Elhub/</vt:lpwstr>
      </vt:variant>
      <vt:variant>
        <vt:lpwstr/>
      </vt:variant>
      <vt:variant>
        <vt:i4>1245263</vt:i4>
      </vt:variant>
      <vt:variant>
        <vt:i4>0</vt:i4>
      </vt:variant>
      <vt:variant>
        <vt:i4>0</vt:i4>
      </vt:variant>
      <vt:variant>
        <vt:i4>5</vt:i4>
      </vt:variant>
      <vt:variant>
        <vt:lpwstr>https://www.ure.gov.pl/pl/urzad/wspolpraca-miedzynarod/trzeci-pakiet-energety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2020-07-10T09:31:00Z</dcterms:created>
  <dcterms:modified xsi:type="dcterms:W3CDTF">2020-07-10T09:31:00Z</dcterms:modified>
</cp:coreProperties>
</file>