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42"/>
        <w:gridCol w:w="119"/>
        <w:gridCol w:w="164"/>
        <w:gridCol w:w="497"/>
        <w:gridCol w:w="70"/>
        <w:gridCol w:w="567"/>
        <w:gridCol w:w="94"/>
        <w:gridCol w:w="473"/>
        <w:gridCol w:w="143"/>
        <w:gridCol w:w="201"/>
        <w:gridCol w:w="34"/>
        <w:gridCol w:w="331"/>
        <w:gridCol w:w="521"/>
        <w:gridCol w:w="188"/>
        <w:gridCol w:w="588"/>
        <w:gridCol w:w="76"/>
        <w:gridCol w:w="45"/>
        <w:gridCol w:w="488"/>
        <w:gridCol w:w="220"/>
        <w:gridCol w:w="98"/>
        <w:gridCol w:w="328"/>
        <w:gridCol w:w="205"/>
        <w:gridCol w:w="319"/>
        <w:gridCol w:w="287"/>
        <w:gridCol w:w="565"/>
        <w:gridCol w:w="41"/>
        <w:gridCol w:w="811"/>
      </w:tblGrid>
      <w:tr w:rsidR="006A701A" w:rsidRPr="008B4FE6" w14:paraId="2AC8DFAE" w14:textId="77777777" w:rsidTr="006E43A6">
        <w:trPr>
          <w:trHeight w:val="1611"/>
        </w:trPr>
        <w:tc>
          <w:tcPr>
            <w:tcW w:w="7393" w:type="dxa"/>
            <w:gridSpan w:val="16"/>
          </w:tcPr>
          <w:p w14:paraId="21ACB525" w14:textId="77777777" w:rsidR="006A701A" w:rsidRPr="008B4FE6" w:rsidRDefault="006A701A" w:rsidP="00950CB8">
            <w:pPr>
              <w:spacing w:before="120" w:line="240" w:lineRule="auto"/>
              <w:ind w:hanging="45"/>
              <w:jc w:val="both"/>
              <w:rPr>
                <w:rFonts w:ascii="Times New Roman" w:hAnsi="Times New Roman"/>
                <w:color w:val="000000"/>
              </w:rPr>
            </w:pPr>
            <w:bookmarkStart w:id="0" w:name="t1"/>
            <w:r w:rsidRPr="008B4FE6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B75D8">
              <w:rPr>
                <w:rFonts w:ascii="Times New Roman" w:hAnsi="Times New Roman"/>
                <w:b/>
                <w:color w:val="000000"/>
              </w:rPr>
              <w:t>projektu</w:t>
            </w:r>
          </w:p>
          <w:p w14:paraId="79AE0409" w14:textId="19BA13AD" w:rsidR="00BF73DB" w:rsidRPr="00BF73DB" w:rsidRDefault="00BF73DB" w:rsidP="00950CB8">
            <w:pPr>
              <w:spacing w:line="240" w:lineRule="auto"/>
              <w:ind w:hanging="34"/>
              <w:jc w:val="both"/>
              <w:rPr>
                <w:rFonts w:ascii="Times New Roman" w:hAnsi="Times New Roman"/>
                <w:color w:val="000000"/>
              </w:rPr>
            </w:pPr>
            <w:r w:rsidRPr="00BF73DB">
              <w:rPr>
                <w:rFonts w:ascii="Times New Roman" w:hAnsi="Times New Roman"/>
                <w:color w:val="000000"/>
              </w:rPr>
              <w:t>Usta</w:t>
            </w:r>
            <w:r w:rsidR="000A2F5E">
              <w:rPr>
                <w:rFonts w:ascii="Times New Roman" w:hAnsi="Times New Roman"/>
                <w:color w:val="000000"/>
              </w:rPr>
              <w:t xml:space="preserve">wa o rozliczaniu ceny lokali </w:t>
            </w:r>
            <w:r w:rsidR="0042586B">
              <w:rPr>
                <w:rFonts w:ascii="Times New Roman" w:hAnsi="Times New Roman"/>
                <w:color w:val="000000"/>
              </w:rPr>
              <w:t xml:space="preserve">lub budynków </w:t>
            </w:r>
            <w:r w:rsidR="000A2F5E">
              <w:rPr>
                <w:rFonts w:ascii="Times New Roman" w:hAnsi="Times New Roman"/>
                <w:color w:val="000000"/>
              </w:rPr>
              <w:t>w cenie nieruchomości zbywanych z gminnego zasobu nieruchomości</w:t>
            </w:r>
          </w:p>
          <w:p w14:paraId="23DDC4EF" w14:textId="77777777" w:rsidR="006A701A" w:rsidRPr="008B4FE6" w:rsidRDefault="006A701A" w:rsidP="00950CB8">
            <w:pPr>
              <w:spacing w:before="120" w:line="240" w:lineRule="auto"/>
              <w:ind w:hanging="4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bookmarkEnd w:id="0"/>
          <w:p w14:paraId="0DD8BB73" w14:textId="77777777" w:rsidR="00BF73DB" w:rsidRPr="00BF73DB" w:rsidRDefault="00BF73DB" w:rsidP="00950CB8">
            <w:pPr>
              <w:jc w:val="both"/>
              <w:rPr>
                <w:rFonts w:ascii="Times New Roman" w:hAnsi="Times New Roman"/>
                <w:color w:val="000000"/>
              </w:rPr>
            </w:pPr>
            <w:r w:rsidRPr="00BF73DB">
              <w:rPr>
                <w:rFonts w:ascii="Times New Roman" w:hAnsi="Times New Roman"/>
                <w:color w:val="000000"/>
              </w:rPr>
              <w:t>Minister</w:t>
            </w:r>
            <w:r>
              <w:rPr>
                <w:rFonts w:ascii="Times New Roman" w:hAnsi="Times New Roman"/>
                <w:color w:val="000000"/>
              </w:rPr>
              <w:t>stwo</w:t>
            </w:r>
            <w:r w:rsidR="00E05288">
              <w:rPr>
                <w:rFonts w:ascii="Times New Roman" w:hAnsi="Times New Roman"/>
                <w:color w:val="000000"/>
              </w:rPr>
              <w:t xml:space="preserve"> </w:t>
            </w:r>
            <w:r w:rsidRPr="00BF73DB">
              <w:rPr>
                <w:rFonts w:ascii="Times New Roman" w:hAnsi="Times New Roman"/>
                <w:color w:val="000000"/>
              </w:rPr>
              <w:t xml:space="preserve"> Rozwoju </w:t>
            </w:r>
          </w:p>
          <w:p w14:paraId="4E9BEE36" w14:textId="77777777" w:rsidR="001B3460" w:rsidRPr="00642825" w:rsidRDefault="001B3460" w:rsidP="00950CB8">
            <w:pPr>
              <w:spacing w:before="12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4"/>
              </w:rPr>
              <w:t>Osoba odpowiedzialna za projekt w randze Ministra, Sekretarza Stanu lub Podsekretarza Stanu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14:paraId="4F0E79BD" w14:textId="77777777" w:rsidR="00BF73DB" w:rsidRPr="00942EF0" w:rsidRDefault="00E05288" w:rsidP="00950CB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Robert</w:t>
            </w:r>
            <w:r w:rsidR="000A2F5E">
              <w:rPr>
                <w:rFonts w:ascii="Times New Roman" w:hAnsi="Times New Roman"/>
                <w:color w:val="000000"/>
                <w:spacing w:val="-2"/>
              </w:rPr>
              <w:t xml:space="preserve"> Krzysztof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Nowicki </w:t>
            </w:r>
            <w:r w:rsidR="00BF73DB" w:rsidRPr="00942EF0">
              <w:rPr>
                <w:rFonts w:ascii="Times New Roman" w:hAnsi="Times New Roman"/>
                <w:color w:val="000000"/>
                <w:spacing w:val="-2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2"/>
              </w:rPr>
              <w:t>Pods</w:t>
            </w:r>
            <w:r w:rsidR="00BF73DB" w:rsidRPr="00942EF0">
              <w:rPr>
                <w:rFonts w:ascii="Times New Roman" w:hAnsi="Times New Roman"/>
                <w:color w:val="000000"/>
                <w:spacing w:val="-2"/>
              </w:rPr>
              <w:t>ekretarz Stanu w Ministerstwie Rozwoju</w:t>
            </w:r>
          </w:p>
          <w:p w14:paraId="7961259E" w14:textId="77777777" w:rsidR="006A701A" w:rsidRPr="008B4FE6" w:rsidRDefault="006A701A" w:rsidP="00AA0180">
            <w:pPr>
              <w:spacing w:before="120" w:line="240" w:lineRule="auto"/>
              <w:ind w:hanging="4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1EED1610" w14:textId="77777777" w:rsidR="000A2F5E" w:rsidRDefault="000A2F5E" w:rsidP="00AA0180">
            <w:pPr>
              <w:spacing w:line="240" w:lineRule="auto"/>
              <w:ind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Katarzyna Szpot-Prusak – główny specjalista w Wydziale Wspierania Mieszkalnictwa i Analiz</w:t>
            </w:r>
            <w:r w:rsidR="00E05288" w:rsidRPr="006A26E0">
              <w:rPr>
                <w:rFonts w:ascii="Times New Roman" w:hAnsi="Times New Roman"/>
                <w:color w:val="000000"/>
              </w:rPr>
              <w:t xml:space="preserve"> </w:t>
            </w:r>
            <w:r w:rsidR="00E05288">
              <w:rPr>
                <w:rFonts w:ascii="Times New Roman" w:hAnsi="Times New Roman"/>
                <w:color w:val="000000"/>
              </w:rPr>
              <w:t>w Depar</w:t>
            </w:r>
            <w:r>
              <w:rPr>
                <w:rFonts w:ascii="Times New Roman" w:hAnsi="Times New Roman"/>
                <w:color w:val="000000"/>
              </w:rPr>
              <w:t>tamencie Mieszkalnictwa</w:t>
            </w:r>
            <w:r w:rsidR="00950CB8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 tel.</w:t>
            </w:r>
            <w:r w:rsidR="00950CB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22 </w:t>
            </w:r>
            <w:r w:rsidR="00E05288">
              <w:rPr>
                <w:rFonts w:ascii="Times New Roman" w:hAnsi="Times New Roman"/>
                <w:color w:val="000000"/>
              </w:rPr>
              <w:t>522-</w:t>
            </w:r>
            <w:r>
              <w:rPr>
                <w:rFonts w:ascii="Times New Roman" w:hAnsi="Times New Roman"/>
                <w:color w:val="000000"/>
              </w:rPr>
              <w:t xml:space="preserve">53-31, </w:t>
            </w:r>
            <w:r w:rsidR="00950CB8">
              <w:rPr>
                <w:rFonts w:ascii="Times New Roman" w:hAnsi="Times New Roman"/>
                <w:color w:val="000000"/>
              </w:rPr>
              <w:br/>
            </w:r>
            <w:r w:rsidR="00E05288" w:rsidRPr="000A2F5E">
              <w:rPr>
                <w:rFonts w:ascii="Times New Roman" w:hAnsi="Times New Roman"/>
                <w:color w:val="000000"/>
              </w:rPr>
              <w:t xml:space="preserve">e-mail: </w:t>
            </w:r>
            <w:hyperlink r:id="rId9" w:history="1">
              <w:r w:rsidRPr="006A4581">
                <w:rPr>
                  <w:rStyle w:val="Hipercze"/>
                  <w:rFonts w:ascii="Times New Roman" w:hAnsi="Times New Roman"/>
                </w:rPr>
                <w:t>katarzyna.szpot-prusak@mr.gov.pl</w:t>
              </w:r>
            </w:hyperlink>
          </w:p>
          <w:p w14:paraId="08741A70" w14:textId="35361134" w:rsidR="00BF73DB" w:rsidRPr="00B15252" w:rsidRDefault="000A2F5E" w:rsidP="00AA0180">
            <w:pPr>
              <w:spacing w:line="240" w:lineRule="auto"/>
              <w:ind w:hanging="4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Artur Polak</w:t>
            </w:r>
            <w:r w:rsidR="006A26E0">
              <w:rPr>
                <w:rFonts w:ascii="Times New Roman" w:hAnsi="Times New Roman"/>
                <w:color w:val="000000"/>
              </w:rPr>
              <w:t xml:space="preserve"> </w:t>
            </w:r>
            <w:r w:rsidR="00BF73DB" w:rsidRPr="00B15252">
              <w:rPr>
                <w:rFonts w:ascii="Times New Roman" w:hAnsi="Times New Roman"/>
                <w:color w:val="000000"/>
              </w:rPr>
              <w:t xml:space="preserve">– </w:t>
            </w:r>
            <w:r>
              <w:rPr>
                <w:rFonts w:ascii="Times New Roman" w:hAnsi="Times New Roman"/>
                <w:color w:val="000000"/>
              </w:rPr>
              <w:t>naczelnik Wydziału</w:t>
            </w:r>
            <w:r w:rsidRPr="000A2F5E">
              <w:rPr>
                <w:rFonts w:ascii="Times New Roman" w:hAnsi="Times New Roman"/>
                <w:color w:val="000000"/>
              </w:rPr>
              <w:t xml:space="preserve"> Wspierania Mieszkalnictwa i Analiz </w:t>
            </w:r>
            <w:r w:rsidR="00950CB8">
              <w:rPr>
                <w:rFonts w:ascii="Times New Roman" w:hAnsi="Times New Roman"/>
                <w:color w:val="000000"/>
              </w:rPr>
              <w:br/>
            </w:r>
            <w:r w:rsidRPr="000A2F5E">
              <w:rPr>
                <w:rFonts w:ascii="Times New Roman" w:hAnsi="Times New Roman"/>
                <w:color w:val="000000"/>
              </w:rPr>
              <w:t>w Depar</w:t>
            </w:r>
            <w:r>
              <w:rPr>
                <w:rFonts w:ascii="Times New Roman" w:hAnsi="Times New Roman"/>
                <w:color w:val="000000"/>
              </w:rPr>
              <w:t>tamencie Mieszkalnictwa, tel. 22 522-53-22,</w:t>
            </w:r>
          </w:p>
          <w:p w14:paraId="6926FE1F" w14:textId="77777777" w:rsidR="000A2F5E" w:rsidRDefault="00BF73DB" w:rsidP="006B31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15252">
              <w:rPr>
                <w:rFonts w:ascii="Times New Roman" w:hAnsi="Times New Roman"/>
                <w:color w:val="000000"/>
                <w:lang w:val="en-US"/>
              </w:rPr>
              <w:t xml:space="preserve">e-mail: </w:t>
            </w:r>
            <w:r w:rsidR="0078433B">
              <w:fldChar w:fldCharType="begin"/>
            </w:r>
            <w:r w:rsidR="0078433B" w:rsidRPr="005913CE">
              <w:rPr>
                <w:lang w:val="en-US"/>
              </w:rPr>
              <w:instrText xml:space="preserve"> HYPERLINK "mailto:artur.polak@mr.gov.pl" </w:instrText>
            </w:r>
            <w:r w:rsidR="0078433B">
              <w:fldChar w:fldCharType="separate"/>
            </w:r>
            <w:r w:rsidR="000A2F5E" w:rsidRPr="006A4581">
              <w:rPr>
                <w:rStyle w:val="Hipercze"/>
                <w:rFonts w:ascii="Times New Roman" w:hAnsi="Times New Roman"/>
                <w:lang w:val="en-US"/>
              </w:rPr>
              <w:t>artur.polak@mr.gov.pl</w:t>
            </w:r>
            <w:r w:rsidR="0078433B">
              <w:rPr>
                <w:rStyle w:val="Hipercze"/>
                <w:rFonts w:ascii="Times New Roman" w:hAnsi="Times New Roman"/>
                <w:lang w:val="en-US"/>
              </w:rPr>
              <w:fldChar w:fldCharType="end"/>
            </w:r>
          </w:p>
          <w:p w14:paraId="527DBAE8" w14:textId="77777777" w:rsidR="006A701A" w:rsidRPr="004440E3" w:rsidRDefault="004440E3" w:rsidP="00AA0180">
            <w:pPr>
              <w:spacing w:line="240" w:lineRule="auto"/>
              <w:ind w:hanging="34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4440E3">
              <w:rPr>
                <w:rFonts w:ascii="Times New Roman" w:hAnsi="Times New Roman"/>
                <w:color w:val="000000"/>
                <w:u w:val="single"/>
              </w:rPr>
              <w:t>W zakresie dofinansowania infrastruktury towarzyszącej</w:t>
            </w:r>
          </w:p>
          <w:p w14:paraId="76BF0EA6" w14:textId="03A0804B" w:rsidR="00AA0180" w:rsidRDefault="004440E3" w:rsidP="00AA0180">
            <w:pPr>
              <w:spacing w:line="240" w:lineRule="auto"/>
              <w:ind w:hanging="3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Wiktoria Machnik</w:t>
            </w:r>
            <w:r w:rsidR="00666FFB">
              <w:rPr>
                <w:rFonts w:ascii="Times New Roman" w:hAnsi="Times New Roman"/>
                <w:color w:val="000000"/>
              </w:rPr>
              <w:t xml:space="preserve"> </w:t>
            </w:r>
            <w:r w:rsidR="00666FFB" w:rsidRPr="00666FFB">
              <w:rPr>
                <w:rFonts w:ascii="Times New Roman" w:hAnsi="Times New Roman"/>
                <w:color w:val="000000"/>
              </w:rPr>
              <w:t>–</w:t>
            </w:r>
            <w:r>
              <w:rPr>
                <w:rFonts w:ascii="Times New Roman" w:hAnsi="Times New Roman"/>
                <w:color w:val="000000"/>
              </w:rPr>
              <w:t xml:space="preserve"> naczelnik Wydziału Budownictwa Społecznego </w:t>
            </w:r>
            <w:r w:rsidR="00666FFB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w Depart</w:t>
            </w:r>
            <w:r w:rsidR="00AA0180">
              <w:rPr>
                <w:rFonts w:ascii="Times New Roman" w:hAnsi="Times New Roman"/>
                <w:color w:val="000000"/>
              </w:rPr>
              <w:t xml:space="preserve">amencie Mieszkalnictwa, e-mail: </w:t>
            </w:r>
            <w:hyperlink r:id="rId10" w:history="1">
              <w:r w:rsidR="00AA0180" w:rsidRPr="00897E97">
                <w:rPr>
                  <w:rStyle w:val="Hipercze"/>
                  <w:rFonts w:ascii="Times New Roman" w:hAnsi="Times New Roman"/>
                </w:rPr>
                <w:t>wiktoria.machnik@mr.gov.pl</w:t>
              </w:r>
            </w:hyperlink>
          </w:p>
          <w:p w14:paraId="17EFD763" w14:textId="19D40B37" w:rsidR="00AA0180" w:rsidRPr="004440E3" w:rsidRDefault="00AA0180" w:rsidP="00BA37B8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83" w:type="dxa"/>
            <w:gridSpan w:val="12"/>
            <w:shd w:val="clear" w:color="auto" w:fill="FFFFFF"/>
          </w:tcPr>
          <w:p w14:paraId="6726A88F" w14:textId="3C3D1819" w:rsidR="001B3460" w:rsidRPr="00642825" w:rsidRDefault="001B3460" w:rsidP="001B3460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>Data sporządzenia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br/>
            </w:r>
            <w:sdt>
              <w:sdtPr>
                <w:rPr>
                  <w:rFonts w:ascii="Times New Roman" w:hAnsi="Times New Roman"/>
                  <w:b/>
                  <w:sz w:val="21"/>
                  <w:szCs w:val="21"/>
                </w:rPr>
                <w:id w:val="-345788683"/>
                <w:placeholder>
                  <w:docPart w:val="DefaultPlaceholder_1082065160"/>
                </w:placeholder>
                <w:date w:fullDate="2020-07-10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913CE">
                  <w:rPr>
                    <w:rFonts w:ascii="Times New Roman" w:hAnsi="Times New Roman"/>
                    <w:b/>
                    <w:sz w:val="21"/>
                    <w:szCs w:val="21"/>
                  </w:rPr>
                  <w:t>10.07.2020</w:t>
                </w:r>
              </w:sdtContent>
            </w:sdt>
          </w:p>
          <w:p w14:paraId="511D6D9C" w14:textId="77777777" w:rsidR="00F76884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102D695" w14:textId="77777777" w:rsidR="00F76884" w:rsidRPr="0065019F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5019F">
              <w:rPr>
                <w:rFonts w:ascii="Times New Roman" w:hAnsi="Times New Roman"/>
                <w:b/>
              </w:rPr>
              <w:t xml:space="preserve">Źródło: </w:t>
            </w:r>
            <w:bookmarkStart w:id="1" w:name="Lista1"/>
          </w:p>
          <w:bookmarkEnd w:id="1" w:displacedByCustomXml="next"/>
          <w:sdt>
            <w:sdtPr>
              <w:rPr>
                <w:rFonts w:ascii="Times New Roman" w:hAnsi="Times New Roman"/>
              </w:rPr>
              <w:id w:val="-1451614635"/>
              <w:placeholder>
                <w:docPart w:val="DefaultPlaceholder_1082065159"/>
              </w:placeholder>
              <w:dropDownList>
                <w:listItem w:value="Wybierz element."/>
                <w:listItem w:displayText="Exposé PRM" w:value="Exposé PRM"/>
                <w:listItem w:displayText="Decyzja PRM/RM" w:value="Decyzja PRM/RM"/>
                <w:listItem w:displayText="Prawo UE" w:value="Prawo UE"/>
                <w:listItem w:displayText="Orzeczenie TK" w:value="Orzeczenie TK"/>
                <w:listItem w:displayText="Upoważnienie ustawowe" w:value="Upoważnienie ustawowe"/>
                <w:listItem w:displayText="Strategia" w:value="Strategia"/>
                <w:listItem w:displayText="Inne" w:value="Inne"/>
              </w:dropDownList>
            </w:sdtPr>
            <w:sdtEndPr/>
            <w:sdtContent>
              <w:p w14:paraId="14EEF4F6" w14:textId="77777777" w:rsidR="00F76884" w:rsidRPr="00EF290C" w:rsidRDefault="00BF73DB" w:rsidP="00F76884">
                <w:pPr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Inne</w:t>
                </w:r>
              </w:p>
            </w:sdtContent>
          </w:sdt>
          <w:p w14:paraId="2E384B53" w14:textId="77777777" w:rsidR="00997BB2" w:rsidRDefault="00997BB2" w:rsidP="00F76884">
            <w:pPr>
              <w:spacing w:line="240" w:lineRule="auto"/>
              <w:rPr>
                <w:rFonts w:ascii="Times New Roman" w:hAnsi="Times New Roman"/>
              </w:rPr>
            </w:pPr>
          </w:p>
          <w:p w14:paraId="40AE6D58" w14:textId="77777777" w:rsidR="00BA2BB7" w:rsidRPr="0065019F" w:rsidRDefault="00997BB2" w:rsidP="00997BB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Wnioski z realizacji  Narodowego Programu Mieszkaniowego</w:t>
            </w:r>
          </w:p>
          <w:p w14:paraId="7EA599AA" w14:textId="77777777" w:rsidR="00F76884" w:rsidRPr="0065019F" w:rsidRDefault="00F76884" w:rsidP="00F76884">
            <w:pPr>
              <w:spacing w:line="240" w:lineRule="auto"/>
              <w:rPr>
                <w:rFonts w:ascii="Times New Roman" w:hAnsi="Times New Roman"/>
              </w:rPr>
            </w:pPr>
          </w:p>
          <w:p w14:paraId="320500A6" w14:textId="77777777" w:rsidR="006A701A" w:rsidRPr="008B4FE6" w:rsidRDefault="006A701A" w:rsidP="007943E2">
            <w:pPr>
              <w:spacing w:before="120" w:line="240" w:lineRule="auto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Nr </w:t>
            </w:r>
            <w:r w:rsidR="0057668E">
              <w:rPr>
                <w:rFonts w:ascii="Times New Roman" w:hAnsi="Times New Roman"/>
                <w:b/>
                <w:color w:val="000000"/>
              </w:rPr>
              <w:t>w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wykaz</w:t>
            </w:r>
            <w:r w:rsidR="0057668E">
              <w:rPr>
                <w:rFonts w:ascii="Times New Roman" w:hAnsi="Times New Roman"/>
                <w:b/>
                <w:color w:val="000000"/>
              </w:rPr>
              <w:t>ie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prac </w:t>
            </w:r>
          </w:p>
          <w:p w14:paraId="04F6BDBF" w14:textId="5B90380C" w:rsidR="006A701A" w:rsidRPr="00933A65" w:rsidRDefault="0087596E" w:rsidP="007943E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UD91</w:t>
            </w:r>
          </w:p>
          <w:p w14:paraId="08D9E8E9" w14:textId="77777777" w:rsidR="006A701A" w:rsidRPr="008B4FE6" w:rsidRDefault="006A701A" w:rsidP="00A17CB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A701A" w:rsidRPr="0022687A" w14:paraId="7FEF8B9D" w14:textId="77777777" w:rsidTr="006E43A6">
        <w:trPr>
          <w:trHeight w:val="142"/>
        </w:trPr>
        <w:tc>
          <w:tcPr>
            <w:tcW w:w="10876" w:type="dxa"/>
            <w:gridSpan w:val="28"/>
            <w:shd w:val="clear" w:color="auto" w:fill="99CCFF"/>
          </w:tcPr>
          <w:p w14:paraId="7739D00D" w14:textId="77777777" w:rsidR="006A701A" w:rsidRPr="00627221" w:rsidRDefault="006A701A" w:rsidP="001B4CA1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627221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6A701A" w:rsidRPr="008B4FE6" w14:paraId="64492D37" w14:textId="77777777" w:rsidTr="006E43A6">
        <w:trPr>
          <w:trHeight w:val="333"/>
        </w:trPr>
        <w:tc>
          <w:tcPr>
            <w:tcW w:w="10876" w:type="dxa"/>
            <w:gridSpan w:val="28"/>
            <w:shd w:val="clear" w:color="auto" w:fill="99CCFF"/>
            <w:vAlign w:val="center"/>
          </w:tcPr>
          <w:p w14:paraId="23CC00D8" w14:textId="77777777" w:rsidR="006A701A" w:rsidRPr="008B4FE6" w:rsidRDefault="003D12F6" w:rsidP="006A701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12C7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1812C7">
              <w:rPr>
                <w:rFonts w:ascii="Times New Roman" w:hAnsi="Times New Roman"/>
                <w:b/>
              </w:rPr>
              <w:t>rozwiązywany</w:t>
            </w:r>
            <w:r w:rsidR="00CC6305">
              <w:rPr>
                <w:rFonts w:ascii="Times New Roman" w:hAnsi="Times New Roman"/>
                <w:b/>
              </w:rPr>
              <w:t>?</w:t>
            </w:r>
            <w:bookmarkStart w:id="2" w:name="Wybór1"/>
            <w:bookmarkEnd w:id="2"/>
          </w:p>
        </w:tc>
      </w:tr>
      <w:tr w:rsidR="006A701A" w:rsidRPr="008B4FE6" w14:paraId="271E48D3" w14:textId="77777777" w:rsidTr="006E43A6">
        <w:trPr>
          <w:trHeight w:val="142"/>
        </w:trPr>
        <w:tc>
          <w:tcPr>
            <w:tcW w:w="10876" w:type="dxa"/>
            <w:gridSpan w:val="28"/>
            <w:shd w:val="clear" w:color="auto" w:fill="FFFFFF"/>
          </w:tcPr>
          <w:p w14:paraId="66589382" w14:textId="77777777" w:rsidR="007C2E89" w:rsidRDefault="007C2E89" w:rsidP="00997BB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14:paraId="6F1FDE15" w14:textId="77F742C2" w:rsidR="00997BB2" w:rsidRPr="001D660A" w:rsidRDefault="00997BB2" w:rsidP="00997BB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D660A">
              <w:rPr>
                <w:rFonts w:ascii="Times New Roman" w:hAnsi="Times New Roman"/>
                <w:bCs/>
                <w:color w:val="000000"/>
              </w:rPr>
              <w:t>Głównym celem polityki mieszkaniowej w Pols</w:t>
            </w:r>
            <w:r w:rsidR="00D702D1">
              <w:rPr>
                <w:rFonts w:ascii="Times New Roman" w:hAnsi="Times New Roman"/>
                <w:bCs/>
                <w:color w:val="000000"/>
              </w:rPr>
              <w:t>ce w perspektywie do 2030 r., o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kreślonym w </w:t>
            </w:r>
            <w:r w:rsidRPr="001D660A">
              <w:rPr>
                <w:rFonts w:ascii="Times New Roman" w:hAnsi="Times New Roman"/>
                <w:bCs/>
                <w:i/>
                <w:iCs/>
                <w:color w:val="000000"/>
              </w:rPr>
              <w:t>uchwale nr 115/2016 Rady Ministrów z dnia 27 września 2016 r. w sprawie przyjęcia Narodowego Programu Mieszkaniowego</w:t>
            </w:r>
            <w:r w:rsidRPr="001D660A">
              <w:rPr>
                <w:rFonts w:ascii="Times New Roman" w:hAnsi="Times New Roman"/>
                <w:bCs/>
                <w:color w:val="000000"/>
              </w:rPr>
              <w:t>, jest zwiększenie</w:t>
            </w:r>
            <w:r w:rsidR="00D702D1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D702D1">
              <w:rPr>
                <w:rFonts w:ascii="Times New Roman" w:hAnsi="Times New Roman"/>
                <w:bCs/>
                <w:color w:val="000000"/>
              </w:rPr>
              <w:br/>
              <w:t>w Polsce do 2030 r.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liczby mieszkań przypadających na 1000 mieszkańców do poziomów osiąganych przeciętnie </w:t>
            </w:r>
            <w:r w:rsidR="00D702D1">
              <w:rPr>
                <w:rFonts w:ascii="Times New Roman" w:hAnsi="Times New Roman"/>
                <w:bCs/>
                <w:color w:val="000000"/>
              </w:rPr>
              <w:br/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w krajach Unii Europejskiej. Wzrost ten powinien być </w:t>
            </w:r>
            <w:r>
              <w:rPr>
                <w:rFonts w:ascii="Times New Roman" w:hAnsi="Times New Roman"/>
                <w:bCs/>
                <w:color w:val="000000"/>
              </w:rPr>
              <w:t>spowodowany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przez znaczne zwiększenie podaży mieszkań, zarówno w segmencie rynkowym </w:t>
            </w:r>
            <w:r w:rsidR="00D702D1">
              <w:rPr>
                <w:rFonts w:ascii="Times New Roman" w:hAnsi="Times New Roman"/>
                <w:bCs/>
                <w:color w:val="000000"/>
              </w:rPr>
              <w:t xml:space="preserve">(budownictwo deweloperskie na sprzedaż i wynajem, budownictwo indywidualne) </w:t>
            </w:r>
            <w:r w:rsidRPr="001D660A">
              <w:rPr>
                <w:rFonts w:ascii="Times New Roman" w:hAnsi="Times New Roman"/>
                <w:bCs/>
                <w:color w:val="000000"/>
              </w:rPr>
              <w:t>jak i segmencie społecznym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D702D1">
              <w:rPr>
                <w:rFonts w:ascii="Times New Roman" w:hAnsi="Times New Roman"/>
                <w:bCs/>
                <w:color w:val="000000"/>
              </w:rPr>
              <w:t xml:space="preserve">(budownictwo komunalne, budownictwo towarzystw budownictwa społecznego, budownictwo spółdzielcze), </w:t>
            </w:r>
            <w:r>
              <w:rPr>
                <w:rFonts w:ascii="Times New Roman" w:hAnsi="Times New Roman"/>
                <w:bCs/>
                <w:color w:val="000000"/>
              </w:rPr>
              <w:t>otwartym na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możliwości finansow</w:t>
            </w:r>
            <w:r>
              <w:rPr>
                <w:rFonts w:ascii="Times New Roman" w:hAnsi="Times New Roman"/>
                <w:bCs/>
                <w:color w:val="000000"/>
              </w:rPr>
              <w:t>e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gospodarstw domowych o niskich i przeciętnych dochodach. </w:t>
            </w:r>
            <w:r w:rsidR="00D702D1">
              <w:rPr>
                <w:rFonts w:ascii="Times New Roman" w:hAnsi="Times New Roman"/>
                <w:bCs/>
                <w:color w:val="000000"/>
              </w:rPr>
              <w:br/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W przypadku gospodarstw o niskich i przeciętnych dochodach wspomniany cel łączy się z drugim celem Programu, jakim jest zlikwidowanie do 2030 r. kolejek gospodarstw domowych oczekujących </w:t>
            </w:r>
            <w:r w:rsidR="002A7A48">
              <w:rPr>
                <w:rFonts w:ascii="Times New Roman" w:hAnsi="Times New Roman"/>
                <w:bCs/>
                <w:color w:val="000000"/>
              </w:rPr>
              <w:t xml:space="preserve">w Polsce </w:t>
            </w:r>
            <w:r w:rsidR="00880528">
              <w:rPr>
                <w:rFonts w:ascii="Times New Roman" w:hAnsi="Times New Roman"/>
                <w:bCs/>
                <w:color w:val="000000"/>
              </w:rPr>
              <w:t>na najem mieszkania gminnego.</w:t>
            </w:r>
          </w:p>
          <w:p w14:paraId="3497AF22" w14:textId="77777777" w:rsidR="00E20685" w:rsidRDefault="00E20685" w:rsidP="00AB57C2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3A268D95" w14:textId="77777777" w:rsidR="00997BB2" w:rsidRPr="001D660A" w:rsidRDefault="00997BB2" w:rsidP="00997BB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D660A">
              <w:rPr>
                <w:rFonts w:ascii="Times New Roman" w:hAnsi="Times New Roman"/>
                <w:bCs/>
                <w:color w:val="000000"/>
              </w:rPr>
              <w:t xml:space="preserve">W latach 2015-2019 nastąpił znaczący wzrost liczby mieszkań oddawanych do użytkowania. W 2015 r. oddano do użytkowania 147,2 tys. mieszkań, zaś w 2019 r. 207,2 tys. mieszkań (wzrost o 40,7%). </w:t>
            </w:r>
            <w:r>
              <w:rPr>
                <w:rFonts w:ascii="Times New Roman" w:hAnsi="Times New Roman"/>
                <w:bCs/>
                <w:color w:val="000000"/>
              </w:rPr>
              <w:t>Z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a wzrost ten odpowiadał </w:t>
            </w:r>
            <w:r>
              <w:rPr>
                <w:rFonts w:ascii="Times New Roman" w:hAnsi="Times New Roman"/>
                <w:bCs/>
                <w:color w:val="000000"/>
              </w:rPr>
              <w:t xml:space="preserve">jednak 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sektor deweloperski oraz indywidualne budownictwo domów jednorodzinnych, czyli segmenty dostępne dla osób </w:t>
            </w:r>
            <w:r>
              <w:rPr>
                <w:rFonts w:ascii="Times New Roman" w:hAnsi="Times New Roman"/>
                <w:bCs/>
                <w:color w:val="000000"/>
              </w:rPr>
              <w:br/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o wyższych dochodach, </w:t>
            </w:r>
            <w:r w:rsidR="00EA7B18">
              <w:rPr>
                <w:rFonts w:ascii="Times New Roman" w:hAnsi="Times New Roman"/>
                <w:bCs/>
                <w:color w:val="000000"/>
              </w:rPr>
              <w:t xml:space="preserve">dysponujących środkami finansowymi lub </w:t>
            </w:r>
            <w:r w:rsidRPr="001D660A">
              <w:rPr>
                <w:rFonts w:ascii="Times New Roman" w:hAnsi="Times New Roman"/>
                <w:bCs/>
                <w:color w:val="000000"/>
              </w:rPr>
              <w:t>posiadających zdolność kredytową. W sektorze społecznym liczba nowo budowanych mieszkań wzrosła tylko nieznacznie</w:t>
            </w:r>
            <w:r>
              <w:rPr>
                <w:rFonts w:ascii="Times New Roman" w:hAnsi="Times New Roman"/>
                <w:bCs/>
                <w:color w:val="000000"/>
              </w:rPr>
              <w:t>,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z 4,5 tys. w 2015 r. do 4,6 tys. w 2019 r. (2,2%). </w:t>
            </w:r>
          </w:p>
          <w:p w14:paraId="74126BFC" w14:textId="77777777" w:rsidR="00E20685" w:rsidRDefault="00E20685" w:rsidP="00AB57C2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01C5A11B" w14:textId="6F7022FC" w:rsidR="00997BB2" w:rsidRPr="001D660A" w:rsidRDefault="00997BB2" w:rsidP="00997BB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D660A">
              <w:rPr>
                <w:rFonts w:ascii="Times New Roman" w:hAnsi="Times New Roman"/>
                <w:bCs/>
                <w:color w:val="000000"/>
              </w:rPr>
              <w:t xml:space="preserve">W  przypadku budownictwa rynkowego jednym z najważniejszych czynników ograniczających dalszy wzrost podaży rynkowej jest dostępność gruntów budowlanych. Czynnik ten został zidentyfikowany przez inwestorów przed rozpoczęciem epidemii COVID-19, której </w:t>
            </w:r>
            <w:r w:rsidR="0042586B">
              <w:rPr>
                <w:rFonts w:ascii="Times New Roman" w:hAnsi="Times New Roman"/>
                <w:bCs/>
                <w:color w:val="000000"/>
              </w:rPr>
              <w:t xml:space="preserve">długotrwałe 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skutki sektorowe </w:t>
            </w:r>
            <w:r>
              <w:rPr>
                <w:rFonts w:ascii="Times New Roman" w:hAnsi="Times New Roman"/>
                <w:bCs/>
                <w:color w:val="000000"/>
              </w:rPr>
              <w:t xml:space="preserve">nie są 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jeszcze znane. Można jednak mieć nadzieję, że ewentualny kryzys na rynku budownictwa mieszkaniowego nie będzie tak gwałtowny jak w innych sektorach gospodarki, których działalność została administracyjnie znacznie ograniczona lub zawieszona. </w:t>
            </w:r>
          </w:p>
          <w:p w14:paraId="15C23458" w14:textId="77777777" w:rsidR="00E20685" w:rsidRDefault="00E20685" w:rsidP="00AB57C2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65EDBE7" w14:textId="77777777" w:rsidR="00997BB2" w:rsidRPr="001D660A" w:rsidRDefault="00997BB2" w:rsidP="00997BB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D660A">
              <w:rPr>
                <w:rFonts w:ascii="Times New Roman" w:hAnsi="Times New Roman"/>
                <w:bCs/>
                <w:color w:val="000000"/>
              </w:rPr>
              <w:t>W przypadku budownictwa dostępnego problem zbyt niskiej podaży wynika</w:t>
            </w:r>
            <w:r>
              <w:rPr>
                <w:rFonts w:ascii="Times New Roman" w:hAnsi="Times New Roman"/>
                <w:bCs/>
                <w:color w:val="000000"/>
              </w:rPr>
              <w:t>ł przede wszystkim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z </w:t>
            </w:r>
            <w:r>
              <w:rPr>
                <w:rFonts w:ascii="Times New Roman" w:hAnsi="Times New Roman"/>
                <w:bCs/>
                <w:color w:val="000000"/>
              </w:rPr>
              <w:t>zaniedbania procesów inwestycyjnych w sektorach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, których wsparcie w ostatnich latach przed rozpoczęciem realizacji Narodowego Programu Mieszkaniowego zostało </w:t>
            </w:r>
            <w:r>
              <w:rPr>
                <w:rFonts w:ascii="Times New Roman" w:hAnsi="Times New Roman"/>
                <w:bCs/>
                <w:color w:val="000000"/>
              </w:rPr>
              <w:t>znacznie zmniejszone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</w:rPr>
              <w:t xml:space="preserve">Spowodowało to konieczność zainicjowania nowych modeli inwestycyjnych, których efekty – ze względu na długość cyklu inwestycyjno-budowlanego – pojawiają się zawsze </w:t>
            </w:r>
            <w:r>
              <w:rPr>
                <w:rFonts w:ascii="Times New Roman" w:hAnsi="Times New Roman"/>
                <w:bCs/>
                <w:color w:val="000000"/>
              </w:rPr>
              <w:br/>
              <w:t xml:space="preserve">z kilkuletnim opóźnieniem. </w:t>
            </w:r>
            <w:r w:rsidR="00976099">
              <w:rPr>
                <w:rFonts w:ascii="Times New Roman" w:hAnsi="Times New Roman"/>
                <w:bCs/>
                <w:color w:val="000000"/>
              </w:rPr>
              <w:t>Mowa tu o nowym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(zainicjowany</w:t>
            </w:r>
            <w:r w:rsidR="00976099">
              <w:rPr>
                <w:rFonts w:ascii="Times New Roman" w:hAnsi="Times New Roman"/>
                <w:bCs/>
                <w:color w:val="000000"/>
              </w:rPr>
              <w:t>m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w 2016 r.) segmen</w:t>
            </w:r>
            <w:r w:rsidR="00976099">
              <w:rPr>
                <w:rFonts w:ascii="Times New Roman" w:hAnsi="Times New Roman"/>
                <w:bCs/>
                <w:color w:val="000000"/>
              </w:rPr>
              <w:t>cie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budownictwa na wynajem z opcją docelowego nabycia własności realizowany</w:t>
            </w:r>
            <w:r w:rsidR="00976099">
              <w:rPr>
                <w:rFonts w:ascii="Times New Roman" w:hAnsi="Times New Roman"/>
                <w:bCs/>
                <w:color w:val="000000"/>
              </w:rPr>
              <w:t>m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przez spółkę PFR Nieruchomości S.A., jak również o budownictw</w:t>
            </w:r>
            <w:r w:rsidR="00976099">
              <w:rPr>
                <w:rFonts w:ascii="Times New Roman" w:hAnsi="Times New Roman"/>
                <w:bCs/>
                <w:color w:val="000000"/>
              </w:rPr>
              <w:t>ie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komunaln</w:t>
            </w:r>
            <w:r w:rsidR="00976099">
              <w:rPr>
                <w:rFonts w:ascii="Times New Roman" w:hAnsi="Times New Roman"/>
                <w:bCs/>
                <w:color w:val="000000"/>
              </w:rPr>
              <w:t>ym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(realizowan</w:t>
            </w:r>
            <w:r w:rsidR="00976099">
              <w:rPr>
                <w:rFonts w:ascii="Times New Roman" w:hAnsi="Times New Roman"/>
                <w:bCs/>
                <w:color w:val="000000"/>
              </w:rPr>
              <w:t>ym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bezpośrednio przez samorządy gminne) i społeczn</w:t>
            </w:r>
            <w:r w:rsidR="00976099">
              <w:rPr>
                <w:rFonts w:ascii="Times New Roman" w:hAnsi="Times New Roman"/>
                <w:bCs/>
                <w:color w:val="000000"/>
              </w:rPr>
              <w:t>ym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czynszow</w:t>
            </w:r>
            <w:r w:rsidR="00976099">
              <w:rPr>
                <w:rFonts w:ascii="Times New Roman" w:hAnsi="Times New Roman"/>
                <w:bCs/>
                <w:color w:val="000000"/>
              </w:rPr>
              <w:t>ym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(realizowan</w:t>
            </w:r>
            <w:r w:rsidR="00976099">
              <w:rPr>
                <w:rFonts w:ascii="Times New Roman" w:hAnsi="Times New Roman"/>
                <w:bCs/>
                <w:color w:val="000000"/>
              </w:rPr>
              <w:t>ym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przez towarzystwa budownictwa społecznego</w:t>
            </w:r>
            <w:r>
              <w:rPr>
                <w:rFonts w:ascii="Times New Roman" w:hAnsi="Times New Roman"/>
                <w:bCs/>
                <w:color w:val="000000"/>
              </w:rPr>
              <w:t>, spółdzielnie mieszkaniowe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i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spółki gminne). W przypadku tych ostatnich sektorów problemem jest niska skłonność gmin do angażowania się w bezpośrednie procesy inwestycyjne prowadzące do uzyskania zasobu mieszkań, które mogłyby być następnie wynajmowane członkom społeczności lokalnej spełniającym określone przez gminy warunki, w tym </w:t>
            </w:r>
            <w:r>
              <w:rPr>
                <w:rFonts w:ascii="Times New Roman" w:hAnsi="Times New Roman"/>
                <w:bCs/>
                <w:color w:val="000000"/>
              </w:rPr>
              <w:t xml:space="preserve">warunki </w:t>
            </w:r>
            <w:r w:rsidRPr="001D660A">
              <w:rPr>
                <w:rFonts w:ascii="Times New Roman" w:hAnsi="Times New Roman"/>
                <w:bCs/>
                <w:color w:val="000000"/>
              </w:rPr>
              <w:t>dochodowe.</w:t>
            </w:r>
          </w:p>
          <w:p w14:paraId="102705C9" w14:textId="77777777" w:rsidR="00E20685" w:rsidRDefault="00E20685" w:rsidP="00AB57C2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4415B3D4" w14:textId="77777777" w:rsidR="00E05288" w:rsidRDefault="00997BB2" w:rsidP="00AB57C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W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obec </w:t>
            </w:r>
            <w:r>
              <w:rPr>
                <w:rFonts w:ascii="Times New Roman" w:hAnsi="Times New Roman"/>
                <w:bCs/>
                <w:color w:val="000000"/>
              </w:rPr>
              <w:t>zmniejszającej się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dostępności i </w:t>
            </w:r>
            <w:r>
              <w:rPr>
                <w:rFonts w:ascii="Times New Roman" w:hAnsi="Times New Roman"/>
                <w:bCs/>
                <w:color w:val="000000"/>
              </w:rPr>
              <w:t>zwiększających się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cen rynkowych nieruchomości gruntowych deweloperzy sięgają po coraz mniej atrakcyjne działki, które wymagają kilkuletniego przygotowania technicznego (np. zapewnienia podstawowej infrastruktury technicznej) oraz formalnego (szczególnie na obszar</w:t>
            </w:r>
            <w:r>
              <w:rPr>
                <w:rFonts w:ascii="Times New Roman" w:hAnsi="Times New Roman"/>
                <w:bCs/>
                <w:color w:val="000000"/>
              </w:rPr>
              <w:t>ach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nieobjęty</w:t>
            </w:r>
            <w:r>
              <w:rPr>
                <w:rFonts w:ascii="Times New Roman" w:hAnsi="Times New Roman"/>
                <w:bCs/>
                <w:color w:val="000000"/>
              </w:rPr>
              <w:t>ch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miejscowym</w:t>
            </w:r>
            <w:r>
              <w:rPr>
                <w:rFonts w:ascii="Times New Roman" w:hAnsi="Times New Roman"/>
                <w:bCs/>
                <w:color w:val="000000"/>
              </w:rPr>
              <w:t>i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plan</w:t>
            </w:r>
            <w:r>
              <w:rPr>
                <w:rFonts w:ascii="Times New Roman" w:hAnsi="Times New Roman"/>
                <w:bCs/>
                <w:color w:val="000000"/>
              </w:rPr>
              <w:t>ami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 zagospodarowania przestrzennego). Problemem są również istniejące ograniczenia w obrocie gruntami, mające na celu m.in. ochronę gruntów rolnych.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1D660A">
              <w:rPr>
                <w:rFonts w:ascii="Times New Roman" w:hAnsi="Times New Roman"/>
                <w:bCs/>
                <w:color w:val="000000"/>
              </w:rPr>
              <w:t xml:space="preserve">Ponadto, tereny przeznaczone pod budownictwo mieszkaniowe cechują się niskim dostępem do podstawowych urządzeń infrastruktury społecznej, a ich zapewnienie jest bardzo kosztowne </w:t>
            </w:r>
            <w:r w:rsidR="002551E6">
              <w:rPr>
                <w:rFonts w:ascii="Times New Roman" w:hAnsi="Times New Roman"/>
                <w:bCs/>
                <w:color w:val="000000"/>
              </w:rPr>
              <w:br/>
            </w:r>
            <w:r w:rsidRPr="001D660A">
              <w:rPr>
                <w:rFonts w:ascii="Times New Roman" w:hAnsi="Times New Roman"/>
                <w:bCs/>
                <w:color w:val="000000"/>
              </w:rPr>
              <w:t>z punktu widzenia możliwości inwestycyjnych samorządów gminnych.</w:t>
            </w:r>
          </w:p>
          <w:p w14:paraId="0FA0B49E" w14:textId="77777777" w:rsidR="007C2E89" w:rsidRDefault="007C2E89" w:rsidP="00AB57C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14:paraId="233DDAC1" w14:textId="77777777" w:rsidR="00997BB2" w:rsidRDefault="00997BB2" w:rsidP="00AB57C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W świetle przedstawionych wyżej wyzwań stojących przed władzami publicznymi w związku z realizacją konstytucyjnego obowiązku prowadzenia polityki sprzyjającej zaspokajaniu potrzeb mieszkaniowych obywateli, w tym wskazanych wyżej celów Narodowego Programu Mieszkaniowego, uzasadnione jest wdrożenie kolejnych rozwiązań prawnych służących</w:t>
            </w:r>
            <w:r w:rsidRPr="00915E78">
              <w:rPr>
                <w:rFonts w:ascii="Times New Roman" w:hAnsi="Times New Roman"/>
                <w:bCs/>
                <w:color w:val="000000"/>
              </w:rPr>
              <w:t xml:space="preserve"> ogranicz</w:t>
            </w:r>
            <w:r>
              <w:rPr>
                <w:rFonts w:ascii="Times New Roman" w:hAnsi="Times New Roman"/>
                <w:bCs/>
                <w:color w:val="000000"/>
              </w:rPr>
              <w:t>eniu</w:t>
            </w:r>
            <w:r w:rsidRPr="00915E78">
              <w:rPr>
                <w:rFonts w:ascii="Times New Roman" w:hAnsi="Times New Roman"/>
                <w:bCs/>
                <w:color w:val="000000"/>
              </w:rPr>
              <w:t xml:space="preserve"> barier w pozyskiwaniu przez inwestorów nieruchomości na cele mieszkaniowe lub inne cele inwestycyjne towarzyszące realizacji polityki mieszkaniowej państwa</w:t>
            </w:r>
            <w:r>
              <w:rPr>
                <w:rFonts w:ascii="Times New Roman" w:hAnsi="Times New Roman"/>
                <w:bCs/>
                <w:color w:val="000000"/>
              </w:rPr>
              <w:t xml:space="preserve">. Ułatwienie dostępu do nieruchomości </w:t>
            </w:r>
            <w:r>
              <w:rPr>
                <w:rFonts w:ascii="Times New Roman" w:hAnsi="Times New Roman"/>
                <w:bCs/>
                <w:color w:val="000000"/>
              </w:rPr>
              <w:br/>
              <w:t xml:space="preserve">o </w:t>
            </w:r>
            <w:r w:rsidRPr="00915E78">
              <w:rPr>
                <w:rFonts w:ascii="Times New Roman" w:hAnsi="Times New Roman"/>
                <w:bCs/>
                <w:color w:val="000000"/>
              </w:rPr>
              <w:t>potencjale inwestycyjnym</w:t>
            </w:r>
            <w:r>
              <w:rPr>
                <w:rFonts w:ascii="Times New Roman" w:hAnsi="Times New Roman"/>
                <w:bCs/>
                <w:color w:val="000000"/>
              </w:rPr>
              <w:t xml:space="preserve"> może przyczynić się również </w:t>
            </w:r>
            <w:r w:rsidRPr="00915E78">
              <w:rPr>
                <w:rFonts w:ascii="Times New Roman" w:hAnsi="Times New Roman"/>
                <w:bCs/>
                <w:color w:val="000000"/>
              </w:rPr>
              <w:t>do szybszego ograniczenia negatywnego wpływu pandemii COVID-19 na działalność inwestycyjną w Polsce</w:t>
            </w:r>
            <w:r>
              <w:rPr>
                <w:rFonts w:ascii="Times New Roman" w:hAnsi="Times New Roman"/>
                <w:bCs/>
                <w:color w:val="000000"/>
              </w:rPr>
              <w:t xml:space="preserve">. </w:t>
            </w:r>
          </w:p>
          <w:p w14:paraId="16FDF149" w14:textId="77777777" w:rsidR="007C2E89" w:rsidRPr="00997BB2" w:rsidRDefault="007C2E89" w:rsidP="00AB57C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A701A" w:rsidRPr="008B4FE6" w14:paraId="5B6DD151" w14:textId="77777777" w:rsidTr="006E43A6">
        <w:trPr>
          <w:trHeight w:val="142"/>
        </w:trPr>
        <w:tc>
          <w:tcPr>
            <w:tcW w:w="10876" w:type="dxa"/>
            <w:gridSpan w:val="28"/>
            <w:shd w:val="clear" w:color="auto" w:fill="99CCFF"/>
            <w:vAlign w:val="center"/>
          </w:tcPr>
          <w:p w14:paraId="4FDC8F2F" w14:textId="77777777" w:rsidR="006A701A" w:rsidRPr="008B4FE6" w:rsidRDefault="0013216E" w:rsidP="00C53F2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lastRenderedPageBreak/>
              <w:t>Rekomendowane rozwiązanie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w tym planowane narzędzia interwencji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i oczekiwany efekt</w:t>
            </w:r>
          </w:p>
        </w:tc>
      </w:tr>
      <w:tr w:rsidR="006A701A" w:rsidRPr="008B4FE6" w14:paraId="5CE62278" w14:textId="77777777" w:rsidTr="006E43A6">
        <w:trPr>
          <w:trHeight w:val="142"/>
        </w:trPr>
        <w:tc>
          <w:tcPr>
            <w:tcW w:w="10876" w:type="dxa"/>
            <w:gridSpan w:val="28"/>
            <w:shd w:val="clear" w:color="auto" w:fill="auto"/>
          </w:tcPr>
          <w:p w14:paraId="1F040910" w14:textId="77777777" w:rsidR="007C2E89" w:rsidRDefault="007C2E89" w:rsidP="004449D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78DC6F38" w14:textId="77777777" w:rsidR="00F725C6" w:rsidRDefault="00283E3D" w:rsidP="004449D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Projektowana ustawa ma na celu rozszerzenie instrumentów realizacji Narodowego Programu Mieszkaniowego i realizację powiązanych z</w:t>
            </w:r>
            <w:r w:rsidR="00822A24">
              <w:rPr>
                <w:rFonts w:ascii="Times New Roman" w:hAnsi="Times New Roman"/>
                <w:color w:val="000000"/>
                <w:spacing w:val="-2"/>
              </w:rPr>
              <w:t>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sobą celów:</w:t>
            </w:r>
          </w:p>
          <w:p w14:paraId="3BA3B154" w14:textId="77777777" w:rsidR="00283E3D" w:rsidRDefault="00E20685" w:rsidP="00283E3D">
            <w:pPr>
              <w:pStyle w:val="Akapitzlist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z</w:t>
            </w:r>
            <w:r w:rsidR="00283E3D">
              <w:rPr>
                <w:rFonts w:ascii="Times New Roman" w:hAnsi="Times New Roman"/>
                <w:color w:val="000000"/>
                <w:spacing w:val="-2"/>
              </w:rPr>
              <w:t>większenia podaży mieszkań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ogółem</w:t>
            </w:r>
            <w:r w:rsidR="00283E3D">
              <w:rPr>
                <w:rFonts w:ascii="Times New Roman" w:hAnsi="Times New Roman"/>
                <w:color w:val="000000"/>
                <w:spacing w:val="-2"/>
              </w:rPr>
              <w:t>,</w:t>
            </w:r>
          </w:p>
          <w:p w14:paraId="11D6B245" w14:textId="77777777" w:rsidR="00283E3D" w:rsidRDefault="00E20685" w:rsidP="00283E3D">
            <w:pPr>
              <w:pStyle w:val="Akapitzlist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z</w:t>
            </w:r>
            <w:r w:rsidR="00283E3D">
              <w:rPr>
                <w:rFonts w:ascii="Times New Roman" w:hAnsi="Times New Roman"/>
                <w:color w:val="000000"/>
                <w:spacing w:val="-2"/>
              </w:rPr>
              <w:t>większenia pod</w:t>
            </w:r>
            <w:r w:rsidR="0043209F">
              <w:rPr>
                <w:rFonts w:ascii="Times New Roman" w:hAnsi="Times New Roman"/>
                <w:color w:val="000000"/>
                <w:spacing w:val="-2"/>
              </w:rPr>
              <w:t>aży mieszkań dostępnych cenowo.</w:t>
            </w:r>
          </w:p>
          <w:p w14:paraId="7481B0DE" w14:textId="77777777" w:rsidR="00E20685" w:rsidRDefault="00E20685" w:rsidP="00E20685">
            <w:pPr>
              <w:pStyle w:val="Akapitzlist"/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2E6B3082" w14:textId="77777777" w:rsidR="000550B0" w:rsidRDefault="00283E3D" w:rsidP="0016398C">
            <w:pPr>
              <w:pStyle w:val="Akapitzlist"/>
              <w:spacing w:line="240" w:lineRule="auto"/>
              <w:ind w:left="3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0550B0">
              <w:rPr>
                <w:rFonts w:ascii="Times New Roman" w:hAnsi="Times New Roman"/>
                <w:b/>
                <w:color w:val="000000"/>
                <w:spacing w:val="-2"/>
              </w:rPr>
              <w:t>Podstawowym rozwiązaniem jest określenie</w:t>
            </w:r>
            <w:r w:rsidR="0016398C" w:rsidRPr="000550B0">
              <w:rPr>
                <w:rFonts w:ascii="Times New Roman" w:hAnsi="Times New Roman"/>
                <w:b/>
                <w:color w:val="000000"/>
                <w:spacing w:val="-2"/>
              </w:rPr>
              <w:t xml:space="preserve"> zasad zbywania w przetargach nieograniczonych nieruchomości gruntowy</w:t>
            </w:r>
            <w:r w:rsidR="00003D8E">
              <w:rPr>
                <w:rFonts w:ascii="Times New Roman" w:hAnsi="Times New Roman"/>
                <w:b/>
                <w:color w:val="000000"/>
                <w:spacing w:val="-2"/>
              </w:rPr>
              <w:t>ch</w:t>
            </w:r>
            <w:r w:rsidR="0016398C" w:rsidRPr="000550B0">
              <w:rPr>
                <w:rFonts w:ascii="Times New Roman" w:hAnsi="Times New Roman"/>
                <w:b/>
                <w:color w:val="000000"/>
                <w:spacing w:val="-2"/>
              </w:rPr>
              <w:t xml:space="preserve"> gmin oraz Krajowego Zasobu </w:t>
            </w:r>
            <w:r w:rsidR="00003D8E">
              <w:rPr>
                <w:rFonts w:ascii="Times New Roman" w:hAnsi="Times New Roman"/>
                <w:b/>
                <w:color w:val="000000"/>
                <w:spacing w:val="-2"/>
              </w:rPr>
              <w:t>Nieruchomości</w:t>
            </w:r>
            <w:r w:rsidR="0016398C" w:rsidRPr="000550B0">
              <w:rPr>
                <w:rFonts w:ascii="Times New Roman" w:hAnsi="Times New Roman"/>
                <w:b/>
                <w:color w:val="000000"/>
                <w:spacing w:val="-2"/>
              </w:rPr>
              <w:t xml:space="preserve"> (za pośrednictwem gmin) z możliwością rozliczenia części ceny </w:t>
            </w:r>
            <w:r w:rsidR="00003D8E">
              <w:rPr>
                <w:rFonts w:ascii="Times New Roman" w:hAnsi="Times New Roman"/>
                <w:b/>
                <w:color w:val="000000"/>
                <w:spacing w:val="-2"/>
              </w:rPr>
              <w:t xml:space="preserve">nieruchomości </w:t>
            </w:r>
            <w:r w:rsidR="000A0E11" w:rsidRPr="000550B0">
              <w:rPr>
                <w:rFonts w:ascii="Times New Roman" w:hAnsi="Times New Roman"/>
                <w:b/>
                <w:color w:val="000000"/>
                <w:spacing w:val="-2"/>
              </w:rPr>
              <w:t xml:space="preserve">w formie mieszkań (lub innych powierzchni, które mogłyby być wykorzystane przez gminę np. na działalność użyteczności publicznej). </w:t>
            </w:r>
          </w:p>
          <w:p w14:paraId="6130A871" w14:textId="77777777" w:rsidR="00E20685" w:rsidRPr="00E20685" w:rsidRDefault="00E20685" w:rsidP="0016398C">
            <w:pPr>
              <w:pStyle w:val="Akapitzlist"/>
              <w:spacing w:line="240" w:lineRule="auto"/>
              <w:ind w:left="3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14:paraId="22BAE041" w14:textId="77777777" w:rsidR="000A0E11" w:rsidRDefault="000A0E11" w:rsidP="0016398C">
            <w:pPr>
              <w:pStyle w:val="Akapitzlist"/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Warto zauważyć, </w:t>
            </w:r>
            <w:r w:rsidR="000550B0">
              <w:rPr>
                <w:rFonts w:ascii="Times New Roman" w:hAnsi="Times New Roman"/>
                <w:color w:val="000000"/>
                <w:spacing w:val="-2"/>
              </w:rPr>
              <w:t>ż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e gminy dysponują </w:t>
            </w:r>
            <w:r w:rsidR="000550B0">
              <w:rPr>
                <w:rFonts w:ascii="Times New Roman" w:hAnsi="Times New Roman"/>
                <w:color w:val="000000"/>
                <w:spacing w:val="-2"/>
              </w:rPr>
              <w:t>w tym zakresie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pokaźnym potencjałem w formie zasobu gruntów przeznaczonych pod budownictwo mieszkaniowe. </w:t>
            </w:r>
          </w:p>
          <w:p w14:paraId="7639D1FC" w14:textId="77777777" w:rsidR="000A0E11" w:rsidRDefault="000A0E11" w:rsidP="00E20685">
            <w:pPr>
              <w:pStyle w:val="Akapitzlist"/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2339AF7A" w14:textId="77777777" w:rsidR="00A252AA" w:rsidRDefault="00A252AA" w:rsidP="00E20685">
            <w:pPr>
              <w:pStyle w:val="Akapitzlist"/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252AA">
              <w:rPr>
                <w:rFonts w:ascii="Times New Roman" w:hAnsi="Times New Roman"/>
                <w:color w:val="000000"/>
                <w:spacing w:val="-2"/>
              </w:rPr>
              <w:t>W</w:t>
            </w:r>
            <w:r>
              <w:rPr>
                <w:rFonts w:ascii="Times New Roman" w:hAnsi="Times New Roman"/>
                <w:color w:val="000000"/>
                <w:spacing w:val="-2"/>
              </w:rPr>
              <w:t>edług danych Głównego Urzędu Statystycznego</w:t>
            </w:r>
            <w:r w:rsidR="00E24C6D">
              <w:rPr>
                <w:rFonts w:ascii="Times New Roman" w:hAnsi="Times New Roman"/>
                <w:color w:val="000000"/>
                <w:spacing w:val="-2"/>
              </w:rPr>
              <w:t xml:space="preserve"> (cykliczne opracowanie pt. „Gospodarka mieszkaniowa”)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w </w:t>
            </w:r>
            <w:r w:rsidRPr="00A252AA">
              <w:rPr>
                <w:rFonts w:ascii="Times New Roman" w:hAnsi="Times New Roman"/>
                <w:color w:val="000000"/>
                <w:spacing w:val="-2"/>
              </w:rPr>
              <w:t xml:space="preserve"> 2018 r</w:t>
            </w:r>
            <w:r w:rsidR="00003D8E">
              <w:rPr>
                <w:rFonts w:ascii="Times New Roman" w:hAnsi="Times New Roman"/>
                <w:color w:val="000000"/>
                <w:spacing w:val="-2"/>
              </w:rPr>
              <w:t xml:space="preserve">. </w:t>
            </w:r>
            <w:r w:rsidR="00003D8E">
              <w:rPr>
                <w:rFonts w:ascii="Times New Roman" w:hAnsi="Times New Roman"/>
                <w:color w:val="000000"/>
                <w:spacing w:val="-2"/>
              </w:rPr>
              <w:br/>
            </w:r>
            <w:r w:rsidRPr="00A252AA">
              <w:rPr>
                <w:rFonts w:ascii="Times New Roman" w:hAnsi="Times New Roman"/>
                <w:color w:val="000000"/>
                <w:spacing w:val="-2"/>
              </w:rPr>
              <w:t>w zasobie gmin znajdowało się 28 308,6 ha grunt</w:t>
            </w:r>
            <w:r>
              <w:rPr>
                <w:rFonts w:ascii="Times New Roman" w:hAnsi="Times New Roman"/>
                <w:color w:val="000000"/>
                <w:spacing w:val="-2"/>
              </w:rPr>
              <w:t>ów pod budownictwo mieszkaniowe (</w:t>
            </w:r>
            <w:r w:rsidRPr="00A252AA">
              <w:rPr>
                <w:rFonts w:ascii="Times New Roman" w:hAnsi="Times New Roman"/>
                <w:color w:val="000000"/>
                <w:spacing w:val="-2"/>
              </w:rPr>
              <w:t>8,5% więcej niż w 2015 r</w:t>
            </w:r>
            <w:r w:rsidR="00003D8E">
              <w:rPr>
                <w:rFonts w:ascii="Times New Roman" w:hAnsi="Times New Roman"/>
                <w:color w:val="000000"/>
                <w:spacing w:val="-2"/>
              </w:rPr>
              <w:t>.</w:t>
            </w:r>
            <w:r w:rsidR="008E088F">
              <w:rPr>
                <w:rFonts w:ascii="Times New Roman" w:hAnsi="Times New Roman"/>
                <w:color w:val="000000"/>
                <w:spacing w:val="-2"/>
              </w:rPr>
              <w:t xml:space="preserve">), </w:t>
            </w:r>
            <w:r w:rsidR="00E20685">
              <w:rPr>
                <w:rFonts w:ascii="Times New Roman" w:hAnsi="Times New Roman"/>
                <w:color w:val="000000"/>
                <w:spacing w:val="-2"/>
              </w:rPr>
              <w:br/>
            </w:r>
            <w:r w:rsidR="008E088F">
              <w:rPr>
                <w:rFonts w:ascii="Times New Roman" w:hAnsi="Times New Roman"/>
                <w:color w:val="000000"/>
                <w:spacing w:val="-2"/>
              </w:rPr>
              <w:t xml:space="preserve">z czego ok. </w:t>
            </w:r>
            <w:r w:rsidRPr="00A252AA">
              <w:rPr>
                <w:rFonts w:ascii="Times New Roman" w:hAnsi="Times New Roman"/>
                <w:color w:val="000000"/>
                <w:spacing w:val="-2"/>
              </w:rPr>
              <w:t xml:space="preserve">45,2% powierzchni była uzbrojona. </w:t>
            </w:r>
          </w:p>
          <w:p w14:paraId="770DA9C4" w14:textId="77777777" w:rsidR="008E088F" w:rsidRDefault="008E088F" w:rsidP="00E20685">
            <w:pPr>
              <w:pStyle w:val="Akapitzlist"/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6236CB39" w14:textId="77777777" w:rsidR="008E088F" w:rsidRPr="008E088F" w:rsidRDefault="008E088F" w:rsidP="008E088F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8E088F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Grunty znajdujące się w zasobie gruntów pod budownictwo mieszkaniowe w latach 2015 i 2018 (w ha).</w:t>
            </w:r>
          </w:p>
          <w:tbl>
            <w:tblPr>
              <w:tblStyle w:val="Tabela-Siatka"/>
              <w:tblW w:w="10704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3568"/>
              <w:gridCol w:w="3568"/>
              <w:gridCol w:w="3568"/>
            </w:tblGrid>
            <w:tr w:rsidR="008E088F" w14:paraId="3ADB6E55" w14:textId="77777777" w:rsidTr="005A0DFE">
              <w:trPr>
                <w:trHeight w:val="252"/>
              </w:trPr>
              <w:tc>
                <w:tcPr>
                  <w:tcW w:w="3568" w:type="dxa"/>
                </w:tcPr>
                <w:p w14:paraId="6B1F2FD5" w14:textId="77777777" w:rsidR="008E088F" w:rsidRPr="008E088F" w:rsidRDefault="008E088F" w:rsidP="00A252AA">
                  <w:pPr>
                    <w:pStyle w:val="Akapitzlist"/>
                    <w:spacing w:line="240" w:lineRule="auto"/>
                    <w:ind w:left="0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3568" w:type="dxa"/>
                </w:tcPr>
                <w:p w14:paraId="267AEE53" w14:textId="77777777" w:rsidR="008E088F" w:rsidRPr="008E088F" w:rsidRDefault="008E088F" w:rsidP="008E088F">
                  <w:pPr>
                    <w:pStyle w:val="Akapitzlist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8E088F">
                    <w:rPr>
                      <w:rFonts w:ascii="Times New Roman" w:hAnsi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3568" w:type="dxa"/>
                </w:tcPr>
                <w:p w14:paraId="5515A803" w14:textId="77777777" w:rsidR="008E088F" w:rsidRPr="008E088F" w:rsidRDefault="008E088F" w:rsidP="008E088F">
                  <w:pPr>
                    <w:pStyle w:val="Akapitzlist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8E088F">
                    <w:rPr>
                      <w:rFonts w:ascii="Times New Roman" w:hAnsi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2018</w:t>
                  </w:r>
                </w:p>
              </w:tc>
            </w:tr>
            <w:tr w:rsidR="008E088F" w14:paraId="184D9918" w14:textId="77777777" w:rsidTr="005A0DFE">
              <w:trPr>
                <w:trHeight w:val="252"/>
              </w:trPr>
              <w:tc>
                <w:tcPr>
                  <w:tcW w:w="3568" w:type="dxa"/>
                </w:tcPr>
                <w:p w14:paraId="0F24744B" w14:textId="77777777" w:rsidR="008E088F" w:rsidRPr="00E24C6D" w:rsidRDefault="008E088F" w:rsidP="00A252AA">
                  <w:pPr>
                    <w:pStyle w:val="Akapitzlist"/>
                    <w:spacing w:line="240" w:lineRule="auto"/>
                    <w:ind w:left="0"/>
                    <w:rPr>
                      <w:rFonts w:ascii="Times New Roman" w:hAnsi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Grunty ogółem</w:t>
                  </w:r>
                </w:p>
              </w:tc>
              <w:tc>
                <w:tcPr>
                  <w:tcW w:w="3568" w:type="dxa"/>
                  <w:vAlign w:val="center"/>
                </w:tcPr>
                <w:p w14:paraId="048E2AAE" w14:textId="77777777" w:rsidR="008E088F" w:rsidRPr="00E24C6D" w:rsidRDefault="008E088F" w:rsidP="008E088F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pl-PL"/>
                    </w:rPr>
                  </w:pPr>
                  <w:r w:rsidRPr="00E24C6D">
                    <w:rPr>
                      <w:rFonts w:ascii="Times New Roman" w:hAnsi="Times New Roman"/>
                      <w:b/>
                      <w:sz w:val="20"/>
                      <w:szCs w:val="20"/>
                      <w:lang w:eastAsia="pl-PL"/>
                    </w:rPr>
                    <w:t>26 095,6</w:t>
                  </w:r>
                </w:p>
              </w:tc>
              <w:tc>
                <w:tcPr>
                  <w:tcW w:w="3568" w:type="dxa"/>
                  <w:vAlign w:val="center"/>
                </w:tcPr>
                <w:p w14:paraId="5D0808FC" w14:textId="77777777" w:rsidR="008E088F" w:rsidRPr="00E24C6D" w:rsidRDefault="008E088F" w:rsidP="008E088F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pl-PL"/>
                    </w:rPr>
                  </w:pPr>
                  <w:r w:rsidRPr="00E24C6D">
                    <w:rPr>
                      <w:rFonts w:ascii="Times New Roman" w:hAnsi="Times New Roman"/>
                      <w:b/>
                      <w:sz w:val="20"/>
                      <w:szCs w:val="20"/>
                      <w:lang w:eastAsia="pl-PL"/>
                    </w:rPr>
                    <w:t>28 308,6</w:t>
                  </w:r>
                </w:p>
              </w:tc>
            </w:tr>
            <w:tr w:rsidR="008E088F" w14:paraId="1D664B92" w14:textId="77777777" w:rsidTr="005A0DFE">
              <w:trPr>
                <w:trHeight w:val="252"/>
              </w:trPr>
              <w:tc>
                <w:tcPr>
                  <w:tcW w:w="3568" w:type="dxa"/>
                </w:tcPr>
                <w:p w14:paraId="73F6F69F" w14:textId="77777777" w:rsidR="008E088F" w:rsidRPr="008E088F" w:rsidRDefault="008E088F" w:rsidP="00A252AA">
                  <w:pPr>
                    <w:pStyle w:val="Akapitzlist"/>
                    <w:spacing w:line="240" w:lineRule="auto"/>
                    <w:ind w:left="0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8E088F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- uzbrojone</w:t>
                  </w:r>
                </w:p>
              </w:tc>
              <w:tc>
                <w:tcPr>
                  <w:tcW w:w="3568" w:type="dxa"/>
                  <w:vAlign w:val="center"/>
                </w:tcPr>
                <w:p w14:paraId="646027D9" w14:textId="77777777" w:rsidR="008E088F" w:rsidRPr="008E088F" w:rsidRDefault="008E088F" w:rsidP="008E088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8E088F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12 356,2</w:t>
                  </w:r>
                </w:p>
              </w:tc>
              <w:tc>
                <w:tcPr>
                  <w:tcW w:w="3568" w:type="dxa"/>
                  <w:vAlign w:val="center"/>
                </w:tcPr>
                <w:p w14:paraId="57E593DC" w14:textId="77777777" w:rsidR="008E088F" w:rsidRPr="008E088F" w:rsidRDefault="008E088F" w:rsidP="008E088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8E088F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12 806,9</w:t>
                  </w:r>
                </w:p>
              </w:tc>
            </w:tr>
            <w:tr w:rsidR="00E24C6D" w14:paraId="2A85E78A" w14:textId="77777777" w:rsidTr="005A0DFE">
              <w:trPr>
                <w:trHeight w:val="241"/>
              </w:trPr>
              <w:tc>
                <w:tcPr>
                  <w:tcW w:w="10704" w:type="dxa"/>
                  <w:gridSpan w:val="3"/>
                </w:tcPr>
                <w:p w14:paraId="786DE20C" w14:textId="77777777" w:rsidR="00E24C6D" w:rsidRPr="008E088F" w:rsidRDefault="00E24C6D" w:rsidP="00A252AA">
                  <w:pPr>
                    <w:pStyle w:val="Akapitzlist"/>
                    <w:spacing w:line="240" w:lineRule="auto"/>
                    <w:ind w:left="0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w</w:t>
                  </w:r>
                  <w:r w:rsidRPr="008E088F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 xml:space="preserve"> tym</w:t>
                  </w:r>
                </w:p>
              </w:tc>
            </w:tr>
            <w:tr w:rsidR="008E088F" w14:paraId="279A29CE" w14:textId="77777777" w:rsidTr="005A0DFE">
              <w:trPr>
                <w:trHeight w:val="252"/>
              </w:trPr>
              <w:tc>
                <w:tcPr>
                  <w:tcW w:w="3568" w:type="dxa"/>
                </w:tcPr>
                <w:p w14:paraId="6E10524D" w14:textId="77777777" w:rsidR="008E088F" w:rsidRPr="008E088F" w:rsidRDefault="00E24C6D" w:rsidP="00A252AA">
                  <w:pPr>
                    <w:pStyle w:val="Akapitzlist"/>
                    <w:spacing w:line="240" w:lineRule="auto"/>
                    <w:ind w:left="0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b</w:t>
                  </w:r>
                  <w:r w:rsidR="008E088F" w:rsidRPr="008E088F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udownictwo wielorodzinne</w:t>
                  </w:r>
                </w:p>
              </w:tc>
              <w:tc>
                <w:tcPr>
                  <w:tcW w:w="3568" w:type="dxa"/>
                  <w:vAlign w:val="center"/>
                </w:tcPr>
                <w:p w14:paraId="03324485" w14:textId="77777777" w:rsidR="008E088F" w:rsidRPr="008E088F" w:rsidRDefault="008E088F" w:rsidP="008E088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8E088F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5 608,1</w:t>
                  </w:r>
                </w:p>
              </w:tc>
              <w:tc>
                <w:tcPr>
                  <w:tcW w:w="3568" w:type="dxa"/>
                  <w:vAlign w:val="center"/>
                </w:tcPr>
                <w:p w14:paraId="3A7B4F33" w14:textId="77777777" w:rsidR="008E088F" w:rsidRPr="008E088F" w:rsidRDefault="008E088F" w:rsidP="008E088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8E088F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6 021,9</w:t>
                  </w:r>
                </w:p>
              </w:tc>
            </w:tr>
            <w:tr w:rsidR="008E088F" w14:paraId="00E2A493" w14:textId="77777777" w:rsidTr="005A0DFE">
              <w:trPr>
                <w:trHeight w:val="252"/>
              </w:trPr>
              <w:tc>
                <w:tcPr>
                  <w:tcW w:w="3568" w:type="dxa"/>
                </w:tcPr>
                <w:p w14:paraId="604278E2" w14:textId="77777777" w:rsidR="008E088F" w:rsidRPr="008E088F" w:rsidRDefault="008E088F" w:rsidP="00A252AA">
                  <w:pPr>
                    <w:pStyle w:val="Akapitzlist"/>
                    <w:spacing w:line="240" w:lineRule="auto"/>
                    <w:ind w:left="0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8E088F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- uzbrojone</w:t>
                  </w:r>
                </w:p>
              </w:tc>
              <w:tc>
                <w:tcPr>
                  <w:tcW w:w="3568" w:type="dxa"/>
                  <w:vAlign w:val="center"/>
                </w:tcPr>
                <w:p w14:paraId="71246704" w14:textId="77777777" w:rsidR="008E088F" w:rsidRPr="008E088F" w:rsidRDefault="008E088F" w:rsidP="008E088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8E088F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3 077,6</w:t>
                  </w:r>
                </w:p>
              </w:tc>
              <w:tc>
                <w:tcPr>
                  <w:tcW w:w="3568" w:type="dxa"/>
                  <w:vAlign w:val="center"/>
                </w:tcPr>
                <w:p w14:paraId="1C90FA65" w14:textId="77777777" w:rsidR="008E088F" w:rsidRPr="008E088F" w:rsidRDefault="008E088F" w:rsidP="008E088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8E088F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3 637,9</w:t>
                  </w:r>
                </w:p>
              </w:tc>
            </w:tr>
            <w:tr w:rsidR="008E088F" w14:paraId="7179C146" w14:textId="77777777" w:rsidTr="005A0DFE">
              <w:trPr>
                <w:trHeight w:val="252"/>
              </w:trPr>
              <w:tc>
                <w:tcPr>
                  <w:tcW w:w="3568" w:type="dxa"/>
                </w:tcPr>
                <w:p w14:paraId="11D05181" w14:textId="77777777" w:rsidR="008E088F" w:rsidRPr="008E088F" w:rsidRDefault="00E24C6D" w:rsidP="00A252AA">
                  <w:pPr>
                    <w:pStyle w:val="Akapitzlist"/>
                    <w:spacing w:line="240" w:lineRule="auto"/>
                    <w:ind w:left="0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b</w:t>
                  </w:r>
                  <w:r w:rsidR="008E088F" w:rsidRPr="008E088F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udownictwo jednorodzinne</w:t>
                  </w:r>
                </w:p>
              </w:tc>
              <w:tc>
                <w:tcPr>
                  <w:tcW w:w="3568" w:type="dxa"/>
                  <w:vAlign w:val="center"/>
                </w:tcPr>
                <w:p w14:paraId="7FD37AE2" w14:textId="77777777" w:rsidR="008E088F" w:rsidRPr="008E088F" w:rsidRDefault="008E088F" w:rsidP="008E088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8E088F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20 487,5</w:t>
                  </w:r>
                </w:p>
              </w:tc>
              <w:tc>
                <w:tcPr>
                  <w:tcW w:w="3568" w:type="dxa"/>
                  <w:vAlign w:val="center"/>
                </w:tcPr>
                <w:p w14:paraId="6F1E1E35" w14:textId="77777777" w:rsidR="008E088F" w:rsidRPr="008E088F" w:rsidRDefault="008E088F" w:rsidP="008E088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8E088F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22 286,7</w:t>
                  </w:r>
                </w:p>
              </w:tc>
            </w:tr>
            <w:tr w:rsidR="008E088F" w14:paraId="3336FD17" w14:textId="77777777" w:rsidTr="005A0DFE">
              <w:trPr>
                <w:trHeight w:val="264"/>
              </w:trPr>
              <w:tc>
                <w:tcPr>
                  <w:tcW w:w="3568" w:type="dxa"/>
                </w:tcPr>
                <w:p w14:paraId="66F89B87" w14:textId="77777777" w:rsidR="008E088F" w:rsidRPr="008E088F" w:rsidRDefault="008E088F" w:rsidP="00A252AA">
                  <w:pPr>
                    <w:pStyle w:val="Akapitzlist"/>
                    <w:spacing w:line="240" w:lineRule="auto"/>
                    <w:ind w:left="0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8E088F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- uzbrojone</w:t>
                  </w:r>
                </w:p>
              </w:tc>
              <w:tc>
                <w:tcPr>
                  <w:tcW w:w="3568" w:type="dxa"/>
                  <w:vAlign w:val="center"/>
                </w:tcPr>
                <w:p w14:paraId="6A73890B" w14:textId="77777777" w:rsidR="008E088F" w:rsidRPr="008E088F" w:rsidRDefault="008E088F" w:rsidP="008E088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8E088F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9 278,6</w:t>
                  </w:r>
                </w:p>
              </w:tc>
              <w:tc>
                <w:tcPr>
                  <w:tcW w:w="3568" w:type="dxa"/>
                  <w:vAlign w:val="center"/>
                </w:tcPr>
                <w:p w14:paraId="6D5D66A0" w14:textId="77777777" w:rsidR="008E088F" w:rsidRPr="008E088F" w:rsidRDefault="008E088F" w:rsidP="008E088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8E088F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9 169,0</w:t>
                  </w:r>
                </w:p>
              </w:tc>
            </w:tr>
          </w:tbl>
          <w:p w14:paraId="5F9823A9" w14:textId="77777777" w:rsidR="008E088F" w:rsidRPr="00A252AA" w:rsidRDefault="008E088F" w:rsidP="00A252AA">
            <w:pPr>
              <w:pStyle w:val="Akapitzlist"/>
              <w:spacing w:line="240" w:lineRule="auto"/>
              <w:ind w:left="34"/>
              <w:rPr>
                <w:rFonts w:ascii="Times New Roman" w:hAnsi="Times New Roman"/>
                <w:color w:val="000000"/>
                <w:spacing w:val="-2"/>
              </w:rPr>
            </w:pPr>
          </w:p>
          <w:p w14:paraId="6A9CEF19" w14:textId="77777777" w:rsidR="008E088F" w:rsidRDefault="008E088F" w:rsidP="00674301">
            <w:pPr>
              <w:pStyle w:val="Akapitzlist"/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E088F">
              <w:rPr>
                <w:rFonts w:ascii="Times New Roman" w:hAnsi="Times New Roman"/>
                <w:color w:val="000000"/>
                <w:spacing w:val="-2"/>
              </w:rPr>
              <w:t>W 2018 r</w:t>
            </w:r>
            <w:r w:rsidR="00661BDF">
              <w:rPr>
                <w:rFonts w:ascii="Times New Roman" w:hAnsi="Times New Roman"/>
                <w:color w:val="000000"/>
                <w:spacing w:val="-2"/>
              </w:rPr>
              <w:t>.</w:t>
            </w:r>
            <w:r w:rsidRPr="008E088F">
              <w:rPr>
                <w:rFonts w:ascii="Times New Roman" w:hAnsi="Times New Roman"/>
                <w:color w:val="000000"/>
                <w:spacing w:val="-2"/>
              </w:rPr>
              <w:t xml:space="preserve"> gminy przekazały inwestorom 874,6 ha gruntów ze swojego zaso</w:t>
            </w:r>
            <w:r>
              <w:rPr>
                <w:rFonts w:ascii="Times New Roman" w:hAnsi="Times New Roman"/>
                <w:color w:val="000000"/>
                <w:spacing w:val="-2"/>
              </w:rPr>
              <w:t>bu pod budownictwo mieszkaniowe (</w:t>
            </w:r>
            <w:r w:rsidRPr="008E088F">
              <w:rPr>
                <w:rFonts w:ascii="Times New Roman" w:hAnsi="Times New Roman"/>
                <w:color w:val="000000"/>
                <w:spacing w:val="-2"/>
              </w:rPr>
              <w:t xml:space="preserve">9,7%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więcej </w:t>
            </w:r>
            <w:r w:rsidRPr="008E088F">
              <w:rPr>
                <w:rFonts w:ascii="Times New Roman" w:hAnsi="Times New Roman"/>
                <w:color w:val="000000"/>
                <w:spacing w:val="-2"/>
              </w:rPr>
              <w:t>niż w 2015 r</w:t>
            </w:r>
            <w:r w:rsidR="00661BDF">
              <w:rPr>
                <w:rFonts w:ascii="Times New Roman" w:hAnsi="Times New Roman"/>
                <w:color w:val="000000"/>
                <w:spacing w:val="-2"/>
              </w:rPr>
              <w:t>.</w:t>
            </w:r>
            <w:r>
              <w:rPr>
                <w:rFonts w:ascii="Times New Roman" w:hAnsi="Times New Roman"/>
                <w:color w:val="000000"/>
                <w:spacing w:val="-2"/>
              </w:rPr>
              <w:t>)</w:t>
            </w:r>
            <w:r w:rsidRPr="008E088F">
              <w:rPr>
                <w:rFonts w:ascii="Times New Roman" w:hAnsi="Times New Roman"/>
                <w:color w:val="000000"/>
                <w:spacing w:val="-2"/>
              </w:rPr>
              <w:t>. Największą łączną powierzchni</w:t>
            </w:r>
            <w:r w:rsidR="00661BDF">
              <w:rPr>
                <w:rFonts w:ascii="Times New Roman" w:hAnsi="Times New Roman"/>
                <w:color w:val="000000"/>
                <w:spacing w:val="-2"/>
              </w:rPr>
              <w:t>ę</w:t>
            </w:r>
            <w:r w:rsidRPr="008E088F">
              <w:rPr>
                <w:rFonts w:ascii="Times New Roman" w:hAnsi="Times New Roman"/>
                <w:color w:val="000000"/>
                <w:spacing w:val="-2"/>
              </w:rPr>
              <w:t xml:space="preserve"> gruntów przekazano pod budownictwo jednorodzinne (81,7%). Wśród inwestorów najwięcej gruntów zostało przekazanych osobom fizycznym (69,2%) oraz spółkom i innym (25,3%). Struktura inwestorów nie uległa istotnym zmianom na przestrzeni ostatnich lat. Należy jednak zauważyć, że zmniejszył się udział spółdzielni mieszkaniowych na korzyść TBS-ów.</w:t>
            </w:r>
          </w:p>
          <w:p w14:paraId="218D70B8" w14:textId="77777777" w:rsidR="004C60F9" w:rsidRDefault="004C60F9" w:rsidP="0016398C">
            <w:pPr>
              <w:pStyle w:val="Akapitzlist"/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4A2A0621" w14:textId="77777777" w:rsidR="00E24C6D" w:rsidRPr="00E24C6D" w:rsidRDefault="00E24C6D" w:rsidP="00E24C6D">
            <w:pPr>
              <w:pStyle w:val="Akapitzlist"/>
              <w:spacing w:line="240" w:lineRule="auto"/>
              <w:ind w:left="34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E24C6D">
              <w:rPr>
                <w:rFonts w:ascii="Times New Roman" w:hAnsi="Times New Roman"/>
                <w:i/>
                <w:color w:val="000000"/>
                <w:spacing w:val="-2"/>
              </w:rPr>
              <w:t>Grunty przekazane inwestorom pod budownictwo mieszkaniowe w latach 2015 i 2018 (w ha).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57"/>
              <w:gridCol w:w="2445"/>
              <w:gridCol w:w="2499"/>
            </w:tblGrid>
            <w:tr w:rsidR="00E24C6D" w:rsidRPr="00E24C6D" w14:paraId="2882E881" w14:textId="77777777" w:rsidTr="005A0DFE">
              <w:trPr>
                <w:trHeight w:val="456"/>
              </w:trPr>
              <w:tc>
                <w:tcPr>
                  <w:tcW w:w="5657" w:type="dxa"/>
                  <w:shd w:val="clear" w:color="auto" w:fill="auto"/>
                  <w:vAlign w:val="center"/>
                </w:tcPr>
                <w:p w14:paraId="4939FE2C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both"/>
                    <w:rPr>
                      <w:rFonts w:ascii="Times New Roman" w:hAnsi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 w14:paraId="50D8C430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2499" w:type="dxa"/>
                  <w:shd w:val="clear" w:color="auto" w:fill="auto"/>
                  <w:vAlign w:val="center"/>
                </w:tcPr>
                <w:p w14:paraId="26EB35FD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2018</w:t>
                  </w:r>
                </w:p>
              </w:tc>
            </w:tr>
            <w:tr w:rsidR="00E24C6D" w:rsidRPr="00E24C6D" w14:paraId="1F574557" w14:textId="77777777" w:rsidTr="005A0DFE">
              <w:trPr>
                <w:trHeight w:hRule="exact" w:val="265"/>
              </w:trPr>
              <w:tc>
                <w:tcPr>
                  <w:tcW w:w="5657" w:type="dxa"/>
                  <w:shd w:val="clear" w:color="auto" w:fill="auto"/>
                  <w:vAlign w:val="center"/>
                </w:tcPr>
                <w:p w14:paraId="411E5C2E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both"/>
                    <w:rPr>
                      <w:rFonts w:ascii="Times New Roman" w:hAnsi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Grunty ogółem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 w14:paraId="44C316D8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797,2</w:t>
                  </w:r>
                </w:p>
              </w:tc>
              <w:tc>
                <w:tcPr>
                  <w:tcW w:w="2499" w:type="dxa"/>
                  <w:shd w:val="clear" w:color="auto" w:fill="auto"/>
                  <w:vAlign w:val="center"/>
                </w:tcPr>
                <w:p w14:paraId="0B5036E9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b/>
                      <w:color w:val="000000"/>
                      <w:spacing w:val="-2"/>
                      <w:sz w:val="20"/>
                      <w:szCs w:val="20"/>
                    </w:rPr>
                    <w:t>874,6</w:t>
                  </w:r>
                </w:p>
              </w:tc>
            </w:tr>
            <w:tr w:rsidR="00E24C6D" w:rsidRPr="00E24C6D" w14:paraId="7A645764" w14:textId="77777777" w:rsidTr="005A0DFE">
              <w:trPr>
                <w:trHeight w:hRule="exact" w:val="265"/>
              </w:trPr>
              <w:tc>
                <w:tcPr>
                  <w:tcW w:w="5657" w:type="dxa"/>
                  <w:shd w:val="clear" w:color="auto" w:fill="auto"/>
                  <w:vAlign w:val="center"/>
                </w:tcPr>
                <w:p w14:paraId="720BD306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both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- budownictwo wielorodzinne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 w14:paraId="4AAB84C4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143,9</w:t>
                  </w:r>
                </w:p>
              </w:tc>
              <w:tc>
                <w:tcPr>
                  <w:tcW w:w="2499" w:type="dxa"/>
                  <w:shd w:val="clear" w:color="auto" w:fill="auto"/>
                  <w:vAlign w:val="center"/>
                </w:tcPr>
                <w:p w14:paraId="31112926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160,1</w:t>
                  </w:r>
                </w:p>
              </w:tc>
            </w:tr>
            <w:tr w:rsidR="00E24C6D" w:rsidRPr="00E24C6D" w14:paraId="09546ED1" w14:textId="77777777" w:rsidTr="005A0DFE">
              <w:trPr>
                <w:trHeight w:hRule="exact" w:val="265"/>
              </w:trPr>
              <w:tc>
                <w:tcPr>
                  <w:tcW w:w="5657" w:type="dxa"/>
                  <w:shd w:val="clear" w:color="auto" w:fill="auto"/>
                  <w:vAlign w:val="center"/>
                </w:tcPr>
                <w:p w14:paraId="76798731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both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- budownictwo jednorodzinne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 w14:paraId="2F446A59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653,3</w:t>
                  </w:r>
                </w:p>
              </w:tc>
              <w:tc>
                <w:tcPr>
                  <w:tcW w:w="2499" w:type="dxa"/>
                  <w:shd w:val="clear" w:color="auto" w:fill="auto"/>
                  <w:vAlign w:val="center"/>
                </w:tcPr>
                <w:p w14:paraId="6EB0A26F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714,5</w:t>
                  </w:r>
                </w:p>
              </w:tc>
            </w:tr>
            <w:tr w:rsidR="00E24C6D" w:rsidRPr="00E24C6D" w14:paraId="407D4BE1" w14:textId="77777777" w:rsidTr="005A0DFE">
              <w:trPr>
                <w:trHeight w:hRule="exact" w:val="265"/>
              </w:trPr>
              <w:tc>
                <w:tcPr>
                  <w:tcW w:w="10601" w:type="dxa"/>
                  <w:gridSpan w:val="3"/>
                  <w:shd w:val="clear" w:color="auto" w:fill="auto"/>
                  <w:vAlign w:val="center"/>
                </w:tcPr>
                <w:p w14:paraId="072C1063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both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z czego budownictwo</w:t>
                  </w:r>
                </w:p>
              </w:tc>
            </w:tr>
            <w:tr w:rsidR="00E24C6D" w:rsidRPr="00E24C6D" w14:paraId="048E853E" w14:textId="77777777" w:rsidTr="005A0DFE">
              <w:trPr>
                <w:trHeight w:hRule="exact" w:val="265"/>
              </w:trPr>
              <w:tc>
                <w:tcPr>
                  <w:tcW w:w="5657" w:type="dxa"/>
                  <w:shd w:val="clear" w:color="auto" w:fill="auto"/>
                  <w:vAlign w:val="center"/>
                </w:tcPr>
                <w:p w14:paraId="21D4CD22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both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 xml:space="preserve">- </w:t>
                  </w: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spółdzielcze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 w14:paraId="7BCE5562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9,3</w:t>
                  </w:r>
                </w:p>
              </w:tc>
              <w:tc>
                <w:tcPr>
                  <w:tcW w:w="2499" w:type="dxa"/>
                  <w:shd w:val="clear" w:color="auto" w:fill="auto"/>
                  <w:vAlign w:val="center"/>
                </w:tcPr>
                <w:p w14:paraId="35AE8E1B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1,9</w:t>
                  </w:r>
                </w:p>
              </w:tc>
            </w:tr>
            <w:tr w:rsidR="00E24C6D" w:rsidRPr="00E24C6D" w14:paraId="5492BA74" w14:textId="77777777" w:rsidTr="005A0DFE">
              <w:trPr>
                <w:trHeight w:hRule="exact" w:val="265"/>
              </w:trPr>
              <w:tc>
                <w:tcPr>
                  <w:tcW w:w="5657" w:type="dxa"/>
                  <w:shd w:val="clear" w:color="auto" w:fill="auto"/>
                  <w:vAlign w:val="center"/>
                </w:tcPr>
                <w:p w14:paraId="6A9A506C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both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 xml:space="preserve">- </w:t>
                  </w: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komunalne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 w14:paraId="3D0C2237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20,1</w:t>
                  </w:r>
                </w:p>
              </w:tc>
              <w:tc>
                <w:tcPr>
                  <w:tcW w:w="2499" w:type="dxa"/>
                  <w:shd w:val="clear" w:color="auto" w:fill="auto"/>
                  <w:vAlign w:val="center"/>
                </w:tcPr>
                <w:p w14:paraId="15896FCD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26,4</w:t>
                  </w:r>
                </w:p>
              </w:tc>
            </w:tr>
            <w:tr w:rsidR="00E24C6D" w:rsidRPr="00E24C6D" w14:paraId="49237DF2" w14:textId="77777777" w:rsidTr="005A0DFE">
              <w:trPr>
                <w:trHeight w:hRule="exact" w:val="265"/>
              </w:trPr>
              <w:tc>
                <w:tcPr>
                  <w:tcW w:w="5657" w:type="dxa"/>
                  <w:shd w:val="clear" w:color="auto" w:fill="auto"/>
                  <w:vAlign w:val="center"/>
                </w:tcPr>
                <w:p w14:paraId="1C07C9B6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both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lastRenderedPageBreak/>
                    <w:t>- TBS-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owskie</w:t>
                  </w:r>
                  <w:proofErr w:type="spellEnd"/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 w14:paraId="71D20F39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2499" w:type="dxa"/>
                  <w:shd w:val="clear" w:color="auto" w:fill="auto"/>
                  <w:vAlign w:val="center"/>
                </w:tcPr>
                <w:p w14:paraId="229F022F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19,4</w:t>
                  </w:r>
                </w:p>
              </w:tc>
            </w:tr>
            <w:tr w:rsidR="00E24C6D" w:rsidRPr="00E24C6D" w14:paraId="0929E741" w14:textId="77777777" w:rsidTr="005A0DFE">
              <w:trPr>
                <w:trHeight w:hRule="exact" w:val="265"/>
              </w:trPr>
              <w:tc>
                <w:tcPr>
                  <w:tcW w:w="5657" w:type="dxa"/>
                  <w:shd w:val="clear" w:color="auto" w:fill="auto"/>
                  <w:vAlign w:val="center"/>
                </w:tcPr>
                <w:p w14:paraId="71A38195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both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 xml:space="preserve">- </w:t>
                  </w: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osób fizycznych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 w14:paraId="28AF14B6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617,2</w:t>
                  </w:r>
                </w:p>
              </w:tc>
              <w:tc>
                <w:tcPr>
                  <w:tcW w:w="2499" w:type="dxa"/>
                  <w:shd w:val="clear" w:color="auto" w:fill="auto"/>
                  <w:vAlign w:val="center"/>
                </w:tcPr>
                <w:p w14:paraId="5FBA4D07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605,5</w:t>
                  </w:r>
                </w:p>
              </w:tc>
            </w:tr>
            <w:tr w:rsidR="00E24C6D" w:rsidRPr="00E24C6D" w14:paraId="799C7172" w14:textId="77777777" w:rsidTr="005A0DFE">
              <w:trPr>
                <w:trHeight w:hRule="exact" w:val="265"/>
              </w:trPr>
              <w:tc>
                <w:tcPr>
                  <w:tcW w:w="5657" w:type="dxa"/>
                  <w:shd w:val="clear" w:color="auto" w:fill="auto"/>
                  <w:vAlign w:val="center"/>
                </w:tcPr>
                <w:p w14:paraId="279956B2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both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 xml:space="preserve">- </w:t>
                  </w: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spółek i innych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 w14:paraId="409FB957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141,2</w:t>
                  </w:r>
                </w:p>
              </w:tc>
              <w:tc>
                <w:tcPr>
                  <w:tcW w:w="2499" w:type="dxa"/>
                  <w:shd w:val="clear" w:color="auto" w:fill="auto"/>
                  <w:vAlign w:val="center"/>
                </w:tcPr>
                <w:p w14:paraId="4A960DCE" w14:textId="77777777" w:rsidR="00E24C6D" w:rsidRPr="00E24C6D" w:rsidRDefault="00E24C6D" w:rsidP="00E24C6D">
                  <w:pPr>
                    <w:pStyle w:val="Akapitzlist"/>
                    <w:spacing w:line="240" w:lineRule="auto"/>
                    <w:ind w:left="34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E24C6D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  <w:t>221,4</w:t>
                  </w:r>
                </w:p>
              </w:tc>
            </w:tr>
          </w:tbl>
          <w:p w14:paraId="01B92BE9" w14:textId="77777777" w:rsidR="00674301" w:rsidRDefault="00674301" w:rsidP="00674301">
            <w:pPr>
              <w:pStyle w:val="Akapitzlist"/>
              <w:spacing w:line="240" w:lineRule="auto"/>
              <w:ind w:left="34"/>
              <w:rPr>
                <w:rFonts w:ascii="Times New Roman" w:hAnsi="Times New Roman"/>
                <w:color w:val="000000"/>
                <w:spacing w:val="-2"/>
              </w:rPr>
            </w:pPr>
          </w:p>
          <w:p w14:paraId="37D6491C" w14:textId="77777777" w:rsidR="00674301" w:rsidRDefault="00674301" w:rsidP="00674301">
            <w:pPr>
              <w:pStyle w:val="Akapitzlist"/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</w:t>
            </w:r>
            <w:r w:rsidRPr="00674301">
              <w:rPr>
                <w:rFonts w:ascii="Times New Roman" w:hAnsi="Times New Roman"/>
                <w:color w:val="000000"/>
                <w:spacing w:val="-2"/>
              </w:rPr>
              <w:t>ełną inwentaryzację gruntów Skarbu Państw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z potencjałem mieszkaniowym przeprowadził Krajowy Zasób Nieruchomości</w:t>
            </w:r>
            <w:r w:rsidRPr="00674301">
              <w:rPr>
                <w:rFonts w:ascii="Times New Roman" w:hAnsi="Times New Roman"/>
                <w:color w:val="000000"/>
                <w:spacing w:val="-2"/>
              </w:rPr>
              <w:t xml:space="preserve">. Wstępnej analizie poddano blisko pół miliona działek, z czego wyselekcjonowano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ok. </w:t>
            </w:r>
            <w:r w:rsidRPr="00674301">
              <w:rPr>
                <w:rFonts w:ascii="Times New Roman" w:hAnsi="Times New Roman"/>
                <w:color w:val="000000"/>
                <w:spacing w:val="-2"/>
              </w:rPr>
              <w:t>500, wykazujących największy mies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zkaniowy potencjał inwestycyjny. </w:t>
            </w:r>
            <w:r w:rsidRPr="00674301">
              <w:rPr>
                <w:rFonts w:ascii="Times New Roman" w:hAnsi="Times New Roman"/>
                <w:color w:val="000000"/>
                <w:spacing w:val="-2"/>
              </w:rPr>
              <w:t>Według stanu na 31</w:t>
            </w:r>
            <w:r w:rsidR="00822A24">
              <w:rPr>
                <w:rFonts w:ascii="Times New Roman" w:hAnsi="Times New Roman"/>
                <w:color w:val="000000"/>
                <w:spacing w:val="-2"/>
              </w:rPr>
              <w:t xml:space="preserve"> grudnia </w:t>
            </w:r>
            <w:r w:rsidRPr="00674301">
              <w:rPr>
                <w:rFonts w:ascii="Times New Roman" w:hAnsi="Times New Roman"/>
                <w:color w:val="000000"/>
                <w:spacing w:val="-2"/>
              </w:rPr>
              <w:t>2019 r. KZN wytypował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pod inwestycj</w:t>
            </w:r>
            <w:r w:rsidR="00822A24">
              <w:rPr>
                <w:rFonts w:ascii="Times New Roman" w:hAnsi="Times New Roman"/>
                <w:color w:val="000000"/>
                <w:spacing w:val="-2"/>
              </w:rPr>
              <w:t>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potencjalnie</w:t>
            </w:r>
            <w:r w:rsidRPr="00674301">
              <w:rPr>
                <w:rFonts w:ascii="Times New Roman" w:hAnsi="Times New Roman"/>
                <w:color w:val="000000"/>
                <w:spacing w:val="-2"/>
              </w:rPr>
              <w:t xml:space="preserve"> 126 nieruchomości gruntowych zlokalizowany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ch na terenie 79 miejscowości, </w:t>
            </w:r>
            <w:r w:rsidRPr="00674301">
              <w:rPr>
                <w:rFonts w:ascii="Times New Roman" w:hAnsi="Times New Roman"/>
                <w:color w:val="000000"/>
                <w:spacing w:val="-2"/>
              </w:rPr>
              <w:t xml:space="preserve">a łączna powierzchnia tych działek </w:t>
            </w:r>
            <w:r w:rsidR="00822A24">
              <w:rPr>
                <w:rFonts w:ascii="Times New Roman" w:hAnsi="Times New Roman"/>
                <w:color w:val="000000"/>
                <w:spacing w:val="-2"/>
              </w:rPr>
              <w:t>wyniosła</w:t>
            </w:r>
            <w:r w:rsidRPr="00674301">
              <w:rPr>
                <w:rFonts w:ascii="Times New Roman" w:hAnsi="Times New Roman"/>
                <w:color w:val="000000"/>
                <w:spacing w:val="-2"/>
              </w:rPr>
              <w:t xml:space="preserve"> ponad 1,1 tys. ha. </w:t>
            </w:r>
            <w:r>
              <w:rPr>
                <w:rFonts w:ascii="Times New Roman" w:hAnsi="Times New Roman"/>
                <w:color w:val="000000"/>
                <w:spacing w:val="-2"/>
              </w:rPr>
              <w:t>Jest to wprawdzie poziom wielokrotnie niższy od potencjału gruntowego samorządów gminn</w:t>
            </w:r>
            <w:r w:rsidR="00E20685">
              <w:rPr>
                <w:rFonts w:ascii="Times New Roman" w:hAnsi="Times New Roman"/>
                <w:color w:val="000000"/>
                <w:spacing w:val="-2"/>
              </w:rPr>
              <w:t xml:space="preserve">ych, należy </w:t>
            </w:r>
            <w:r w:rsidR="00822A24" w:rsidRPr="00822A24">
              <w:rPr>
                <w:rFonts w:ascii="Times New Roman" w:hAnsi="Times New Roman"/>
                <w:color w:val="000000"/>
                <w:spacing w:val="-2"/>
              </w:rPr>
              <w:t xml:space="preserve">jednak </w:t>
            </w:r>
            <w:r w:rsidR="00E20685">
              <w:rPr>
                <w:rFonts w:ascii="Times New Roman" w:hAnsi="Times New Roman"/>
                <w:color w:val="000000"/>
                <w:spacing w:val="-2"/>
              </w:rPr>
              <w:t>podkreślić, ż</w:t>
            </w:r>
            <w:r>
              <w:rPr>
                <w:rFonts w:ascii="Times New Roman" w:hAnsi="Times New Roman"/>
                <w:color w:val="000000"/>
                <w:spacing w:val="-2"/>
              </w:rPr>
              <w:t>e w większości są to grunty, które mogą być zabudowane budynkami wielorodzinnymi, co zwiększa ich potencjał</w:t>
            </w:r>
            <w:r w:rsidR="00661BDF">
              <w:rPr>
                <w:rFonts w:ascii="Times New Roman" w:hAnsi="Times New Roman"/>
                <w:color w:val="000000"/>
                <w:spacing w:val="-2"/>
              </w:rPr>
              <w:t>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jeżeli chodzi o możliwą liczbę wybudowanych mieszkań.</w:t>
            </w:r>
          </w:p>
          <w:p w14:paraId="32BF8B3F" w14:textId="77777777" w:rsidR="00674301" w:rsidRPr="00674301" w:rsidRDefault="00674301" w:rsidP="00674301">
            <w:pPr>
              <w:pStyle w:val="Akapitzlist"/>
              <w:spacing w:line="240" w:lineRule="auto"/>
              <w:ind w:left="34"/>
              <w:rPr>
                <w:rFonts w:ascii="Times New Roman" w:hAnsi="Times New Roman"/>
                <w:color w:val="000000"/>
                <w:spacing w:val="-2"/>
              </w:rPr>
            </w:pPr>
          </w:p>
          <w:p w14:paraId="794DB2B8" w14:textId="77777777" w:rsidR="00A865E0" w:rsidRDefault="00106556" w:rsidP="00D02A1A">
            <w:pPr>
              <w:pStyle w:val="Akapitzlist"/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W podstawowym modelu </w:t>
            </w:r>
            <w:r>
              <w:rPr>
                <w:rFonts w:ascii="Times New Roman" w:hAnsi="Times New Roman"/>
                <w:color w:val="000000"/>
                <w:spacing w:val="-2"/>
              </w:rPr>
              <w:t>przewidzianym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 w projekcie ustawy inwestor (nabywca nieruchomości od gminy) budowałby budynek (ew</w:t>
            </w:r>
            <w:r w:rsidR="0032671A">
              <w:rPr>
                <w:rFonts w:ascii="Times New Roman" w:hAnsi="Times New Roman"/>
                <w:color w:val="000000"/>
                <w:spacing w:val="-2"/>
              </w:rPr>
              <w:t>entualnie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 remontował/przebudowywał budynek istniejący) i przekazywał część mieszkań samorządowi gminnemu. Gmina mogłaby te mieszkania zachować w swoim zasobie (jako mieszkania komunalne) lub wnieść je do spółek gminnych (np. towarzystw budownictwa społecznego) lub państwowych. W ten sposób bez samodzielnego prowadzenia skomplikowanego i czasochłonnego procesu inwestycyjnego gmina uzyskiwałaby zasób mieszkaniowy, który mógłby być przeznaczony na zaspokojenie potrzeb mieszkaniowych wspólnoty lokalnej. Warto podkreślić, że mieszkania na wynajem uzyskane w ramach inwestycji </w:t>
            </w:r>
            <w:r>
              <w:rPr>
                <w:rFonts w:ascii="Times New Roman" w:hAnsi="Times New Roman"/>
                <w:color w:val="000000"/>
                <w:spacing w:val="-2"/>
              </w:rPr>
              <w:t>realizowanej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z wykorzystaniem nieruchomości nabytej zgodnie </w:t>
            </w:r>
            <w:r w:rsidR="0032671A">
              <w:rPr>
                <w:rFonts w:ascii="Times New Roman" w:hAnsi="Times New Roman"/>
                <w:color w:val="000000"/>
                <w:spacing w:val="-2"/>
              </w:rPr>
              <w:br/>
            </w:r>
            <w:r>
              <w:rPr>
                <w:rFonts w:ascii="Times New Roman" w:hAnsi="Times New Roman"/>
                <w:color w:val="000000"/>
                <w:spacing w:val="-2"/>
              </w:rPr>
              <w:t>z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 projek</w:t>
            </w:r>
            <w:r>
              <w:rPr>
                <w:rFonts w:ascii="Times New Roman" w:hAnsi="Times New Roman"/>
                <w:color w:val="000000"/>
                <w:spacing w:val="-2"/>
              </w:rPr>
              <w:t>towaną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 ustaw</w:t>
            </w:r>
            <w:r>
              <w:rPr>
                <w:rFonts w:ascii="Times New Roman" w:hAnsi="Times New Roman"/>
                <w:color w:val="000000"/>
                <w:spacing w:val="-2"/>
              </w:rPr>
              <w:t>ą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będą mogły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 być objęte dopłatami do czynszu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 zasadach określonych w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245775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ustawie z dnia </w:t>
            </w:r>
            <w:r w:rsidR="0032671A">
              <w:rPr>
                <w:rFonts w:ascii="Times New Roman" w:hAnsi="Times New Roman"/>
                <w:i/>
                <w:iCs/>
                <w:color w:val="000000"/>
                <w:spacing w:val="-2"/>
              </w:rPr>
              <w:br/>
            </w:r>
            <w:r w:rsidRPr="00245775">
              <w:rPr>
                <w:rFonts w:ascii="Times New Roman" w:hAnsi="Times New Roman"/>
                <w:i/>
                <w:iCs/>
                <w:color w:val="000000"/>
                <w:spacing w:val="-2"/>
              </w:rPr>
              <w:t>20 lipca 2018 r. o pomocy państwa w ponoszeniu wydatków mieszkaniowych w pierwszych latach najmu mieszkania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32671A">
              <w:rPr>
                <w:rFonts w:ascii="Times New Roman" w:hAnsi="Times New Roman"/>
                <w:color w:val="000000"/>
                <w:spacing w:val="-2"/>
              </w:rPr>
              <w:br/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>(Dz. U. z 2020 r. poz. 551).</w:t>
            </w:r>
          </w:p>
          <w:p w14:paraId="34CE3DF2" w14:textId="77777777" w:rsidR="00106556" w:rsidRDefault="00106556" w:rsidP="00D02A1A">
            <w:pPr>
              <w:pStyle w:val="Akapitzlist"/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672B458D" w14:textId="77777777" w:rsidR="007D21E7" w:rsidRPr="00245775" w:rsidRDefault="007D21E7" w:rsidP="007D21E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Projektowana ustawa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 dopuszcza również inne formy </w:t>
            </w:r>
            <w:r>
              <w:rPr>
                <w:rFonts w:ascii="Times New Roman" w:hAnsi="Times New Roman"/>
                <w:color w:val="000000"/>
                <w:spacing w:val="-2"/>
              </w:rPr>
              <w:t>inwestowania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32671A">
              <w:rPr>
                <w:rFonts w:ascii="Times New Roman" w:hAnsi="Times New Roman"/>
                <w:color w:val="000000"/>
                <w:spacing w:val="-2"/>
              </w:rPr>
              <w:t xml:space="preserve">z wykorzystaniem nieruchomości gminnych, 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np. uzyskiwanie przez gminy mieszkań położonych w innych lokalizacjach lub uzyskiwanie powierzchni niemieszkalnych </w:t>
            </w:r>
            <w:r w:rsidR="0032671A">
              <w:rPr>
                <w:rFonts w:ascii="Times New Roman" w:hAnsi="Times New Roman"/>
                <w:color w:val="000000"/>
                <w:spacing w:val="-2"/>
              </w:rPr>
              <w:br/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(np. pod działalność wychowawczą, zdrowotną, kulturalną itp.). </w:t>
            </w:r>
            <w:r w:rsidR="0032671A">
              <w:rPr>
                <w:rFonts w:ascii="Times New Roman" w:hAnsi="Times New Roman"/>
                <w:color w:val="000000"/>
                <w:spacing w:val="-2"/>
              </w:rPr>
              <w:t>Wskutek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 występowani</w:t>
            </w:r>
            <w:r w:rsidR="0032671A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 w danym budynku mieszkań </w:t>
            </w:r>
            <w:r w:rsidR="0032671A">
              <w:rPr>
                <w:rFonts w:ascii="Times New Roman" w:hAnsi="Times New Roman"/>
                <w:color w:val="000000"/>
                <w:spacing w:val="-2"/>
              </w:rPr>
              <w:br/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>o różnym charakterze (na sprzedaż, najem komercyjny, najem społeczny, najem komunalny) uzyskiwano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by na danym obszarze korzystny </w:t>
            </w:r>
            <w:proofErr w:type="spellStart"/>
            <w:r w:rsidRPr="00245775">
              <w:rPr>
                <w:rFonts w:ascii="Times New Roman" w:hAnsi="Times New Roman"/>
                <w:i/>
                <w:iCs/>
                <w:color w:val="000000"/>
                <w:spacing w:val="-2"/>
              </w:rPr>
              <w:t>social</w:t>
            </w:r>
            <w:proofErr w:type="spellEnd"/>
            <w:r w:rsidRPr="00245775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 mix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 i zapobiegano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by tworzeniu się zjawiska </w:t>
            </w:r>
            <w:proofErr w:type="spellStart"/>
            <w:r w:rsidRPr="00245775">
              <w:rPr>
                <w:rFonts w:ascii="Times New Roman" w:hAnsi="Times New Roman"/>
                <w:color w:val="000000"/>
                <w:spacing w:val="-2"/>
              </w:rPr>
              <w:t>gettoizacji</w:t>
            </w:r>
            <w:proofErr w:type="spellEnd"/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, współistniejącego często na obszarach </w:t>
            </w:r>
            <w:r w:rsidR="0032671A">
              <w:rPr>
                <w:rFonts w:ascii="Times New Roman" w:hAnsi="Times New Roman"/>
                <w:color w:val="000000"/>
                <w:spacing w:val="-2"/>
              </w:rPr>
              <w:br/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z budynkami </w:t>
            </w:r>
            <w:r w:rsidRPr="00245775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stricte 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komunalnymi. </w:t>
            </w:r>
          </w:p>
          <w:p w14:paraId="02182DDC" w14:textId="77777777" w:rsidR="00AD1E4B" w:rsidRPr="007D21E7" w:rsidRDefault="00AD1E4B" w:rsidP="007D21E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74A3F928" w14:textId="77777777" w:rsidR="007D21E7" w:rsidRDefault="007D21E7" w:rsidP="007D21E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Z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 xml:space="preserve">godnie z projektowaną ustawą nieruchomości oferowane przez gminę muszą być położone na obszarze objętym miejscowym planem zagospodarowania przestrzennego lub musi być wydana dla takiej nieruchomości decyzja </w:t>
            </w:r>
            <w:r>
              <w:rPr>
                <w:rFonts w:ascii="Times New Roman" w:hAnsi="Times New Roman"/>
                <w:color w:val="000000"/>
                <w:spacing w:val="-2"/>
              </w:rPr>
              <w:br/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>o warunkach zabudowy i zagospodarowania terenu. Istotnie przyspiesza to proces inwestycyjny i zmniejsza niepewność potencjalnych inwestorów co do możliwości zagospodarowania d</w:t>
            </w:r>
            <w:r w:rsidR="0032671A">
              <w:rPr>
                <w:rFonts w:ascii="Times New Roman" w:hAnsi="Times New Roman"/>
                <w:color w:val="000000"/>
                <w:spacing w:val="-2"/>
              </w:rPr>
              <w:t>anej nieruchomości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>.</w:t>
            </w:r>
            <w:r w:rsidR="00D37187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245775">
              <w:rPr>
                <w:rFonts w:ascii="Times New Roman" w:hAnsi="Times New Roman"/>
                <w:color w:val="000000"/>
                <w:spacing w:val="-2"/>
              </w:rPr>
              <w:t>Zapisy projektowanej ustawy wprowadzają dodatkowo zachęty do inwestowania na terenach poddawanych rewitalizacji oraz zachęcają do prowadzenia prac remontowych w budynkach zabytkowych.</w:t>
            </w:r>
          </w:p>
          <w:p w14:paraId="519A6221" w14:textId="77777777" w:rsidR="00F777D6" w:rsidRPr="007D21E7" w:rsidRDefault="00F777D6" w:rsidP="007D21E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2AB35A71" w14:textId="77777777" w:rsidR="00A830C5" w:rsidRPr="002B6F33" w:rsidRDefault="003F63CB" w:rsidP="002B6F33">
            <w:pPr>
              <w:pStyle w:val="Akapitzlist"/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Reasumując, p</w:t>
            </w:r>
            <w:r w:rsidR="003030B8">
              <w:rPr>
                <w:rFonts w:ascii="Times New Roman" w:hAnsi="Times New Roman"/>
                <w:color w:val="000000"/>
                <w:spacing w:val="-2"/>
              </w:rPr>
              <w:t>rop</w:t>
            </w:r>
            <w:r w:rsidR="00AD1E4B">
              <w:rPr>
                <w:rFonts w:ascii="Times New Roman" w:hAnsi="Times New Roman"/>
                <w:color w:val="000000"/>
                <w:spacing w:val="-2"/>
              </w:rPr>
              <w:t xml:space="preserve">onowane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w </w:t>
            </w:r>
            <w:r w:rsidR="002B6F33">
              <w:rPr>
                <w:rFonts w:ascii="Times New Roman" w:hAnsi="Times New Roman"/>
                <w:color w:val="000000"/>
                <w:spacing w:val="-2"/>
              </w:rPr>
              <w:t xml:space="preserve">projektowanej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ustawie </w:t>
            </w:r>
            <w:r w:rsidR="00AD1E4B">
              <w:rPr>
                <w:rFonts w:ascii="Times New Roman" w:hAnsi="Times New Roman"/>
                <w:color w:val="000000"/>
                <w:spacing w:val="-2"/>
              </w:rPr>
              <w:t>rozwią</w:t>
            </w:r>
            <w:r w:rsidR="003030B8">
              <w:rPr>
                <w:rFonts w:ascii="Times New Roman" w:hAnsi="Times New Roman"/>
                <w:color w:val="000000"/>
                <w:spacing w:val="-2"/>
              </w:rPr>
              <w:t>zanie</w:t>
            </w:r>
            <w:r w:rsidR="00D02A1A">
              <w:rPr>
                <w:rFonts w:ascii="Times New Roman" w:hAnsi="Times New Roman"/>
                <w:color w:val="000000"/>
                <w:spacing w:val="-2"/>
              </w:rPr>
              <w:t xml:space="preserve"> powiększa zakres instrumentów polityki mieszkaniowej gminy i umożliwia </w:t>
            </w:r>
            <w:r w:rsidR="003030B8">
              <w:rPr>
                <w:rFonts w:ascii="Times New Roman" w:hAnsi="Times New Roman"/>
                <w:color w:val="000000"/>
                <w:spacing w:val="-2"/>
              </w:rPr>
              <w:t xml:space="preserve">elastyczne stosowanie różnych from wsparcia mieszkalnictwa. W przypadku inwestorów </w:t>
            </w:r>
            <w:r w:rsidR="001361DF">
              <w:rPr>
                <w:rFonts w:ascii="Times New Roman" w:hAnsi="Times New Roman"/>
                <w:color w:val="000000"/>
                <w:spacing w:val="-2"/>
              </w:rPr>
              <w:t xml:space="preserve">(nabywców </w:t>
            </w:r>
            <w:r w:rsidR="002B6F33">
              <w:rPr>
                <w:rFonts w:ascii="Times New Roman" w:hAnsi="Times New Roman"/>
                <w:color w:val="000000"/>
                <w:spacing w:val="-2"/>
              </w:rPr>
              <w:t xml:space="preserve">nieruchomości </w:t>
            </w:r>
            <w:r w:rsidR="001361DF">
              <w:rPr>
                <w:rFonts w:ascii="Times New Roman" w:hAnsi="Times New Roman"/>
                <w:color w:val="000000"/>
                <w:spacing w:val="-2"/>
              </w:rPr>
              <w:t>od</w:t>
            </w:r>
            <w:r w:rsidR="00311605">
              <w:rPr>
                <w:rFonts w:ascii="Times New Roman" w:hAnsi="Times New Roman"/>
                <w:color w:val="000000"/>
                <w:spacing w:val="-2"/>
              </w:rPr>
              <w:t xml:space="preserve"> gminy) </w:t>
            </w:r>
            <w:r w:rsidR="003030B8">
              <w:rPr>
                <w:rFonts w:ascii="Times New Roman" w:hAnsi="Times New Roman"/>
                <w:color w:val="000000"/>
                <w:spacing w:val="-2"/>
              </w:rPr>
              <w:t xml:space="preserve">zwiększa </w:t>
            </w:r>
            <w:r w:rsidR="001361DF">
              <w:rPr>
                <w:rFonts w:ascii="Times New Roman" w:hAnsi="Times New Roman"/>
                <w:color w:val="000000"/>
                <w:spacing w:val="-2"/>
              </w:rPr>
              <w:t xml:space="preserve">natomiast </w:t>
            </w:r>
            <w:r w:rsidR="003030B8">
              <w:rPr>
                <w:rFonts w:ascii="Times New Roman" w:hAnsi="Times New Roman"/>
                <w:color w:val="000000"/>
                <w:spacing w:val="-2"/>
              </w:rPr>
              <w:t xml:space="preserve">dostępność </w:t>
            </w:r>
            <w:r w:rsidR="002B6F33">
              <w:rPr>
                <w:rFonts w:ascii="Times New Roman" w:hAnsi="Times New Roman"/>
                <w:color w:val="000000"/>
                <w:spacing w:val="-2"/>
              </w:rPr>
              <w:t>nieruchomości</w:t>
            </w:r>
            <w:r w:rsidR="003030B8">
              <w:rPr>
                <w:rFonts w:ascii="Times New Roman" w:hAnsi="Times New Roman"/>
                <w:color w:val="000000"/>
                <w:spacing w:val="-2"/>
              </w:rPr>
              <w:t xml:space="preserve"> pod budownictwo i docelowo zwiększa podaż nowo budowanych mieszkań. </w:t>
            </w:r>
            <w:r w:rsidR="00CF71CF">
              <w:rPr>
                <w:rFonts w:ascii="Times New Roman" w:hAnsi="Times New Roman"/>
                <w:color w:val="000000"/>
                <w:spacing w:val="-2"/>
              </w:rPr>
              <w:t>Wstępne szacunki potencjalnych inwestorów oraz doświadczenia z</w:t>
            </w:r>
            <w:r w:rsidR="00E566C6">
              <w:rPr>
                <w:rFonts w:ascii="Times New Roman" w:hAnsi="Times New Roman"/>
                <w:color w:val="000000"/>
                <w:spacing w:val="-2"/>
              </w:rPr>
              <w:t xml:space="preserve">agraniczne i analizy dotyczące </w:t>
            </w:r>
            <w:r w:rsidR="00CF71CF">
              <w:rPr>
                <w:rFonts w:ascii="Times New Roman" w:hAnsi="Times New Roman"/>
                <w:color w:val="000000"/>
                <w:spacing w:val="-2"/>
              </w:rPr>
              <w:t>u</w:t>
            </w:r>
            <w:r w:rsidR="00E566C6">
              <w:rPr>
                <w:rFonts w:ascii="Times New Roman" w:hAnsi="Times New Roman"/>
                <w:color w:val="000000"/>
                <w:spacing w:val="-2"/>
              </w:rPr>
              <w:t>d</w:t>
            </w:r>
            <w:r w:rsidR="00CF71CF">
              <w:rPr>
                <w:rFonts w:ascii="Times New Roman" w:hAnsi="Times New Roman"/>
                <w:color w:val="000000"/>
                <w:spacing w:val="-2"/>
              </w:rPr>
              <w:t>ziału ceny gruntów w kosztach inwestycji mi</w:t>
            </w:r>
            <w:r w:rsidR="00E566C6">
              <w:rPr>
                <w:rFonts w:ascii="Times New Roman" w:hAnsi="Times New Roman"/>
                <w:color w:val="000000"/>
                <w:spacing w:val="-2"/>
              </w:rPr>
              <w:t>eszkaniowej wskazują, że w zależnoś</w:t>
            </w:r>
            <w:r w:rsidR="00CF71CF">
              <w:rPr>
                <w:rFonts w:ascii="Times New Roman" w:hAnsi="Times New Roman"/>
                <w:color w:val="000000"/>
                <w:spacing w:val="-2"/>
              </w:rPr>
              <w:t>ci od</w:t>
            </w:r>
            <w:r w:rsidR="00E566C6">
              <w:rPr>
                <w:rFonts w:ascii="Times New Roman" w:hAnsi="Times New Roman"/>
                <w:color w:val="000000"/>
                <w:spacing w:val="-2"/>
              </w:rPr>
              <w:t xml:space="preserve"> l</w:t>
            </w:r>
            <w:r w:rsidR="00CF71CF">
              <w:rPr>
                <w:rFonts w:ascii="Times New Roman" w:hAnsi="Times New Roman"/>
                <w:color w:val="000000"/>
                <w:spacing w:val="-2"/>
              </w:rPr>
              <w:t xml:space="preserve">okalizacji </w:t>
            </w:r>
            <w:r w:rsidR="002B6F33">
              <w:rPr>
                <w:rFonts w:ascii="Times New Roman" w:hAnsi="Times New Roman"/>
                <w:color w:val="000000"/>
                <w:spacing w:val="-2"/>
              </w:rPr>
              <w:br/>
            </w:r>
            <w:r w:rsidR="00CF71CF">
              <w:rPr>
                <w:rFonts w:ascii="Times New Roman" w:hAnsi="Times New Roman"/>
                <w:color w:val="000000"/>
                <w:spacing w:val="-2"/>
              </w:rPr>
              <w:t>i potencjału inwestycyjnego danego g</w:t>
            </w:r>
            <w:r w:rsidR="00E566C6">
              <w:rPr>
                <w:rFonts w:ascii="Times New Roman" w:hAnsi="Times New Roman"/>
                <w:color w:val="000000"/>
                <w:spacing w:val="-2"/>
              </w:rPr>
              <w:t>runtu, gminy mogłyby uzyskiwać ok. 5-2</w:t>
            </w:r>
            <w:r w:rsidR="00CF71CF">
              <w:rPr>
                <w:rFonts w:ascii="Times New Roman" w:hAnsi="Times New Roman"/>
                <w:color w:val="000000"/>
                <w:spacing w:val="-2"/>
              </w:rPr>
              <w:t xml:space="preserve">0% wybudowanych w danym budynku mieszkań. </w:t>
            </w:r>
          </w:p>
          <w:p w14:paraId="3DA15B58" w14:textId="77777777" w:rsidR="00A830C5" w:rsidRDefault="00A830C5" w:rsidP="00A830C5">
            <w:pPr>
              <w:pStyle w:val="Akapitzlist"/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723A24F2" w14:textId="77777777" w:rsidR="007C2E89" w:rsidRDefault="00D94D09" w:rsidP="00A344F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Warto podkreślić, </w:t>
            </w:r>
            <w:r w:rsidR="000238BD" w:rsidRPr="00960BA7">
              <w:rPr>
                <w:rFonts w:ascii="Times New Roman" w:hAnsi="Times New Roman"/>
                <w:color w:val="000000"/>
                <w:spacing w:val="-2"/>
              </w:rPr>
              <w:t xml:space="preserve">że gminy </w:t>
            </w:r>
            <w:r w:rsidR="000238BD">
              <w:rPr>
                <w:rFonts w:ascii="Times New Roman" w:hAnsi="Times New Roman"/>
                <w:color w:val="000000"/>
                <w:spacing w:val="-2"/>
              </w:rPr>
              <w:t>mogą</w:t>
            </w:r>
            <w:r w:rsidR="000238BD" w:rsidRPr="00960BA7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0238BD">
              <w:rPr>
                <w:rFonts w:ascii="Times New Roman" w:hAnsi="Times New Roman"/>
                <w:color w:val="000000"/>
                <w:spacing w:val="-2"/>
              </w:rPr>
              <w:t xml:space="preserve">przeznaczać swoje nieruchomości na cele inwestycyjne </w:t>
            </w:r>
            <w:r w:rsidR="000238BD" w:rsidRPr="00960BA7">
              <w:rPr>
                <w:rFonts w:ascii="Times New Roman" w:hAnsi="Times New Roman"/>
                <w:color w:val="000000"/>
                <w:spacing w:val="-2"/>
              </w:rPr>
              <w:t xml:space="preserve">już obecnie, na podstawie ogólnych zasad gospodarowania gruntami gminnymi. W praktyce jednak </w:t>
            </w:r>
            <w:r w:rsidR="000238BD">
              <w:rPr>
                <w:rFonts w:ascii="Times New Roman" w:hAnsi="Times New Roman"/>
                <w:color w:val="000000"/>
                <w:spacing w:val="-2"/>
              </w:rPr>
              <w:t>możliwości te pozostają nie w pełni wykorzystane</w:t>
            </w:r>
            <w:r w:rsidR="000238BD" w:rsidRPr="00960BA7">
              <w:rPr>
                <w:rFonts w:ascii="Times New Roman" w:hAnsi="Times New Roman"/>
                <w:color w:val="000000"/>
                <w:spacing w:val="-2"/>
              </w:rPr>
              <w:t xml:space="preserve">. </w:t>
            </w:r>
            <w:r w:rsidR="000238BD">
              <w:rPr>
                <w:rFonts w:ascii="Times New Roman" w:hAnsi="Times New Roman"/>
                <w:color w:val="000000"/>
                <w:spacing w:val="-2"/>
              </w:rPr>
              <w:t>Projektowana u</w:t>
            </w:r>
            <w:r w:rsidR="000238BD" w:rsidRPr="00960BA7">
              <w:rPr>
                <w:rFonts w:ascii="Times New Roman" w:hAnsi="Times New Roman"/>
                <w:color w:val="000000"/>
                <w:spacing w:val="-2"/>
              </w:rPr>
              <w:t xml:space="preserve">stawa ma </w:t>
            </w:r>
            <w:r w:rsidR="000238BD">
              <w:rPr>
                <w:rFonts w:ascii="Times New Roman" w:hAnsi="Times New Roman"/>
                <w:color w:val="000000"/>
                <w:spacing w:val="-2"/>
              </w:rPr>
              <w:t>zachęcić samorządy lokalne</w:t>
            </w:r>
            <w:r w:rsidR="000238BD" w:rsidRPr="00960BA7">
              <w:rPr>
                <w:rFonts w:ascii="Times New Roman" w:hAnsi="Times New Roman"/>
                <w:color w:val="000000"/>
                <w:spacing w:val="-2"/>
              </w:rPr>
              <w:t xml:space="preserve"> do szerszego wykorzystywania instrumentów wsparcia budownictwa mieszkaniowego z wykorzystaniem zasobu nieruchomości gminnych oraz nadania całemu procesowi transparentnego charakteru.</w:t>
            </w:r>
            <w:r w:rsidR="000238B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895ADA" w:rsidRPr="000238BD">
              <w:rPr>
                <w:rFonts w:ascii="Times New Roman" w:hAnsi="Times New Roman"/>
                <w:color w:val="000000"/>
                <w:spacing w:val="-2"/>
              </w:rPr>
              <w:t xml:space="preserve">Na konieczność opracowania takiej regulacji zwracają uwagę zarówno samorządy jak i potencjalni inwestorzy. </w:t>
            </w:r>
          </w:p>
          <w:p w14:paraId="3BA839EC" w14:textId="77777777" w:rsidR="00A344FE" w:rsidRDefault="00A344FE" w:rsidP="00A344F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674FFF2B" w14:textId="02FD0E02" w:rsidR="00D37187" w:rsidRDefault="00D069DD" w:rsidP="00313CE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Dodatkowo ustawa wprowadza instrumenty mające na celu zachęcenie gmin do inwestowania w budownictwo mieszkaniowe oraz w infrastrukturę techniczną i społeczną towarzyszącą budownictwu mieszkaniowemu. Z jednej strony gminom zaangażowanym w programy mieszkaniowe zostanie zaproponowan</w:t>
            </w:r>
            <w:r w:rsidR="00A344FE">
              <w:rPr>
                <w:rFonts w:ascii="Times New Roman" w:hAnsi="Times New Roman"/>
                <w:color w:val="000000"/>
                <w:spacing w:val="-2"/>
              </w:rPr>
              <w:t>y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10</w:t>
            </w:r>
            <w:r w:rsidR="00A344FE">
              <w:rPr>
                <w:rFonts w:ascii="Times New Roman" w:hAnsi="Times New Roman"/>
                <w:color w:val="000000"/>
                <w:spacing w:val="-2"/>
              </w:rPr>
              <w:t>-procentowy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grant na pokrycie części kosztów inwestycji infrastrukturalnej. Z drugiej strony gminy realizujące programy mieszkaniowe będą preferowane przy naborze wniosków na inne programy rządowe wspierające samorządy w budowie dróg gminnych, zapewnianiu przewozów autobusowych oraz pomocy osobom niepełnosprawnym. </w:t>
            </w:r>
          </w:p>
          <w:p w14:paraId="410F2018" w14:textId="7C4F097E" w:rsidR="006B3141" w:rsidRDefault="006B3141" w:rsidP="00313CE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7F2C1045" w14:textId="77777777" w:rsidR="006B3141" w:rsidRDefault="006B3141" w:rsidP="00313CE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3199307E" w14:textId="4B250C27" w:rsidR="006B3141" w:rsidRPr="000238BD" w:rsidRDefault="006B3141" w:rsidP="00313CE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A701A" w:rsidRPr="008B4FE6" w14:paraId="42543D7C" w14:textId="77777777" w:rsidTr="006E43A6">
        <w:trPr>
          <w:trHeight w:val="307"/>
        </w:trPr>
        <w:tc>
          <w:tcPr>
            <w:tcW w:w="10876" w:type="dxa"/>
            <w:gridSpan w:val="28"/>
            <w:shd w:val="clear" w:color="auto" w:fill="99CCFF"/>
            <w:vAlign w:val="center"/>
          </w:tcPr>
          <w:p w14:paraId="03C5477D" w14:textId="77777777" w:rsidR="006A701A" w:rsidRPr="008B4FE6" w:rsidRDefault="009E3C4B" w:rsidP="007D219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pacing w:val="-2"/>
              </w:rPr>
              <w:lastRenderedPageBreak/>
              <w:t>Jak problem został rozwiązany</w:t>
            </w:r>
            <w:r w:rsidRPr="001812C7">
              <w:rPr>
                <w:rFonts w:ascii="Times New Roman" w:hAnsi="Times New Roman"/>
                <w:b/>
                <w:spacing w:val="-2"/>
              </w:rPr>
              <w:t xml:space="preserve"> w innych krajach, w szczególności krajach członkowskich OECD/UE</w:t>
            </w:r>
            <w:r w:rsidR="006A701A" w:rsidRPr="008B4FE6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8B4FE6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6A701A" w:rsidRPr="008B4FE6" w14:paraId="2110F2A7" w14:textId="77777777" w:rsidTr="006E43A6">
        <w:trPr>
          <w:trHeight w:val="142"/>
        </w:trPr>
        <w:tc>
          <w:tcPr>
            <w:tcW w:w="10876" w:type="dxa"/>
            <w:gridSpan w:val="28"/>
            <w:shd w:val="clear" w:color="auto" w:fill="auto"/>
          </w:tcPr>
          <w:p w14:paraId="3974645E" w14:textId="77777777" w:rsidR="006B3141" w:rsidRDefault="006B3141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</w:p>
          <w:p w14:paraId="654371DB" w14:textId="58791DAD" w:rsidR="00D13E7B" w:rsidRP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/>
                <w:bCs/>
                <w:color w:val="000000"/>
                <w:spacing w:val="-2"/>
              </w:rPr>
              <w:t>Francja</w:t>
            </w:r>
          </w:p>
          <w:p w14:paraId="6773BEC4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Ustawa o solidarności i odnowie miast z 2000 r.</w:t>
            </w:r>
            <w:r w:rsidRPr="00D13E7B">
              <w:rPr>
                <w:rFonts w:ascii="Times New Roman" w:hAnsi="Times New Roman"/>
                <w:color w:val="000000"/>
                <w:spacing w:val="-2"/>
              </w:rPr>
              <w:t xml:space="preserve"> (</w:t>
            </w:r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la </w:t>
            </w:r>
            <w:proofErr w:type="spellStart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loi</w:t>
            </w:r>
            <w:proofErr w:type="spellEnd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 no 2000-1208 </w:t>
            </w:r>
            <w:proofErr w:type="spellStart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du</w:t>
            </w:r>
            <w:proofErr w:type="spellEnd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 13 </w:t>
            </w:r>
            <w:proofErr w:type="spellStart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décembre</w:t>
            </w:r>
            <w:proofErr w:type="spellEnd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 2000 </w:t>
            </w:r>
            <w:proofErr w:type="spellStart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relative</w:t>
            </w:r>
            <w:proofErr w:type="spellEnd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 à la </w:t>
            </w:r>
            <w:proofErr w:type="spellStart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solidarité</w:t>
            </w:r>
            <w:proofErr w:type="spellEnd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 et au </w:t>
            </w:r>
            <w:proofErr w:type="spellStart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renouvellement</w:t>
            </w:r>
            <w:proofErr w:type="spellEnd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 </w:t>
            </w:r>
            <w:proofErr w:type="spellStart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urbains</w:t>
            </w:r>
            <w:proofErr w:type="spellEnd"/>
            <w:r w:rsidRPr="00D13E7B">
              <w:rPr>
                <w:rFonts w:ascii="Times New Roman" w:hAnsi="Times New Roman"/>
                <w:color w:val="000000"/>
                <w:spacing w:val="-2"/>
              </w:rPr>
              <w:t>) nałożyła na gminy, których liczba ludności wynosi co najmniej 1 500 na obszarze zurbanizowanym Paryża i 3 500 na pozostałym terytorium kraju, a także na aglomeracje lub związki międzygminne (EPCI) zamieszkiwane przeze więcej niż 50 tys. osób (w tym co najmniej jedna gmina przez więcej niż 15 tys.), obowiązek osiągnięcia min</w:t>
            </w:r>
            <w:r w:rsidR="00013E92">
              <w:rPr>
                <w:rFonts w:ascii="Times New Roman" w:hAnsi="Times New Roman"/>
                <w:color w:val="000000"/>
                <w:spacing w:val="-2"/>
              </w:rPr>
              <w:t>imum</w:t>
            </w:r>
            <w:r w:rsidRPr="00D13E7B">
              <w:rPr>
                <w:rFonts w:ascii="Times New Roman" w:hAnsi="Times New Roman"/>
                <w:color w:val="000000"/>
                <w:spacing w:val="-2"/>
              </w:rPr>
              <w:t xml:space="preserve"> 20% udziału mieszkań społecznych w całym zasobie mie</w:t>
            </w:r>
            <w:r w:rsidR="00DB36B5">
              <w:rPr>
                <w:rFonts w:ascii="Times New Roman" w:hAnsi="Times New Roman"/>
                <w:color w:val="000000"/>
                <w:spacing w:val="-2"/>
              </w:rPr>
              <w:t xml:space="preserve">szkaniowym. </w:t>
            </w:r>
            <w:r w:rsidR="00DB36B5"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Ustawą z 18 stycznia</w:t>
            </w:r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 2013 r. </w:t>
            </w:r>
            <w:r w:rsid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br/>
            </w:r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o mobilizacji gruntów publicznych na cele mieszkaniowe i wzmocnieniu zobowiązań w zakresie budowy mieszkań społecznych</w:t>
            </w:r>
            <w:r w:rsidRPr="00D13E7B">
              <w:rPr>
                <w:rFonts w:ascii="Times New Roman" w:hAnsi="Times New Roman"/>
                <w:color w:val="000000"/>
                <w:spacing w:val="-2"/>
              </w:rPr>
              <w:t xml:space="preserve"> (</w:t>
            </w:r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la </w:t>
            </w:r>
            <w:proofErr w:type="spellStart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loi</w:t>
            </w:r>
            <w:proofErr w:type="spellEnd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 n° 2013-61 </w:t>
            </w:r>
            <w:proofErr w:type="spellStart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du</w:t>
            </w:r>
            <w:proofErr w:type="spellEnd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 18 </w:t>
            </w:r>
            <w:proofErr w:type="spellStart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janvier</w:t>
            </w:r>
            <w:proofErr w:type="spellEnd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 2013 </w:t>
            </w:r>
            <w:proofErr w:type="spellStart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relative</w:t>
            </w:r>
            <w:proofErr w:type="spellEnd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 à la </w:t>
            </w:r>
            <w:proofErr w:type="spellStart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mobilisation</w:t>
            </w:r>
            <w:proofErr w:type="spellEnd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 </w:t>
            </w:r>
            <w:proofErr w:type="spellStart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du</w:t>
            </w:r>
            <w:proofErr w:type="spellEnd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 </w:t>
            </w:r>
            <w:proofErr w:type="spellStart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foncier</w:t>
            </w:r>
            <w:proofErr w:type="spellEnd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 public en </w:t>
            </w:r>
            <w:proofErr w:type="spellStart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faveur</w:t>
            </w:r>
            <w:proofErr w:type="spellEnd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 </w:t>
            </w:r>
            <w:proofErr w:type="spellStart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du</w:t>
            </w:r>
            <w:proofErr w:type="spellEnd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 </w:t>
            </w:r>
            <w:proofErr w:type="spellStart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logement</w:t>
            </w:r>
            <w:proofErr w:type="spellEnd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 et au </w:t>
            </w:r>
            <w:proofErr w:type="spellStart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renforcement</w:t>
            </w:r>
            <w:proofErr w:type="spellEnd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 des </w:t>
            </w:r>
            <w:proofErr w:type="spellStart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obligations</w:t>
            </w:r>
            <w:proofErr w:type="spellEnd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 de </w:t>
            </w:r>
            <w:proofErr w:type="spellStart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production</w:t>
            </w:r>
            <w:proofErr w:type="spellEnd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 de </w:t>
            </w:r>
            <w:proofErr w:type="spellStart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logement</w:t>
            </w:r>
            <w:proofErr w:type="spellEnd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 </w:t>
            </w:r>
            <w:proofErr w:type="spellStart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social</w:t>
            </w:r>
            <w:proofErr w:type="spellEnd"/>
            <w:r w:rsidRPr="00D13E7B">
              <w:rPr>
                <w:rFonts w:ascii="Times New Roman" w:hAnsi="Times New Roman"/>
                <w:color w:val="000000"/>
                <w:spacing w:val="-2"/>
              </w:rPr>
              <w:t>) próg ten (z wyjątkami) został podniesiony do 25%. Brak realizacji tego obowiązku skutkuje karami finansowymi.</w:t>
            </w:r>
          </w:p>
          <w:p w14:paraId="5E6A47BB" w14:textId="77777777" w:rsidR="00F777D6" w:rsidRPr="00D13E7B" w:rsidRDefault="00F777D6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2E4ECBAB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color w:val="000000"/>
                <w:spacing w:val="-2"/>
              </w:rPr>
              <w:t xml:space="preserve">Oprócz tego przepisy francuskiego </w:t>
            </w:r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Kodeksu budowlano-mieszkaniowego</w:t>
            </w:r>
            <w:r w:rsidRPr="00D13E7B">
              <w:rPr>
                <w:rFonts w:ascii="Times New Roman" w:hAnsi="Times New Roman"/>
                <w:color w:val="000000"/>
                <w:spacing w:val="-2"/>
              </w:rPr>
              <w:t xml:space="preserve"> (</w:t>
            </w:r>
            <w:proofErr w:type="spellStart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Code</w:t>
            </w:r>
            <w:proofErr w:type="spellEnd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 de la </w:t>
            </w:r>
            <w:proofErr w:type="spellStart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construction</w:t>
            </w:r>
            <w:proofErr w:type="spellEnd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 et de </w:t>
            </w:r>
            <w:proofErr w:type="spellStart"/>
            <w:r w:rsidRPr="002B6F33">
              <w:rPr>
                <w:rFonts w:ascii="Times New Roman" w:hAnsi="Times New Roman"/>
                <w:i/>
                <w:iCs/>
                <w:color w:val="000000"/>
                <w:spacing w:val="-2"/>
              </w:rPr>
              <w:t>l'habitation</w:t>
            </w:r>
            <w:proofErr w:type="spellEnd"/>
            <w:r w:rsidRPr="00D13E7B">
              <w:rPr>
                <w:rFonts w:ascii="Times New Roman" w:hAnsi="Times New Roman"/>
                <w:color w:val="000000"/>
                <w:spacing w:val="-2"/>
              </w:rPr>
              <w:t xml:space="preserve">) zobowiązują gminy do planowania strategicznego i przestrzennego sprzyjającego osiągnięciu </w:t>
            </w:r>
            <w:proofErr w:type="spellStart"/>
            <w:r w:rsidRPr="00D13E7B">
              <w:rPr>
                <w:rFonts w:ascii="Times New Roman" w:hAnsi="Times New Roman"/>
                <w:color w:val="000000"/>
                <w:spacing w:val="-2"/>
              </w:rPr>
              <w:t>miksu</w:t>
            </w:r>
            <w:proofErr w:type="spellEnd"/>
            <w:r w:rsidRPr="00D13E7B">
              <w:rPr>
                <w:rFonts w:ascii="Times New Roman" w:hAnsi="Times New Roman"/>
                <w:color w:val="000000"/>
                <w:spacing w:val="-2"/>
              </w:rPr>
              <w:t xml:space="preserve"> społecznego. Podejście to jest efektem m.in. negatywnych konsekwencji budowy dużych osiedli mieszkań społecznych na obrzeżach miast, które sprzyjały wykluczeniu ich mieszkańców i powodowały nawarstwianie się problemów społecznych w tych miejscach.</w:t>
            </w:r>
          </w:p>
          <w:p w14:paraId="1FE826D4" w14:textId="77777777" w:rsidR="002B6F33" w:rsidRPr="00D13E7B" w:rsidRDefault="002B6F33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28266656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color w:val="000000"/>
                <w:spacing w:val="-2"/>
              </w:rPr>
              <w:t>Aby wypełnić nałożone na nie obowiązki, gminy sporządzają lokalne programy mieszkaniowe (</w:t>
            </w:r>
            <w:r w:rsidRPr="00013E92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le </w:t>
            </w:r>
            <w:proofErr w:type="spellStart"/>
            <w:r w:rsidRPr="00013E92">
              <w:rPr>
                <w:rFonts w:ascii="Times New Roman" w:hAnsi="Times New Roman"/>
                <w:i/>
                <w:iCs/>
                <w:color w:val="000000"/>
                <w:spacing w:val="-2"/>
              </w:rPr>
              <w:t>programme</w:t>
            </w:r>
            <w:proofErr w:type="spellEnd"/>
            <w:r w:rsidRPr="00013E92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 </w:t>
            </w:r>
            <w:proofErr w:type="spellStart"/>
            <w:r w:rsidRPr="00013E92">
              <w:rPr>
                <w:rFonts w:ascii="Times New Roman" w:hAnsi="Times New Roman"/>
                <w:i/>
                <w:iCs/>
                <w:color w:val="000000"/>
                <w:spacing w:val="-2"/>
              </w:rPr>
              <w:t>local</w:t>
            </w:r>
            <w:proofErr w:type="spellEnd"/>
            <w:r w:rsidRPr="00013E92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 de </w:t>
            </w:r>
            <w:proofErr w:type="spellStart"/>
            <w:r w:rsidRPr="00013E92">
              <w:rPr>
                <w:rFonts w:ascii="Times New Roman" w:hAnsi="Times New Roman"/>
                <w:i/>
                <w:iCs/>
                <w:color w:val="000000"/>
                <w:spacing w:val="-2"/>
              </w:rPr>
              <w:t>l'habitat</w:t>
            </w:r>
            <w:proofErr w:type="spellEnd"/>
            <w:r w:rsidRPr="00D13E7B">
              <w:rPr>
                <w:rFonts w:ascii="Times New Roman" w:hAnsi="Times New Roman"/>
                <w:color w:val="000000"/>
                <w:spacing w:val="-2"/>
              </w:rPr>
              <w:t xml:space="preserve"> – PLH), w których przeprowadzają diagnozę sytuacji mieszkaniowej na swoim obszarze, szacują zapotrzebowanie na różne rodzaje mieszkań, a także planują w sześcioletniej perspektywie działania, które mają zapewnić osiągnięcie założonych celów.</w:t>
            </w:r>
          </w:p>
          <w:p w14:paraId="6430CA7B" w14:textId="77777777" w:rsidR="00F777D6" w:rsidRPr="00D13E7B" w:rsidRDefault="00F777D6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3ED4B756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color w:val="000000"/>
                <w:spacing w:val="-2"/>
              </w:rPr>
              <w:t>Ustalenia PLH należy uwzględnić w lokalnym planie urbanistycznym (</w:t>
            </w:r>
            <w:r w:rsidRPr="00013E92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plan </w:t>
            </w:r>
            <w:proofErr w:type="spellStart"/>
            <w:r w:rsidRPr="00013E92">
              <w:rPr>
                <w:rFonts w:ascii="Times New Roman" w:hAnsi="Times New Roman"/>
                <w:i/>
                <w:iCs/>
                <w:color w:val="000000"/>
                <w:spacing w:val="-2"/>
              </w:rPr>
              <w:t>local</w:t>
            </w:r>
            <w:proofErr w:type="spellEnd"/>
            <w:r w:rsidRPr="00013E92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 </w:t>
            </w:r>
            <w:proofErr w:type="spellStart"/>
            <w:r w:rsidRPr="00013E92">
              <w:rPr>
                <w:rFonts w:ascii="Times New Roman" w:hAnsi="Times New Roman"/>
                <w:i/>
                <w:iCs/>
                <w:color w:val="000000"/>
                <w:spacing w:val="-2"/>
              </w:rPr>
              <w:t>d'urbanisme</w:t>
            </w:r>
            <w:proofErr w:type="spellEnd"/>
            <w:r w:rsidRPr="00D13E7B">
              <w:rPr>
                <w:rFonts w:ascii="Times New Roman" w:hAnsi="Times New Roman"/>
                <w:color w:val="000000"/>
                <w:spacing w:val="-2"/>
              </w:rPr>
              <w:t xml:space="preserve"> – PLU), w którym mogą zostać wyznaczone lokalizacje przeznaczone na realizację budownictwa społecznego. Na gruntach w granicach tych stref określony odsetek powierzchni użytkowej wybudowanych mieszkań musi zostać przeznaczony na dostępne mieszkania na wynajem. Dotyczy to również gruntów prywatnych.</w:t>
            </w:r>
          </w:p>
          <w:p w14:paraId="018A323E" w14:textId="77777777" w:rsidR="00F777D6" w:rsidRPr="00D13E7B" w:rsidRDefault="00F777D6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2DB61964" w14:textId="77777777" w:rsidR="00D13E7B" w:rsidRP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color w:val="000000"/>
                <w:spacing w:val="-2"/>
              </w:rPr>
              <w:t>Inwestor (deweloper), chcący zrealizować inwestycję mieszkaniow</w:t>
            </w:r>
            <w:r w:rsidR="00013E92">
              <w:rPr>
                <w:rFonts w:ascii="Times New Roman" w:hAnsi="Times New Roman"/>
                <w:color w:val="000000"/>
                <w:spacing w:val="-2"/>
              </w:rPr>
              <w:t>ą</w:t>
            </w:r>
            <w:r w:rsidRPr="00D13E7B">
              <w:rPr>
                <w:rFonts w:ascii="Times New Roman" w:hAnsi="Times New Roman"/>
                <w:color w:val="000000"/>
                <w:spacing w:val="-2"/>
              </w:rPr>
              <w:t xml:space="preserve"> na tego typu terenie, może:</w:t>
            </w:r>
          </w:p>
          <w:p w14:paraId="3DF8D2E4" w14:textId="77777777" w:rsidR="00D13E7B" w:rsidRPr="00D13E7B" w:rsidRDefault="00D13E7B" w:rsidP="00F777D6">
            <w:pPr>
              <w:numPr>
                <w:ilvl w:val="0"/>
                <w:numId w:val="40"/>
              </w:num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color w:val="000000"/>
                <w:spacing w:val="-2"/>
              </w:rPr>
              <w:t>określoną wymogami PLU część mieszkań wynajmować samodzielnie jako mieszkania społeczne;</w:t>
            </w:r>
          </w:p>
          <w:p w14:paraId="0DBF57B3" w14:textId="77777777" w:rsidR="00D13E7B" w:rsidRPr="00D13E7B" w:rsidRDefault="00D13E7B" w:rsidP="00F777D6">
            <w:pPr>
              <w:numPr>
                <w:ilvl w:val="0"/>
                <w:numId w:val="40"/>
              </w:num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color w:val="000000"/>
                <w:spacing w:val="-2"/>
              </w:rPr>
              <w:t>odsprzedać proporcjonalną część gruntu instytucji zapewniającej mieszkania społeczne (HLM);</w:t>
            </w:r>
          </w:p>
          <w:p w14:paraId="0094282D" w14:textId="77777777" w:rsidR="00D13E7B" w:rsidRPr="00D13E7B" w:rsidRDefault="00D13E7B" w:rsidP="00F777D6">
            <w:pPr>
              <w:numPr>
                <w:ilvl w:val="0"/>
                <w:numId w:val="40"/>
              </w:num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color w:val="000000"/>
                <w:spacing w:val="-2"/>
              </w:rPr>
              <w:t>skorzystać ze sprzedaży w przyszłym stanie realizacji (VEFA) – wymaganą część mieszkań odsprzedać gminie (lub HLM), podczas gdy pozostałe lokale mogą zostać sprzedane na normalnych zasadach sprzedaży deweloperskiej;</w:t>
            </w:r>
          </w:p>
          <w:p w14:paraId="4ED5F806" w14:textId="77777777" w:rsidR="00D13E7B" w:rsidRDefault="00D13E7B" w:rsidP="00F777D6">
            <w:pPr>
              <w:numPr>
                <w:ilvl w:val="0"/>
                <w:numId w:val="40"/>
              </w:num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color w:val="000000"/>
                <w:spacing w:val="-2"/>
              </w:rPr>
              <w:t>określoną wymogami PLU część mieszkań przekazać w użytkowanie lub wynaj</w:t>
            </w:r>
            <w:r w:rsidR="00DB36B5">
              <w:rPr>
                <w:rFonts w:ascii="Times New Roman" w:hAnsi="Times New Roman"/>
                <w:color w:val="000000"/>
                <w:spacing w:val="-2"/>
              </w:rPr>
              <w:t>ąć HLM.</w:t>
            </w:r>
          </w:p>
          <w:p w14:paraId="0198E86F" w14:textId="77777777" w:rsidR="00F777D6" w:rsidRPr="00D13E7B" w:rsidRDefault="00F777D6" w:rsidP="00F777D6">
            <w:pPr>
              <w:tabs>
                <w:tab w:val="left" w:pos="2540"/>
              </w:tabs>
              <w:spacing w:line="240" w:lineRule="auto"/>
              <w:ind w:left="720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621998A1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color w:val="000000"/>
                <w:spacing w:val="-2"/>
              </w:rPr>
              <w:t xml:space="preserve">Właściciel gruntu może również skorzystać z „prawa do porzucenia”. W tym wypadku gmina ma rok na podjęcie decyzji </w:t>
            </w:r>
            <w:r w:rsidR="002B6F33">
              <w:rPr>
                <w:rFonts w:ascii="Times New Roman" w:hAnsi="Times New Roman"/>
                <w:color w:val="000000"/>
                <w:spacing w:val="-2"/>
              </w:rPr>
              <w:br/>
            </w:r>
            <w:r w:rsidRPr="00D13E7B">
              <w:rPr>
                <w:rFonts w:ascii="Times New Roman" w:hAnsi="Times New Roman"/>
                <w:color w:val="000000"/>
                <w:spacing w:val="-2"/>
              </w:rPr>
              <w:t>o zakupie zgłoszonej nieruchomości i dwa lata na zapłatę ustalonej ceny. Jeżeli gmina oraz właściciel nieruchomości nie dojdą do porozumienia, decyzję o wykupie gruntu może podjąć sędzia wywłaszczeniowy.</w:t>
            </w:r>
          </w:p>
          <w:p w14:paraId="0B013C13" w14:textId="77777777" w:rsidR="00F777D6" w:rsidRPr="00D13E7B" w:rsidRDefault="00F777D6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496A4CD7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color w:val="000000"/>
                <w:spacing w:val="-2"/>
              </w:rPr>
              <w:t>Wspomniana wcześniej ustawa z 2013 r. o mobilizacji gruntów publicznych, wraz aktami (dekretami) wykonawczymi, wprowadziła także możliwość sprzedaży gruntów państwowych na cele mieszkaniowe po obniżonej cenie z nawet 100</w:t>
            </w:r>
            <w:r w:rsidR="00B32BCC">
              <w:rPr>
                <w:rFonts w:ascii="Times New Roman" w:hAnsi="Times New Roman"/>
                <w:color w:val="000000"/>
                <w:spacing w:val="-2"/>
              </w:rPr>
              <w:t>-procentową</w:t>
            </w:r>
            <w:r w:rsidRPr="00D13E7B">
              <w:rPr>
                <w:rFonts w:ascii="Times New Roman" w:hAnsi="Times New Roman"/>
                <w:color w:val="000000"/>
                <w:spacing w:val="-2"/>
              </w:rPr>
              <w:t xml:space="preserve"> bonifikatą, w zależności od tego, jaka część inwestycji przeznaczona będzie na mieszkania społeczne, a także w zależności od lokalnych uwarunkowań takich jak: finansowa sytuacja kupującego, wielkość zasobu mieszkań społecznych na danym terenie – w szczególności w odniesieniu do wymogu min</w:t>
            </w:r>
            <w:r w:rsidR="00B32BCC">
              <w:rPr>
                <w:rFonts w:ascii="Times New Roman" w:hAnsi="Times New Roman"/>
                <w:color w:val="000000"/>
                <w:spacing w:val="-2"/>
              </w:rPr>
              <w:t>imum</w:t>
            </w:r>
            <w:r w:rsidRPr="00D13E7B">
              <w:rPr>
                <w:rFonts w:ascii="Times New Roman" w:hAnsi="Times New Roman"/>
                <w:color w:val="000000"/>
                <w:spacing w:val="-2"/>
              </w:rPr>
              <w:t xml:space="preserve"> 25% mieszkań społecznych, oraz rodzaj</w:t>
            </w:r>
            <w:r w:rsidR="00B32BCC">
              <w:rPr>
                <w:rFonts w:ascii="Times New Roman" w:hAnsi="Times New Roman"/>
                <w:color w:val="000000"/>
                <w:spacing w:val="-2"/>
              </w:rPr>
              <w:t>u</w:t>
            </w:r>
            <w:r w:rsidRPr="00D13E7B">
              <w:rPr>
                <w:rFonts w:ascii="Times New Roman" w:hAnsi="Times New Roman"/>
                <w:color w:val="000000"/>
                <w:spacing w:val="-2"/>
              </w:rPr>
              <w:t xml:space="preserve"> tych mieszkań, ale także </w:t>
            </w:r>
            <w:r w:rsidR="00B32BCC">
              <w:rPr>
                <w:rFonts w:ascii="Times New Roman" w:hAnsi="Times New Roman"/>
                <w:color w:val="000000"/>
                <w:spacing w:val="-2"/>
              </w:rPr>
              <w:t xml:space="preserve">np. </w:t>
            </w:r>
            <w:r w:rsidRPr="00D13E7B">
              <w:rPr>
                <w:rFonts w:ascii="Times New Roman" w:hAnsi="Times New Roman"/>
                <w:color w:val="000000"/>
                <w:spacing w:val="-2"/>
              </w:rPr>
              <w:t>od stanu nieruchomości</w:t>
            </w:r>
            <w:r w:rsidR="00B32BCC">
              <w:rPr>
                <w:rFonts w:ascii="Times New Roman" w:hAnsi="Times New Roman"/>
                <w:color w:val="000000"/>
                <w:spacing w:val="-2"/>
              </w:rPr>
              <w:t xml:space="preserve"> czy</w:t>
            </w:r>
            <w:r w:rsidRPr="00D13E7B">
              <w:rPr>
                <w:rFonts w:ascii="Times New Roman" w:hAnsi="Times New Roman"/>
                <w:color w:val="000000"/>
                <w:spacing w:val="-2"/>
              </w:rPr>
              <w:t xml:space="preserve"> tego, czy wymaga poniesienia nakładów finansowych.</w:t>
            </w:r>
          </w:p>
          <w:p w14:paraId="0E12A6D4" w14:textId="77777777" w:rsidR="00F777D6" w:rsidRPr="00D13E7B" w:rsidRDefault="00F777D6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7C96DADE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color w:val="000000"/>
                <w:spacing w:val="-2"/>
              </w:rPr>
              <w:t>Zakupu gruntu z bonifikatą nie mogą dokonać przedsiębiorcy prywatni. Są one przeznaczone dla podmiotów takich jak gminy, związki międzygminne (EPCI) czy organizacje HLM.</w:t>
            </w:r>
          </w:p>
          <w:p w14:paraId="42577E45" w14:textId="77777777" w:rsidR="00F777D6" w:rsidRPr="00D13E7B" w:rsidRDefault="00F777D6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3193EE37" w14:textId="77777777" w:rsidR="00D13E7B" w:rsidRPr="00DB36B5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  <w:bookmarkStart w:id="3" w:name="_Toc37925659"/>
            <w:bookmarkStart w:id="4" w:name="_Toc37921385"/>
            <w:r w:rsidRPr="00DB36B5">
              <w:rPr>
                <w:rFonts w:ascii="Times New Roman" w:hAnsi="Times New Roman"/>
                <w:b/>
                <w:bCs/>
                <w:color w:val="000000"/>
                <w:spacing w:val="-2"/>
              </w:rPr>
              <w:t>Irlandia</w:t>
            </w:r>
            <w:bookmarkEnd w:id="3"/>
            <w:bookmarkEnd w:id="4"/>
          </w:p>
          <w:p w14:paraId="132682F5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Na podstawie przepisów części V </w:t>
            </w:r>
            <w:r w:rsidRPr="002B6F33">
              <w:rPr>
                <w:rFonts w:ascii="Times New Roman" w:hAnsi="Times New Roman"/>
                <w:bCs/>
                <w:i/>
                <w:iCs/>
                <w:color w:val="000000"/>
                <w:spacing w:val="-2"/>
              </w:rPr>
              <w:t>ustawy o planowaniu i rozwoju z 2000 r.</w:t>
            </w: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 (</w:t>
            </w:r>
            <w:r w:rsidRPr="00520ADB">
              <w:rPr>
                <w:rFonts w:ascii="Times New Roman" w:hAnsi="Times New Roman"/>
                <w:bCs/>
                <w:i/>
                <w:iCs/>
                <w:color w:val="000000"/>
                <w:spacing w:val="-2"/>
              </w:rPr>
              <w:t>Part V of</w:t>
            </w: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 </w:t>
            </w:r>
            <w:r w:rsidRPr="002B6F33">
              <w:rPr>
                <w:rFonts w:ascii="Times New Roman" w:hAnsi="Times New Roman"/>
                <w:bCs/>
                <w:i/>
                <w:iCs/>
                <w:color w:val="000000"/>
                <w:spacing w:val="-2"/>
              </w:rPr>
              <w:t xml:space="preserve">the Planning and Development </w:t>
            </w:r>
            <w:proofErr w:type="spellStart"/>
            <w:r w:rsidRPr="002B6F33">
              <w:rPr>
                <w:rFonts w:ascii="Times New Roman" w:hAnsi="Times New Roman"/>
                <w:bCs/>
                <w:i/>
                <w:iCs/>
                <w:color w:val="000000"/>
                <w:spacing w:val="-2"/>
              </w:rPr>
              <w:t>Act</w:t>
            </w:r>
            <w:proofErr w:type="spellEnd"/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) samorząd lokalny (hrabstwo, miasto, obszar łączny hrabstwo i miasto) jako władza planistyczna sporządza co 6 lat plan rozwoju. Plan rozwoju określa ogólną strategię właściwego planowania i zrównoważonego rozwoju. W takim planie m.in. wyznaczane są strefy przeznaczone pod określony typ zabudowy. Obowiązkiem władzy planistycznej jest także zawarcie w planie rozwoju strategii mieszkaniowej, w ramach której szacuje się zapotrzebowanie na mieszkania społeczne </w:t>
            </w:r>
            <w:r w:rsidR="002B6F33">
              <w:rPr>
                <w:rFonts w:ascii="Times New Roman" w:hAnsi="Times New Roman"/>
                <w:bCs/>
                <w:color w:val="000000"/>
                <w:spacing w:val="-2"/>
              </w:rPr>
              <w:br/>
            </w: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i dostępne na obszarze objętym planem. Na podstawie tych szacunków władze powinny zapewnić przeznaczenie odpowiedniej powierzchni stref przeznaczonych pod budownictwo mieszkaniowe. Mogą one wskazać konkretny odsetek – maksymalnie 10% , potrzebny do zapewnienia pożądanej liczby mieszkań społecznych i dostępnych. W ten sposób władze lokalne mają prawo zakupić 10% lokali w nowych inwestycjach realizowanych przez deweloperów (dziewięć lub więcej </w:t>
            </w: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lastRenderedPageBreak/>
              <w:t xml:space="preserve">lokali) z przeznaczeniem na mieszkania społeczne lub do 10% gruntów (większych niż 0,1 ha) przeznaczonych na budownictwo mieszkaniowe według „istniejącej wartości użytkowej”. Zawarcie umowy z gminą na przekazanie lokali lub części gruntu gminie może być warunkiem uzyskania pozwolenia planistycznego. Gmina może także wskazać uprawniony podmiot, taki jak stowarzyszenie mieszkaniowe – </w:t>
            </w:r>
            <w:proofErr w:type="spellStart"/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>Approved</w:t>
            </w:r>
            <w:proofErr w:type="spellEnd"/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 </w:t>
            </w:r>
            <w:proofErr w:type="spellStart"/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>Housing</w:t>
            </w:r>
            <w:proofErr w:type="spellEnd"/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 Body (AHB), będące niezależną organizacją non-profit</w:t>
            </w:r>
            <w:r w:rsidR="00520ADB">
              <w:rPr>
                <w:rFonts w:ascii="Times New Roman" w:hAnsi="Times New Roman"/>
                <w:bCs/>
                <w:color w:val="000000"/>
                <w:spacing w:val="-2"/>
              </w:rPr>
              <w:t xml:space="preserve"> </w:t>
            </w:r>
            <w:r w:rsidR="00520ADB" w:rsidRPr="00520ADB">
              <w:rPr>
                <w:rFonts w:ascii="Times New Roman" w:hAnsi="Times New Roman"/>
                <w:bCs/>
                <w:color w:val="000000"/>
                <w:spacing w:val="-2"/>
              </w:rPr>
              <w:t>–</w:t>
            </w: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 na rzecz którego nastąpi transfer mieszkań/gruntu.</w:t>
            </w:r>
          </w:p>
          <w:p w14:paraId="477AB5B7" w14:textId="77777777" w:rsidR="00F777D6" w:rsidRPr="00D13E7B" w:rsidRDefault="00F777D6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</w:p>
          <w:p w14:paraId="4999F69C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>Władze lokalne mogą również wynająć od dewelopera przysługującą im część mieszkań lub skorzystać z alternatywnych rozwiązań, np. kupna lokali w innej lokalizacji.</w:t>
            </w:r>
          </w:p>
          <w:p w14:paraId="3296A34D" w14:textId="77777777" w:rsidR="00F777D6" w:rsidRPr="00D13E7B" w:rsidRDefault="00F777D6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</w:p>
          <w:p w14:paraId="580398A3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>Ministerstwo Mieszkalnictwa, Planowania i Samorządu Lokalnego Irlandii, odpowiedzialne za regulacje w tym zakresie, jako korzyści wskazuje, oprócz możliwości poszerzenia zasobu mieszkań społecznych i dostępnych, że mechanizm ten pozwala na zróżnicowanie dostępnego zasobu tego typu, zapobiega koncentrowaniu mieszkań społecznych i problemów ich mieszkańców w jednym miejscu oraz pozwala na budowanie zrównoważonej społeczności, podkreślając również pozytywne skutki mieszanych stref zamieszkania.</w:t>
            </w:r>
          </w:p>
          <w:p w14:paraId="1D0392FD" w14:textId="77777777" w:rsidR="00F777D6" w:rsidRPr="00D13E7B" w:rsidRDefault="00F777D6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</w:p>
          <w:p w14:paraId="2D2AAB5C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Z 44 654 mieszkań społecznych wybudowanych w latach 2002-2011 5 721 mieszkań (ok. 13%) stanowiły lokale pozyskane od deweloperów na mocy </w:t>
            </w:r>
            <w:r w:rsidRPr="0001246A">
              <w:rPr>
                <w:rFonts w:ascii="Times New Roman" w:hAnsi="Times New Roman"/>
                <w:bCs/>
                <w:i/>
                <w:iCs/>
                <w:color w:val="000000"/>
                <w:spacing w:val="-2"/>
              </w:rPr>
              <w:t>Part V</w:t>
            </w: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>. W 2015 r. w ten sposób pozyskano ponad 1 000 mieszkań.</w:t>
            </w:r>
          </w:p>
          <w:p w14:paraId="58FCABC8" w14:textId="77777777" w:rsidR="00F777D6" w:rsidRPr="00D13E7B" w:rsidRDefault="00F777D6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</w:p>
          <w:p w14:paraId="7056FCCF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Jednocześnie jednak pewne wątpliwości budzą efekty związane z włączeniem społecznym. W obawie przed koniecznością obniżania cen ze względu na niechęć kupujących mieszkania po cenie rynkowej do zamieszkiwania w sąsiedztwie najemców mieszkań społecznych, </w:t>
            </w:r>
            <w:r w:rsidR="00DB36B5">
              <w:rPr>
                <w:rFonts w:ascii="Times New Roman" w:hAnsi="Times New Roman"/>
                <w:bCs/>
                <w:color w:val="000000"/>
                <w:spacing w:val="-2"/>
              </w:rPr>
              <w:t xml:space="preserve">część deweloperów (dopóki było </w:t>
            </w: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>to możliwe) wo</w:t>
            </w:r>
            <w:r w:rsidR="0001246A">
              <w:rPr>
                <w:rFonts w:ascii="Times New Roman" w:hAnsi="Times New Roman"/>
                <w:bCs/>
                <w:color w:val="000000"/>
                <w:spacing w:val="-2"/>
              </w:rPr>
              <w:t>l</w:t>
            </w: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>ała zamiast lokali mieszkalnych przekazać gminie wkład finansowy. Jednocześnie rosnące ceny mieszkań, szczególnie w dużych miastach, takich jak Dublin, sprawiają, że władze lokalne preferują w niektórych przypadkach alternatywne rozwiązanie i zakupienie mieszkań po niższej cenie, ale w gorszej lokalizacji.</w:t>
            </w:r>
          </w:p>
          <w:p w14:paraId="542D7348" w14:textId="77777777" w:rsidR="00F777D6" w:rsidRPr="00D13E7B" w:rsidRDefault="00F777D6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</w:p>
          <w:p w14:paraId="6EAC6227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>Do wad tego systemu, głównie z punktu widzenia dewelopera, należy wydłużony proces inwestycyjny – deweloper musi porozumieć się z gminą, co do sposobu wypełnienia swoich zobowiązań i kosztów oraz zawrzeć odpowiednią umowę. Proces negocjacyjny zajmuje nawet do kilku miesięcy.</w:t>
            </w:r>
          </w:p>
          <w:p w14:paraId="663E5991" w14:textId="77777777" w:rsidR="00F777D6" w:rsidRPr="00D13E7B" w:rsidRDefault="00F777D6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</w:p>
          <w:p w14:paraId="00FF02FF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>Dla władz lokalnych problemem bywają koszty utrzymania (czynsze w mieszkaniach społecznych często są niewystarczające do pokrycia zobowiązań z tego tytułu). Trudnością jest również zaplanowanie zmian wielkości zasobu, ponieważ to, ile mieszkań przybędzie</w:t>
            </w:r>
            <w:r w:rsidR="0001246A">
              <w:rPr>
                <w:rFonts w:ascii="Times New Roman" w:hAnsi="Times New Roman"/>
                <w:bCs/>
                <w:color w:val="000000"/>
                <w:spacing w:val="-2"/>
              </w:rPr>
              <w:t>,</w:t>
            </w: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 zależy od aktywności deweloperów na rynku.</w:t>
            </w:r>
          </w:p>
          <w:p w14:paraId="522292A7" w14:textId="77777777" w:rsidR="00DB36B5" w:rsidRPr="00D13E7B" w:rsidRDefault="00DB36B5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1360FC58" w14:textId="77777777" w:rsidR="00D13E7B" w:rsidRPr="00DB36B5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  <w:r w:rsidRPr="00DB36B5">
              <w:rPr>
                <w:rFonts w:ascii="Times New Roman" w:hAnsi="Times New Roman"/>
                <w:b/>
                <w:bCs/>
                <w:color w:val="000000"/>
                <w:spacing w:val="-2"/>
              </w:rPr>
              <w:t>USA</w:t>
            </w:r>
          </w:p>
          <w:p w14:paraId="0ABD7B96" w14:textId="77777777" w:rsidR="00D13E7B" w:rsidRP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Inwestorzy prywatni mogą, zgodnie z przepisami </w:t>
            </w:r>
            <w:r w:rsidRPr="002B6F33">
              <w:rPr>
                <w:rFonts w:ascii="Times New Roman" w:hAnsi="Times New Roman"/>
                <w:bCs/>
                <w:i/>
                <w:iCs/>
                <w:color w:val="000000"/>
                <w:spacing w:val="-2"/>
              </w:rPr>
              <w:t>ustawy o reformie podatkowej z 1986 r.</w:t>
            </w: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 (</w:t>
            </w:r>
            <w:proofErr w:type="spellStart"/>
            <w:r w:rsidRPr="002B6F33">
              <w:rPr>
                <w:rFonts w:ascii="Times New Roman" w:hAnsi="Times New Roman"/>
                <w:bCs/>
                <w:i/>
                <w:iCs/>
                <w:color w:val="000000"/>
                <w:spacing w:val="-2"/>
              </w:rPr>
              <w:t>Tax</w:t>
            </w:r>
            <w:proofErr w:type="spellEnd"/>
            <w:r w:rsidRPr="002B6F33">
              <w:rPr>
                <w:rFonts w:ascii="Times New Roman" w:hAnsi="Times New Roman"/>
                <w:bCs/>
                <w:i/>
                <w:iCs/>
                <w:color w:val="000000"/>
                <w:spacing w:val="-2"/>
              </w:rPr>
              <w:t xml:space="preserve"> Reform </w:t>
            </w:r>
            <w:proofErr w:type="spellStart"/>
            <w:r w:rsidRPr="002B6F33">
              <w:rPr>
                <w:rFonts w:ascii="Times New Roman" w:hAnsi="Times New Roman"/>
                <w:bCs/>
                <w:i/>
                <w:iCs/>
                <w:color w:val="000000"/>
                <w:spacing w:val="-2"/>
              </w:rPr>
              <w:t>Act</w:t>
            </w:r>
            <w:proofErr w:type="spellEnd"/>
            <w:r w:rsidRPr="002B6F33">
              <w:rPr>
                <w:rFonts w:ascii="Times New Roman" w:hAnsi="Times New Roman"/>
                <w:bCs/>
                <w:i/>
                <w:iCs/>
                <w:color w:val="000000"/>
                <w:spacing w:val="-2"/>
              </w:rPr>
              <w:t xml:space="preserve"> of 1986</w:t>
            </w: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>), otrzymać federalną ulgę podatkową (</w:t>
            </w:r>
            <w:proofErr w:type="spellStart"/>
            <w:r w:rsidRPr="00D176F0">
              <w:rPr>
                <w:rFonts w:ascii="Times New Roman" w:hAnsi="Times New Roman"/>
                <w:bCs/>
                <w:i/>
                <w:iCs/>
                <w:color w:val="000000"/>
                <w:spacing w:val="-2"/>
              </w:rPr>
              <w:t>Low-Income</w:t>
            </w:r>
            <w:proofErr w:type="spellEnd"/>
            <w:r w:rsidRPr="00D176F0">
              <w:rPr>
                <w:rFonts w:ascii="Times New Roman" w:hAnsi="Times New Roman"/>
                <w:bCs/>
                <w:i/>
                <w:iCs/>
                <w:color w:val="000000"/>
                <w:spacing w:val="-2"/>
              </w:rPr>
              <w:t xml:space="preserve"> </w:t>
            </w:r>
            <w:proofErr w:type="spellStart"/>
            <w:r w:rsidRPr="00D176F0">
              <w:rPr>
                <w:rFonts w:ascii="Times New Roman" w:hAnsi="Times New Roman"/>
                <w:bCs/>
                <w:i/>
                <w:iCs/>
                <w:color w:val="000000"/>
                <w:spacing w:val="-2"/>
              </w:rPr>
              <w:t>Housing</w:t>
            </w:r>
            <w:proofErr w:type="spellEnd"/>
            <w:r w:rsidRPr="00D176F0">
              <w:rPr>
                <w:rFonts w:ascii="Times New Roman" w:hAnsi="Times New Roman"/>
                <w:bCs/>
                <w:i/>
                <w:iCs/>
                <w:color w:val="000000"/>
                <w:spacing w:val="-2"/>
              </w:rPr>
              <w:t xml:space="preserve"> </w:t>
            </w:r>
            <w:proofErr w:type="spellStart"/>
            <w:r w:rsidRPr="00D176F0">
              <w:rPr>
                <w:rFonts w:ascii="Times New Roman" w:hAnsi="Times New Roman"/>
                <w:bCs/>
                <w:i/>
                <w:iCs/>
                <w:color w:val="000000"/>
                <w:spacing w:val="-2"/>
              </w:rPr>
              <w:t>Tax</w:t>
            </w:r>
            <w:proofErr w:type="spellEnd"/>
            <w:r w:rsidRPr="00D176F0">
              <w:rPr>
                <w:rFonts w:ascii="Times New Roman" w:hAnsi="Times New Roman"/>
                <w:bCs/>
                <w:i/>
                <w:iCs/>
                <w:color w:val="000000"/>
                <w:spacing w:val="-2"/>
              </w:rPr>
              <w:t xml:space="preserve"> </w:t>
            </w:r>
            <w:proofErr w:type="spellStart"/>
            <w:r w:rsidRPr="00D176F0">
              <w:rPr>
                <w:rFonts w:ascii="Times New Roman" w:hAnsi="Times New Roman"/>
                <w:bCs/>
                <w:i/>
                <w:iCs/>
                <w:color w:val="000000"/>
                <w:spacing w:val="-2"/>
              </w:rPr>
              <w:t>Credit</w:t>
            </w:r>
            <w:proofErr w:type="spellEnd"/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 – LIHTC) jako zachętę do dokonywania inwestycji w niedrogie mieszkania na wynajem. Inwestycja musi jednak spełniać określone warunki:</w:t>
            </w:r>
          </w:p>
          <w:p w14:paraId="223AE523" w14:textId="77777777" w:rsidR="00D13E7B" w:rsidRPr="00D13E7B" w:rsidRDefault="00D13E7B" w:rsidP="00F777D6">
            <w:pPr>
              <w:numPr>
                <w:ilvl w:val="0"/>
                <w:numId w:val="41"/>
              </w:num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>min. 40% mieszkań musi być oferowanych jako dostępne, tj. o czynszach (wraz z innymi opłatami) nieprzekraczających 30% dochodów zamieszkujących w nich gospodarstw domowych;</w:t>
            </w:r>
          </w:p>
          <w:p w14:paraId="487539AB" w14:textId="77777777" w:rsidR="00D13E7B" w:rsidRPr="00D13E7B" w:rsidRDefault="00D13E7B" w:rsidP="00F777D6">
            <w:pPr>
              <w:numPr>
                <w:ilvl w:val="0"/>
                <w:numId w:val="41"/>
              </w:num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>niedrogie dostępne mieszkania mogą być oferowane osobom nieprzekraczającym określonego progu dochodowego, ustalanego w odniesieniu do mediany dochodu na danym obszarze;</w:t>
            </w:r>
          </w:p>
          <w:p w14:paraId="543239AD" w14:textId="77777777" w:rsidR="00D13E7B" w:rsidRDefault="00D13E7B" w:rsidP="00F777D6">
            <w:pPr>
              <w:numPr>
                <w:ilvl w:val="0"/>
                <w:numId w:val="41"/>
              </w:num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>mieszkania muszą spełniać kryteria dostępności – być wynajmowane na preferencyjnych warunkach przez 30 lat.</w:t>
            </w:r>
          </w:p>
          <w:p w14:paraId="25DB728C" w14:textId="77777777" w:rsidR="00F777D6" w:rsidRPr="00D13E7B" w:rsidRDefault="00F777D6" w:rsidP="00F777D6">
            <w:pPr>
              <w:tabs>
                <w:tab w:val="left" w:pos="2540"/>
              </w:tabs>
              <w:spacing w:line="240" w:lineRule="auto"/>
              <w:ind w:left="720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</w:p>
          <w:p w14:paraId="6EC63062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W zamian przez okres 10 lat inwestor może korzystać z ulgi podatkowej, przy czym dotyczy ona tylko tej części zasobu, która wynajmowana jest jako niedrogie </w:t>
            </w:r>
            <w:r w:rsidR="00D176F0" w:rsidRPr="00D176F0">
              <w:rPr>
                <w:rFonts w:ascii="Times New Roman" w:hAnsi="Times New Roman"/>
                <w:bCs/>
                <w:color w:val="000000"/>
                <w:spacing w:val="-2"/>
              </w:rPr>
              <w:t xml:space="preserve">dostępne </w:t>
            </w: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>mieszkania.</w:t>
            </w:r>
          </w:p>
          <w:p w14:paraId="443B2367" w14:textId="77777777" w:rsidR="00F777D6" w:rsidRPr="00D13E7B" w:rsidRDefault="00F777D6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</w:p>
          <w:p w14:paraId="2BC9ED60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9% ulgi jest przyznawane kwalifikującym się projektom w drodze konkurencyjnego procesu za pośrednictwem państwowych agencji finansowania budownictwa mieszkaniowego. Kryteria przyznawania aktualizowane są co roku </w:t>
            </w:r>
            <w:r w:rsidR="00DB0139">
              <w:rPr>
                <w:rFonts w:ascii="Times New Roman" w:hAnsi="Times New Roman"/>
                <w:bCs/>
                <w:color w:val="000000"/>
                <w:spacing w:val="-2"/>
              </w:rPr>
              <w:br/>
            </w: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>w ramach Planu Kwalifikowanego Przydziału, który określa priorytety i kryteria punktacji, przygotowywanego przez każdy ze stanów. W ramach tych planów poszczególne stany mogą ustalić np. przedłużenie okresu dostępności do 50 lat, przeznaczenie części ulg podatkowych wyłącznie na projekty o określonych cechach, priorytety lokalizacji czy przyznawanie dodatkowych punktów za spełnienie norm zrównoważonego budownictwa ekologicznego.</w:t>
            </w:r>
          </w:p>
          <w:p w14:paraId="7CA4563C" w14:textId="77777777" w:rsidR="00F777D6" w:rsidRPr="00D13E7B" w:rsidRDefault="00F777D6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</w:p>
          <w:p w14:paraId="478D3E3F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Projekty, które otrzymują co najmniej 50% finansowania poprzez obligacje zwolnione z podatku, kwalifikują się do 4% ulgi. Od 1986 r., od kiedy ulga funkcjonuje, oddano do użytku prawie 3 miliony niedrogich dostępnych mieszkań. Budowa w tym systemie cieszy się dużą popularnością (czasem nawet 100% mieszkań podlega wynajmowi na preferencyjnych zasadach) – zgłaszanych jest więcej projektów niż możliwości przyznania ulgi. Daje to możliwość kształtowania rodzaju </w:t>
            </w:r>
            <w:r w:rsidR="00DB0139">
              <w:rPr>
                <w:rFonts w:ascii="Times New Roman" w:hAnsi="Times New Roman"/>
                <w:bCs/>
                <w:color w:val="000000"/>
                <w:spacing w:val="-2"/>
              </w:rPr>
              <w:br/>
            </w: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>i lokalizacji mieszkań przez władze.</w:t>
            </w:r>
          </w:p>
          <w:p w14:paraId="1099D9DF" w14:textId="77777777" w:rsidR="00F777D6" w:rsidRPr="00D13E7B" w:rsidRDefault="00F777D6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</w:p>
          <w:p w14:paraId="7947F176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Jako zaletę ulg podatkowych przedstawia się także minimalizowanie nakładów państwa przy jednoczesnym pobudzaniu inwestycji prywatnych. </w:t>
            </w:r>
          </w:p>
          <w:p w14:paraId="58073793" w14:textId="77777777" w:rsidR="00131E7A" w:rsidRPr="00D13E7B" w:rsidRDefault="00131E7A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</w:p>
          <w:p w14:paraId="27EBD80C" w14:textId="77777777" w:rsidR="00D13E7B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Jednocześnie jednak mieszkania te dostępne są tylko okresowo – po wymaganym okresie mogą trafić na rynek. Mimo regulowanych czynszów są one też często zbyt drogie dla osób o najniższych dochodach. Proces przyznawania ulg z kolei stwarza ryzyko promowania segregacji rasowej i tworzenia obszarów koncentracji ubóstwa. Przykładowo, znane są przypadki w Nowym Jorku, gdzie deweloperzy tworzyli osobne wejścia do części budynku, w której znajdowały się niedrogie </w:t>
            </w:r>
            <w:r w:rsidR="00DB0139" w:rsidRPr="00DB0139">
              <w:rPr>
                <w:rFonts w:ascii="Times New Roman" w:hAnsi="Times New Roman"/>
                <w:bCs/>
                <w:color w:val="000000"/>
                <w:spacing w:val="-2"/>
              </w:rPr>
              <w:t xml:space="preserve">dostępne </w:t>
            </w: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 xml:space="preserve">mieszkania– tzw. </w:t>
            </w:r>
            <w:proofErr w:type="spellStart"/>
            <w:r w:rsidRPr="00D13E7B">
              <w:rPr>
                <w:rFonts w:ascii="Times New Roman" w:hAnsi="Times New Roman"/>
                <w:bCs/>
                <w:i/>
                <w:color w:val="000000"/>
                <w:spacing w:val="-2"/>
              </w:rPr>
              <w:t>poor</w:t>
            </w:r>
            <w:proofErr w:type="spellEnd"/>
            <w:r w:rsidRPr="00D13E7B">
              <w:rPr>
                <w:rFonts w:ascii="Times New Roman" w:hAnsi="Times New Roman"/>
                <w:bCs/>
                <w:i/>
                <w:color w:val="000000"/>
                <w:spacing w:val="-2"/>
              </w:rPr>
              <w:t xml:space="preserve"> </w:t>
            </w:r>
            <w:proofErr w:type="spellStart"/>
            <w:r w:rsidRPr="00D13E7B">
              <w:rPr>
                <w:rFonts w:ascii="Times New Roman" w:hAnsi="Times New Roman"/>
                <w:bCs/>
                <w:i/>
                <w:color w:val="000000"/>
                <w:spacing w:val="-2"/>
              </w:rPr>
              <w:t>door</w:t>
            </w:r>
            <w:proofErr w:type="spellEnd"/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>.</w:t>
            </w:r>
          </w:p>
          <w:p w14:paraId="1DCC0F71" w14:textId="77777777" w:rsidR="00131E7A" w:rsidRPr="00D13E7B" w:rsidRDefault="00131E7A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</w:p>
          <w:p w14:paraId="387915AD" w14:textId="77777777" w:rsidR="00E05288" w:rsidRDefault="00D13E7B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3E7B">
              <w:rPr>
                <w:rFonts w:ascii="Times New Roman" w:hAnsi="Times New Roman"/>
                <w:bCs/>
                <w:color w:val="000000"/>
                <w:spacing w:val="-2"/>
              </w:rPr>
              <w:t>Warto również zauważyć, że wykorzystanie tego typu instrumentów jest możliwe na rynku, na którym funkcjonuje duża grupa deweloperów specjalizujących się w budowie budynków i ich długoletniej eksploatacji na zasadach najmu.</w:t>
            </w:r>
          </w:p>
          <w:p w14:paraId="18416D75" w14:textId="77777777" w:rsidR="008A5000" w:rsidRPr="00DB36B5" w:rsidRDefault="008A5000" w:rsidP="00F777D6">
            <w:pPr>
              <w:tabs>
                <w:tab w:val="left" w:pos="25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</w:p>
        </w:tc>
      </w:tr>
      <w:tr w:rsidR="006A701A" w:rsidRPr="008B4FE6" w14:paraId="1C79E1A7" w14:textId="77777777" w:rsidTr="006E43A6">
        <w:trPr>
          <w:trHeight w:val="359"/>
        </w:trPr>
        <w:tc>
          <w:tcPr>
            <w:tcW w:w="10876" w:type="dxa"/>
            <w:gridSpan w:val="28"/>
            <w:shd w:val="clear" w:color="auto" w:fill="99CCFF"/>
            <w:vAlign w:val="center"/>
          </w:tcPr>
          <w:p w14:paraId="2239BFA5" w14:textId="77777777" w:rsidR="006A701A" w:rsidRPr="008B4FE6" w:rsidRDefault="006A701A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lastRenderedPageBreak/>
              <w:t>Podmioty, na które oddziałuje projekt</w:t>
            </w:r>
          </w:p>
        </w:tc>
      </w:tr>
      <w:tr w:rsidR="00260F33" w:rsidRPr="008B4FE6" w14:paraId="0ECA988C" w14:textId="77777777" w:rsidTr="006E43A6">
        <w:trPr>
          <w:trHeight w:val="142"/>
        </w:trPr>
        <w:tc>
          <w:tcPr>
            <w:tcW w:w="3522" w:type="dxa"/>
            <w:gridSpan w:val="3"/>
            <w:shd w:val="clear" w:color="auto" w:fill="auto"/>
          </w:tcPr>
          <w:p w14:paraId="0AD28CCD" w14:textId="77777777" w:rsidR="00260F33" w:rsidRPr="00FC6059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FC6059">
              <w:rPr>
                <w:rFonts w:ascii="Times New Roman" w:hAnsi="Times New Roman"/>
                <w:b/>
                <w:color w:val="000000"/>
                <w:spacing w:val="-2"/>
              </w:rPr>
              <w:t>Grupa</w:t>
            </w:r>
          </w:p>
        </w:tc>
        <w:tc>
          <w:tcPr>
            <w:tcW w:w="2008" w:type="dxa"/>
            <w:gridSpan w:val="7"/>
            <w:shd w:val="clear" w:color="auto" w:fill="auto"/>
          </w:tcPr>
          <w:p w14:paraId="4A7052BD" w14:textId="77777777" w:rsidR="00260F33" w:rsidRPr="00FC6059" w:rsidRDefault="00563199" w:rsidP="0072636A">
            <w:pPr>
              <w:spacing w:before="4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FC6059">
              <w:rPr>
                <w:rFonts w:ascii="Times New Roman" w:hAnsi="Times New Roman"/>
                <w:b/>
                <w:color w:val="000000"/>
                <w:spacing w:val="-2"/>
              </w:rPr>
              <w:t>Wielkość</w:t>
            </w:r>
          </w:p>
        </w:tc>
        <w:tc>
          <w:tcPr>
            <w:tcW w:w="3118" w:type="dxa"/>
            <w:gridSpan w:val="12"/>
            <w:shd w:val="clear" w:color="auto" w:fill="auto"/>
          </w:tcPr>
          <w:p w14:paraId="5222F453" w14:textId="77777777" w:rsidR="00260F33" w:rsidRPr="00FC6059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FC6059">
              <w:rPr>
                <w:rFonts w:ascii="Times New Roman" w:hAnsi="Times New Roman"/>
                <w:b/>
                <w:color w:val="000000"/>
                <w:spacing w:val="-2"/>
              </w:rPr>
              <w:t>Źródło danych</w:t>
            </w:r>
            <w:r w:rsidRPr="00FC6059" w:rsidDel="00260F33">
              <w:rPr>
                <w:rFonts w:ascii="Times New Roman" w:hAnsi="Times New Roman"/>
                <w:b/>
                <w:color w:val="000000"/>
                <w:spacing w:val="-2"/>
              </w:rPr>
              <w:t xml:space="preserve"> </w:t>
            </w:r>
          </w:p>
        </w:tc>
        <w:tc>
          <w:tcPr>
            <w:tcW w:w="2228" w:type="dxa"/>
            <w:gridSpan w:val="6"/>
            <w:shd w:val="clear" w:color="auto" w:fill="auto"/>
          </w:tcPr>
          <w:p w14:paraId="220401ED" w14:textId="77777777" w:rsidR="00260F33" w:rsidRPr="00FC6059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FC6059">
              <w:rPr>
                <w:rFonts w:ascii="Times New Roman" w:hAnsi="Times New Roman"/>
                <w:b/>
                <w:color w:val="000000"/>
                <w:spacing w:val="-2"/>
              </w:rPr>
              <w:t>Oddziaływanie</w:t>
            </w:r>
          </w:p>
        </w:tc>
      </w:tr>
      <w:tr w:rsidR="00D02A1A" w:rsidRPr="008B4FE6" w14:paraId="2824D029" w14:textId="77777777" w:rsidTr="006E43A6">
        <w:trPr>
          <w:trHeight w:val="142"/>
        </w:trPr>
        <w:tc>
          <w:tcPr>
            <w:tcW w:w="3522" w:type="dxa"/>
            <w:gridSpan w:val="3"/>
            <w:shd w:val="clear" w:color="auto" w:fill="auto"/>
          </w:tcPr>
          <w:p w14:paraId="0D4AF639" w14:textId="77777777" w:rsidR="00D02A1A" w:rsidRPr="008B4FE6" w:rsidRDefault="00D02A1A" w:rsidP="00CF2AA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Gminy</w:t>
            </w:r>
          </w:p>
        </w:tc>
        <w:tc>
          <w:tcPr>
            <w:tcW w:w="2008" w:type="dxa"/>
            <w:gridSpan w:val="7"/>
            <w:shd w:val="clear" w:color="auto" w:fill="auto"/>
          </w:tcPr>
          <w:p w14:paraId="0FD4A780" w14:textId="77777777" w:rsidR="00D02A1A" w:rsidRPr="00B37C80" w:rsidRDefault="00D02A1A" w:rsidP="00CF2AA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2477</w:t>
            </w:r>
          </w:p>
        </w:tc>
        <w:tc>
          <w:tcPr>
            <w:tcW w:w="3118" w:type="dxa"/>
            <w:gridSpan w:val="12"/>
            <w:shd w:val="clear" w:color="auto" w:fill="auto"/>
          </w:tcPr>
          <w:p w14:paraId="6C2A9537" w14:textId="77777777" w:rsidR="00D02A1A" w:rsidRPr="00B37C80" w:rsidRDefault="00D02A1A" w:rsidP="00CF2AA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MSWiA</w:t>
            </w:r>
          </w:p>
        </w:tc>
        <w:tc>
          <w:tcPr>
            <w:tcW w:w="2228" w:type="dxa"/>
            <w:gridSpan w:val="6"/>
            <w:shd w:val="clear" w:color="auto" w:fill="auto"/>
          </w:tcPr>
          <w:p w14:paraId="38AB5644" w14:textId="77777777" w:rsidR="00D02A1A" w:rsidRDefault="00CF2AA5" w:rsidP="00521ADE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Określenie zasad oferowania </w:t>
            </w:r>
            <w:r w:rsidR="002B6F33">
              <w:rPr>
                <w:rFonts w:ascii="Times New Roman" w:hAnsi="Times New Roman"/>
                <w:color w:val="000000"/>
                <w:spacing w:val="-2"/>
              </w:rPr>
              <w:br/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w przetargach nieograniczonych </w:t>
            </w:r>
            <w:r w:rsidR="002B6F33">
              <w:rPr>
                <w:rFonts w:ascii="Times New Roman" w:hAnsi="Times New Roman"/>
                <w:color w:val="000000"/>
                <w:spacing w:val="-2"/>
              </w:rPr>
              <w:t xml:space="preserve">nieruchomości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gminnych </w:t>
            </w:r>
            <w:r w:rsidR="002B6F33">
              <w:rPr>
                <w:rFonts w:ascii="Times New Roman" w:hAnsi="Times New Roman"/>
                <w:color w:val="000000"/>
                <w:spacing w:val="-2"/>
              </w:rPr>
              <w:br/>
            </w:r>
            <w:r>
              <w:rPr>
                <w:rFonts w:ascii="Times New Roman" w:hAnsi="Times New Roman"/>
                <w:color w:val="000000"/>
                <w:spacing w:val="-2"/>
              </w:rPr>
              <w:t>w zamian za uzyskanie mieszkań lub powierzchni użytkowych.</w:t>
            </w:r>
          </w:p>
          <w:p w14:paraId="20194F23" w14:textId="77777777" w:rsidR="001C6008" w:rsidRDefault="00CF2AA5" w:rsidP="00521ADE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Zwiększenie możliwości zaspokajania potrzeb mieszkaniowych osób o niskich </w:t>
            </w:r>
            <w:r w:rsidR="002B6F33">
              <w:rPr>
                <w:rFonts w:ascii="Times New Roman" w:hAnsi="Times New Roman"/>
                <w:color w:val="000000"/>
                <w:spacing w:val="-2"/>
              </w:rPr>
              <w:br/>
            </w:r>
            <w:r w:rsidR="000B2CB0">
              <w:rPr>
                <w:rFonts w:ascii="Times New Roman" w:hAnsi="Times New Roman"/>
                <w:color w:val="000000"/>
                <w:spacing w:val="-2"/>
              </w:rPr>
              <w:t>i przeciętnych dochodach.</w:t>
            </w:r>
          </w:p>
          <w:p w14:paraId="05FDC2CB" w14:textId="77777777" w:rsidR="000B2CB0" w:rsidRDefault="000B2CB0" w:rsidP="00521ADE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Możliwość uzyskania dofinansowania </w:t>
            </w:r>
            <w:r w:rsidR="00521ADE">
              <w:rPr>
                <w:rFonts w:ascii="Times New Roman" w:hAnsi="Times New Roman"/>
                <w:color w:val="000000"/>
                <w:spacing w:val="-2"/>
              </w:rPr>
              <w:br/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w wysokości </w:t>
            </w:r>
            <w:r w:rsidR="00521ADE">
              <w:rPr>
                <w:rFonts w:ascii="Times New Roman" w:hAnsi="Times New Roman"/>
                <w:color w:val="000000"/>
                <w:spacing w:val="-2"/>
              </w:rPr>
              <w:t xml:space="preserve">do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10% kosztów inwestycji </w:t>
            </w:r>
            <w:r w:rsidR="00521ADE">
              <w:rPr>
                <w:rFonts w:ascii="Times New Roman" w:hAnsi="Times New Roman"/>
                <w:color w:val="000000"/>
                <w:spacing w:val="-2"/>
              </w:rPr>
              <w:br/>
            </w:r>
            <w:r>
              <w:rPr>
                <w:rFonts w:ascii="Times New Roman" w:hAnsi="Times New Roman"/>
                <w:color w:val="000000"/>
                <w:spacing w:val="-2"/>
              </w:rPr>
              <w:t>w infrastrukturę społeczną lub techniczną towarzyszącą mieszkalnictwu.</w:t>
            </w:r>
          </w:p>
          <w:p w14:paraId="73268763" w14:textId="77777777" w:rsidR="000B2CB0" w:rsidRPr="00131E7A" w:rsidRDefault="000B2CB0" w:rsidP="00521ADE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Preferencyjne traktowanie gmin inwestujących </w:t>
            </w:r>
            <w:r w:rsidR="00521ADE">
              <w:rPr>
                <w:rFonts w:ascii="Times New Roman" w:hAnsi="Times New Roman"/>
                <w:color w:val="000000"/>
                <w:spacing w:val="-2"/>
              </w:rPr>
              <w:br/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w budownictwo mieszkaniowe przy rozdziale środków na realizację innych zadań gminnych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</w:rPr>
              <w:t>współfinansowa</w:t>
            </w:r>
            <w:r w:rsidR="00521ADE">
              <w:rPr>
                <w:rFonts w:ascii="Times New Roman" w:hAnsi="Times New Roman"/>
                <w:color w:val="000000"/>
                <w:spacing w:val="-2"/>
              </w:rPr>
              <w:t>-</w:t>
            </w:r>
            <w:r>
              <w:rPr>
                <w:rFonts w:ascii="Times New Roman" w:hAnsi="Times New Roman"/>
                <w:color w:val="000000"/>
                <w:spacing w:val="-2"/>
              </w:rPr>
              <w:t>nych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</w:rPr>
              <w:t xml:space="preserve"> przez państwo.</w:t>
            </w:r>
          </w:p>
        </w:tc>
      </w:tr>
      <w:tr w:rsidR="00D02A1A" w:rsidRPr="008B4FE6" w14:paraId="0426CDE5" w14:textId="77777777" w:rsidTr="006E43A6">
        <w:trPr>
          <w:trHeight w:val="142"/>
        </w:trPr>
        <w:tc>
          <w:tcPr>
            <w:tcW w:w="3522" w:type="dxa"/>
            <w:gridSpan w:val="3"/>
            <w:shd w:val="clear" w:color="auto" w:fill="auto"/>
          </w:tcPr>
          <w:p w14:paraId="27527DA7" w14:textId="77777777" w:rsidR="00D02A1A" w:rsidRDefault="00CF2AA5" w:rsidP="002E30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Inwestorzy (deweloperzy, towarzystwa budownictwa społecznego, spółdzielnie mieszkaniowe, inni)</w:t>
            </w:r>
          </w:p>
        </w:tc>
        <w:tc>
          <w:tcPr>
            <w:tcW w:w="2008" w:type="dxa"/>
            <w:gridSpan w:val="7"/>
            <w:shd w:val="clear" w:color="auto" w:fill="auto"/>
          </w:tcPr>
          <w:p w14:paraId="22AB3175" w14:textId="77777777" w:rsidR="00D02A1A" w:rsidRDefault="004D45CE" w:rsidP="004D45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Deweloperzy – ok. 2000 </w:t>
            </w:r>
          </w:p>
          <w:p w14:paraId="1C951B6A" w14:textId="77777777" w:rsidR="004D45CE" w:rsidRDefault="004D45CE" w:rsidP="004D45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Towarzystwa budownictwa społecznego – </w:t>
            </w:r>
            <w:r w:rsidR="005D6794">
              <w:rPr>
                <w:rFonts w:ascii="Times New Roman" w:hAnsi="Times New Roman"/>
                <w:color w:val="000000"/>
                <w:spacing w:val="-2"/>
              </w:rPr>
              <w:t>243</w:t>
            </w:r>
          </w:p>
          <w:p w14:paraId="1F49770B" w14:textId="77777777" w:rsidR="004D45CE" w:rsidRDefault="004D45CE" w:rsidP="004D45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Spółdzielnie mieszkaniowe – </w:t>
            </w:r>
            <w:r w:rsidR="002B6F33">
              <w:rPr>
                <w:rFonts w:ascii="Times New Roman" w:hAnsi="Times New Roman"/>
                <w:color w:val="000000"/>
                <w:spacing w:val="-2"/>
              </w:rPr>
              <w:br/>
            </w:r>
            <w:r w:rsidR="009B5027">
              <w:rPr>
                <w:rFonts w:ascii="Times New Roman" w:hAnsi="Times New Roman"/>
                <w:color w:val="000000"/>
                <w:spacing w:val="-2"/>
              </w:rPr>
              <w:lastRenderedPageBreak/>
              <w:t>4 706</w:t>
            </w:r>
          </w:p>
          <w:p w14:paraId="6068AA0D" w14:textId="77777777" w:rsidR="004D45CE" w:rsidRDefault="004D45CE" w:rsidP="004D45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2A509262" w14:textId="77777777" w:rsidR="004D45CE" w:rsidRDefault="004D45CE" w:rsidP="004D45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700C9563" w14:textId="77777777" w:rsidR="004D45CE" w:rsidRDefault="004D45CE" w:rsidP="004D45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2DCBE45D" w14:textId="77777777" w:rsidR="004D45CE" w:rsidRPr="00B37C80" w:rsidRDefault="004D45CE" w:rsidP="004D45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3118" w:type="dxa"/>
            <w:gridSpan w:val="12"/>
            <w:shd w:val="clear" w:color="auto" w:fill="auto"/>
          </w:tcPr>
          <w:p w14:paraId="02047EC2" w14:textId="77777777" w:rsidR="00D02A1A" w:rsidRDefault="004D45CE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lastRenderedPageBreak/>
              <w:t>analizy własne UOKiK</w:t>
            </w:r>
          </w:p>
          <w:p w14:paraId="017F8A15" w14:textId="77777777" w:rsidR="009B5027" w:rsidRDefault="009B5027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14E1048D" w14:textId="77777777" w:rsidR="009B5027" w:rsidRDefault="00D2098D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Ministerstwo Rozwoju</w:t>
            </w:r>
          </w:p>
          <w:p w14:paraId="1778532F" w14:textId="77777777" w:rsidR="009B5027" w:rsidRDefault="009B5027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7E1C011A" w14:textId="77777777" w:rsidR="009B5027" w:rsidRDefault="009B5027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13633C57" w14:textId="77777777" w:rsidR="009B5027" w:rsidRPr="00B37C80" w:rsidRDefault="009B5027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GUS, Rocznik Statystyczny 2019 (uwzględniono podmioty </w:t>
            </w:r>
            <w:r w:rsidR="000A3B66">
              <w:rPr>
                <w:rFonts w:ascii="Times New Roman" w:hAnsi="Times New Roman"/>
                <w:color w:val="000000"/>
                <w:spacing w:val="-2"/>
              </w:rPr>
              <w:lastRenderedPageBreak/>
              <w:t xml:space="preserve">działające w formie spółdzielni </w:t>
            </w:r>
            <w:r>
              <w:rPr>
                <w:rFonts w:ascii="Times New Roman" w:hAnsi="Times New Roman"/>
                <w:color w:val="000000"/>
                <w:spacing w:val="-2"/>
              </w:rPr>
              <w:t>zarejestrowane w rejestrze REGON w ramach  grup „Budownictwo” oraz „Obsługa rynku nieruchomości”)</w:t>
            </w:r>
          </w:p>
        </w:tc>
        <w:tc>
          <w:tcPr>
            <w:tcW w:w="2228" w:type="dxa"/>
            <w:gridSpan w:val="6"/>
            <w:shd w:val="clear" w:color="auto" w:fill="auto"/>
          </w:tcPr>
          <w:p w14:paraId="610E7EE4" w14:textId="77777777" w:rsidR="00D02A1A" w:rsidRPr="001C6008" w:rsidRDefault="001C6008" w:rsidP="001C6008">
            <w:pPr>
              <w:pStyle w:val="Akapitzlist"/>
              <w:spacing w:line="240" w:lineRule="auto"/>
              <w:ind w:left="17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lastRenderedPageBreak/>
              <w:t xml:space="preserve">Możliwość realizacji inwestycji budowlanych (przede wszystkim mieszkaniowych) na </w:t>
            </w:r>
            <w:r w:rsidR="002B6F33">
              <w:rPr>
                <w:rFonts w:ascii="Times New Roman" w:hAnsi="Times New Roman"/>
                <w:color w:val="000000"/>
                <w:spacing w:val="-2"/>
              </w:rPr>
              <w:t>nieruchomościach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należących </w:t>
            </w:r>
            <w:r w:rsidR="00521ADE">
              <w:rPr>
                <w:rFonts w:ascii="Times New Roman" w:hAnsi="Times New Roman"/>
                <w:color w:val="000000"/>
                <w:spacing w:val="-2"/>
              </w:rPr>
              <w:t xml:space="preserve">dotąd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do </w:t>
            </w:r>
            <w:r>
              <w:rPr>
                <w:rFonts w:ascii="Times New Roman" w:hAnsi="Times New Roman"/>
                <w:color w:val="000000"/>
                <w:spacing w:val="-2"/>
              </w:rPr>
              <w:lastRenderedPageBreak/>
              <w:t>samorządów gminnych w zamian za przekazanie gminie części powierzchni mieszkalnej lub użytkowej</w:t>
            </w:r>
            <w:r w:rsidR="008A5000">
              <w:rPr>
                <w:rFonts w:ascii="Times New Roman" w:hAnsi="Times New Roman"/>
                <w:color w:val="000000"/>
                <w:spacing w:val="-2"/>
              </w:rPr>
              <w:t>.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</w:tr>
      <w:tr w:rsidR="00D02A1A" w:rsidRPr="008B4FE6" w14:paraId="0682664B" w14:textId="77777777" w:rsidTr="006E43A6">
        <w:trPr>
          <w:trHeight w:val="142"/>
        </w:trPr>
        <w:tc>
          <w:tcPr>
            <w:tcW w:w="3522" w:type="dxa"/>
            <w:gridSpan w:val="3"/>
            <w:shd w:val="clear" w:color="auto" w:fill="auto"/>
          </w:tcPr>
          <w:p w14:paraId="5FB56E3B" w14:textId="77777777" w:rsidR="00D02A1A" w:rsidRDefault="004C5498" w:rsidP="006A26E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Krajowy Zasób Nieruchomości</w:t>
            </w:r>
          </w:p>
        </w:tc>
        <w:tc>
          <w:tcPr>
            <w:tcW w:w="2008" w:type="dxa"/>
            <w:gridSpan w:val="7"/>
            <w:shd w:val="clear" w:color="auto" w:fill="auto"/>
          </w:tcPr>
          <w:p w14:paraId="4E52B56F" w14:textId="77777777" w:rsidR="00D02A1A" w:rsidRPr="00B37C80" w:rsidRDefault="004C5498" w:rsidP="005E2EE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3118" w:type="dxa"/>
            <w:gridSpan w:val="12"/>
            <w:shd w:val="clear" w:color="auto" w:fill="auto"/>
          </w:tcPr>
          <w:p w14:paraId="560741A8" w14:textId="77777777" w:rsidR="00D02A1A" w:rsidRPr="00B37C80" w:rsidRDefault="004C5498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2228" w:type="dxa"/>
            <w:gridSpan w:val="6"/>
            <w:shd w:val="clear" w:color="auto" w:fill="auto"/>
          </w:tcPr>
          <w:p w14:paraId="6F6EBE2B" w14:textId="77777777" w:rsidR="00D02A1A" w:rsidRPr="00B37C80" w:rsidRDefault="004C5498" w:rsidP="002E30B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Możliwość wykorzystania </w:t>
            </w:r>
            <w:r w:rsidR="002B6F33">
              <w:rPr>
                <w:rFonts w:ascii="Times New Roman" w:hAnsi="Times New Roman"/>
                <w:color w:val="000000"/>
                <w:spacing w:val="-2"/>
              </w:rPr>
              <w:t>nieruchomości S</w:t>
            </w:r>
            <w:r>
              <w:rPr>
                <w:rFonts w:ascii="Times New Roman" w:hAnsi="Times New Roman"/>
                <w:color w:val="000000"/>
                <w:spacing w:val="-2"/>
              </w:rPr>
              <w:t>karbu Państwa do realizacji inwestycji mieszkaniowych</w:t>
            </w:r>
            <w:r w:rsidR="0042773E">
              <w:rPr>
                <w:rFonts w:ascii="Times New Roman" w:hAnsi="Times New Roman"/>
                <w:color w:val="000000"/>
                <w:spacing w:val="-2"/>
              </w:rPr>
              <w:t>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42773E">
              <w:rPr>
                <w:rFonts w:ascii="Times New Roman" w:hAnsi="Times New Roman"/>
                <w:color w:val="000000"/>
                <w:spacing w:val="-2"/>
              </w:rPr>
              <w:br/>
            </w:r>
            <w:r>
              <w:rPr>
                <w:rFonts w:ascii="Times New Roman" w:hAnsi="Times New Roman"/>
                <w:color w:val="000000"/>
                <w:spacing w:val="-2"/>
              </w:rPr>
              <w:t>w wyniku których powstaną mieszkania na wynajem dostępne dla osób o niskich lub średnich dochodach</w:t>
            </w:r>
            <w:r w:rsidR="008A5000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FC6059" w:rsidRPr="008B4FE6" w14:paraId="71CE73D4" w14:textId="77777777" w:rsidTr="006E43A6">
        <w:trPr>
          <w:trHeight w:val="142"/>
        </w:trPr>
        <w:tc>
          <w:tcPr>
            <w:tcW w:w="3522" w:type="dxa"/>
            <w:gridSpan w:val="3"/>
            <w:shd w:val="clear" w:color="auto" w:fill="auto"/>
          </w:tcPr>
          <w:p w14:paraId="487FD07C" w14:textId="67855123" w:rsidR="00FC6059" w:rsidRDefault="00FC6059" w:rsidP="006A26E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Bank Gospodarstwa Krajowego</w:t>
            </w:r>
          </w:p>
        </w:tc>
        <w:tc>
          <w:tcPr>
            <w:tcW w:w="2008" w:type="dxa"/>
            <w:gridSpan w:val="7"/>
            <w:shd w:val="clear" w:color="auto" w:fill="auto"/>
          </w:tcPr>
          <w:p w14:paraId="6A6E0E2C" w14:textId="0086881B" w:rsidR="00FC6059" w:rsidRDefault="00FC6059" w:rsidP="005E2EE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3118" w:type="dxa"/>
            <w:gridSpan w:val="12"/>
            <w:shd w:val="clear" w:color="auto" w:fill="auto"/>
          </w:tcPr>
          <w:p w14:paraId="1B2298C2" w14:textId="11ABACBF" w:rsidR="00FC6059" w:rsidRDefault="00FC28B3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2228" w:type="dxa"/>
            <w:gridSpan w:val="6"/>
            <w:shd w:val="clear" w:color="auto" w:fill="auto"/>
          </w:tcPr>
          <w:p w14:paraId="194B1E19" w14:textId="4CE1724D" w:rsidR="00FC6059" w:rsidRDefault="00FC6059" w:rsidP="002E30B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Obsługa (jako operator Funduszu Dopłat) programu dofinansowania infrastruktury </w:t>
            </w:r>
            <w:r w:rsidR="000D5C83" w:rsidRPr="000D5C83">
              <w:rPr>
                <w:rFonts w:ascii="Times New Roman" w:hAnsi="Times New Roman"/>
                <w:color w:val="000000"/>
                <w:spacing w:val="-2"/>
              </w:rPr>
              <w:t>społeczn</w:t>
            </w:r>
            <w:r w:rsidR="000D5C83">
              <w:rPr>
                <w:rFonts w:ascii="Times New Roman" w:hAnsi="Times New Roman"/>
                <w:color w:val="000000"/>
                <w:spacing w:val="-2"/>
              </w:rPr>
              <w:t>ej</w:t>
            </w:r>
            <w:r w:rsidR="000D5C83" w:rsidRPr="000D5C83">
              <w:rPr>
                <w:rFonts w:ascii="Times New Roman" w:hAnsi="Times New Roman"/>
                <w:color w:val="000000"/>
                <w:spacing w:val="-2"/>
              </w:rPr>
              <w:t xml:space="preserve"> lub techniczn</w:t>
            </w:r>
            <w:r w:rsidR="000D5C83">
              <w:rPr>
                <w:rFonts w:ascii="Times New Roman" w:hAnsi="Times New Roman"/>
                <w:color w:val="000000"/>
                <w:spacing w:val="-2"/>
              </w:rPr>
              <w:t>ej</w:t>
            </w:r>
            <w:r w:rsidR="000D5C83" w:rsidRPr="000D5C83">
              <w:rPr>
                <w:rFonts w:ascii="Times New Roman" w:hAnsi="Times New Roman"/>
                <w:color w:val="000000"/>
                <w:spacing w:val="-2"/>
              </w:rPr>
              <w:t xml:space="preserve"> towarzysząc</w:t>
            </w:r>
            <w:r w:rsidR="000D5C83">
              <w:rPr>
                <w:rFonts w:ascii="Times New Roman" w:hAnsi="Times New Roman"/>
                <w:color w:val="000000"/>
                <w:spacing w:val="-2"/>
              </w:rPr>
              <w:t>ej</w:t>
            </w:r>
            <w:r w:rsidR="000D5C83" w:rsidRPr="000D5C83">
              <w:rPr>
                <w:rFonts w:ascii="Times New Roman" w:hAnsi="Times New Roman"/>
                <w:color w:val="000000"/>
                <w:spacing w:val="-2"/>
              </w:rPr>
              <w:t xml:space="preserve"> mieszkalnictwu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D02A1A" w:rsidRPr="008B4FE6" w14:paraId="7DCE7DFE" w14:textId="77777777" w:rsidTr="006E43A6">
        <w:trPr>
          <w:trHeight w:val="302"/>
        </w:trPr>
        <w:tc>
          <w:tcPr>
            <w:tcW w:w="10876" w:type="dxa"/>
            <w:gridSpan w:val="28"/>
            <w:shd w:val="clear" w:color="auto" w:fill="99CCFF"/>
            <w:vAlign w:val="center"/>
          </w:tcPr>
          <w:p w14:paraId="539B09A9" w14:textId="77777777" w:rsidR="00D02A1A" w:rsidRPr="008B4FE6" w:rsidRDefault="00D02A1A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Informacje na temat</w:t>
            </w:r>
            <w:r>
              <w:rPr>
                <w:rFonts w:ascii="Times New Roman" w:hAnsi="Times New Roman"/>
                <w:b/>
                <w:color w:val="000000"/>
              </w:rPr>
              <w:t xml:space="preserve"> zakresu, czasu trwania i podsumowanie wyników </w:t>
            </w:r>
            <w:r w:rsidRPr="008B4FE6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D02A1A" w:rsidRPr="008B4FE6" w14:paraId="609FEFED" w14:textId="77777777" w:rsidTr="006E43A6">
        <w:trPr>
          <w:trHeight w:val="342"/>
        </w:trPr>
        <w:tc>
          <w:tcPr>
            <w:tcW w:w="10876" w:type="dxa"/>
            <w:gridSpan w:val="28"/>
            <w:shd w:val="clear" w:color="auto" w:fill="FFFFFF"/>
          </w:tcPr>
          <w:p w14:paraId="54E263C9" w14:textId="3F13C477" w:rsidR="00525098" w:rsidRDefault="00525098" w:rsidP="0052509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W ramach procesu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</w:rPr>
              <w:t>prekonsultacyjnego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</w:rPr>
              <w:t xml:space="preserve"> (spotkania, wymiana korespondencji) w okresie styczeń-kwiecień 2020 r.,  założenia projektu zostały ocenione m.in. przez Polski Związek Firm Deweloperskich, Unię Metropolii Polskich, Krajowy Zasób Nieruchomości oraz Stowarzyszenie Zachodniopomorskie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</w:rPr>
              <w:t>Tebeesy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</w:rPr>
              <w:t xml:space="preserve">. Część zgłaszanych uwag i wniosków została uwzględniona w projekcie. </w:t>
            </w:r>
          </w:p>
          <w:p w14:paraId="4A48EA34" w14:textId="77777777" w:rsidR="00525098" w:rsidRDefault="00525098" w:rsidP="00120C7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0F357AE5" w14:textId="7FABBFFF" w:rsidR="00D02A1A" w:rsidRDefault="00A865E0" w:rsidP="00120C7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Projekt ustawy zostanie przekazany do konsultacji publicznych do wybranych podmiotów zrzeszających potencjalnych inwestorów na rynku budownictwa mieszkaniowego. Kluczowym partnerem w realizacji ustawy będą samorządy gminne.</w:t>
            </w:r>
            <w:r w:rsidR="00525098">
              <w:rPr>
                <w:rFonts w:ascii="Times New Roman" w:hAnsi="Times New Roman"/>
                <w:color w:val="000000"/>
                <w:spacing w:val="-2"/>
              </w:rPr>
              <w:t xml:space="preserve"> Projekt bezpośrednio trafi do następujących podmiotów:</w:t>
            </w:r>
          </w:p>
          <w:p w14:paraId="07018E68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Bank Gospodarstwa Krajowego</w:t>
            </w:r>
          </w:p>
          <w:p w14:paraId="61C0F2E3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Centrum Analiz Klubu Jagiellońskiego</w:t>
            </w:r>
          </w:p>
          <w:p w14:paraId="4232D6C4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Federacja Porozumienie Polskiego Rynku Nieruchomości</w:t>
            </w:r>
          </w:p>
          <w:p w14:paraId="3365F10D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Fundacja Blisko</w:t>
            </w:r>
          </w:p>
          <w:p w14:paraId="68DD3D03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bookmarkStart w:id="5" w:name="_Hlk40186137"/>
            <w:r w:rsidRPr="00525098">
              <w:rPr>
                <w:rFonts w:ascii="Times New Roman" w:hAnsi="Times New Roman"/>
                <w:color w:val="000000"/>
                <w:spacing w:val="-2"/>
              </w:rPr>
              <w:t>Fundacja Centrum Partnerstwa Publiczno-Prywatnego</w:t>
            </w:r>
          </w:p>
          <w:bookmarkEnd w:id="5"/>
          <w:p w14:paraId="0A7A8C43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 xml:space="preserve">Fundacja Habitat for </w:t>
            </w:r>
            <w:proofErr w:type="spellStart"/>
            <w:r w:rsidRPr="00525098">
              <w:rPr>
                <w:rFonts w:ascii="Times New Roman" w:hAnsi="Times New Roman"/>
                <w:color w:val="000000"/>
                <w:spacing w:val="-2"/>
              </w:rPr>
              <w:t>Humanity</w:t>
            </w:r>
            <w:proofErr w:type="spellEnd"/>
            <w:r w:rsidRPr="00525098">
              <w:rPr>
                <w:rFonts w:ascii="Times New Roman" w:hAnsi="Times New Roman"/>
                <w:color w:val="000000"/>
                <w:spacing w:val="-2"/>
              </w:rPr>
              <w:t xml:space="preserve"> Polska</w:t>
            </w:r>
          </w:p>
          <w:p w14:paraId="1A639699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Fundacja im. Stefana Batorego</w:t>
            </w:r>
          </w:p>
          <w:p w14:paraId="79951E28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Fundacja Republikańska</w:t>
            </w:r>
          </w:p>
          <w:p w14:paraId="68B2D5AC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Instytut Gospodarki Nieruchomościami</w:t>
            </w:r>
          </w:p>
          <w:p w14:paraId="2FBC0C1D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Instytut Jagielloński</w:t>
            </w:r>
          </w:p>
          <w:p w14:paraId="5C298C33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Instytut Rozwoju Miast i Regionów</w:t>
            </w:r>
          </w:p>
          <w:p w14:paraId="40F46E4C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Instytut Sobieskiego</w:t>
            </w:r>
          </w:p>
          <w:p w14:paraId="7C38376B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Instytut Spraw Publicznych</w:t>
            </w:r>
          </w:p>
          <w:p w14:paraId="13B2ED99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Izba Architektów Rzeczypospolitej Polskiej</w:t>
            </w:r>
          </w:p>
          <w:p w14:paraId="5251C572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Izba Projektowania Budowlanego</w:t>
            </w:r>
          </w:p>
          <w:p w14:paraId="26108F77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Komitet Architektury i Urbanistyki Polskiej Akademii Nauk</w:t>
            </w:r>
          </w:p>
          <w:p w14:paraId="645C9508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Konfederacja Budownictwa i Nieruchomości</w:t>
            </w:r>
          </w:p>
          <w:p w14:paraId="4ECE34B7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Kongres Ruchów Miejskich</w:t>
            </w:r>
          </w:p>
          <w:p w14:paraId="57C91E08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Krajowa Izba Gospodarcza, Komitet ds. Nieruchomości</w:t>
            </w:r>
          </w:p>
          <w:p w14:paraId="5991F2AB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Krajowa Izba Gospodarki Nieruchomościami</w:t>
            </w:r>
          </w:p>
          <w:p w14:paraId="4F177B30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Krajowa Organizacja Rzeczoznawców Majątkowych</w:t>
            </w:r>
          </w:p>
          <w:p w14:paraId="52DDBDF2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Krajowa Spółdzielcza Kasa Oszczędnościowo-Kredytowa</w:t>
            </w:r>
          </w:p>
          <w:p w14:paraId="1FCCE121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Krajowe Stowarzyszenie Profesjonalistów Rynku Nieruchomości</w:t>
            </w:r>
          </w:p>
          <w:p w14:paraId="11E57E44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Krajowy Zasób Nieruchomości</w:t>
            </w:r>
          </w:p>
          <w:p w14:paraId="2C29B0ED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Ogólnopolska Izba Gospodarki Nieruchomościami</w:t>
            </w:r>
          </w:p>
          <w:p w14:paraId="56752CBE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Ogólnopolskie Stowarzyszenie Firm Budowlano-Wykończeniowych</w:t>
            </w:r>
          </w:p>
          <w:p w14:paraId="68425B26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lastRenderedPageBreak/>
              <w:t>Ogólnopolskie Stowarzyszenie Licencjonowanych Zarządców Nieruchomości „Ekspert”</w:t>
            </w:r>
          </w:p>
          <w:p w14:paraId="54AFB0BF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PFR Nieruchomości S.A.</w:t>
            </w:r>
          </w:p>
          <w:p w14:paraId="731C7776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Polska Federacja Organizacji Zarządców, Administratorów i Właścicieli Nieruchomości</w:t>
            </w:r>
          </w:p>
          <w:p w14:paraId="261FCF2C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Polska Federacja Rynku Nieruchomości</w:t>
            </w:r>
          </w:p>
          <w:p w14:paraId="2D5B94A4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Polska Federacja Stowarzyszeń Rzeczoznawców Majątkowych</w:t>
            </w:r>
          </w:p>
          <w:p w14:paraId="2D622043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Polska Izba Budownictwa</w:t>
            </w:r>
          </w:p>
          <w:p w14:paraId="287C6529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Polska Izba Gospodarcza Towarzystw Budownictwa Społecznego</w:t>
            </w:r>
          </w:p>
          <w:p w14:paraId="47419FEC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Polska Izba Inżynierów Budownictwa</w:t>
            </w:r>
          </w:p>
          <w:p w14:paraId="3BA10C42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Polska Izba Nieruchomości Komercyjnych</w:t>
            </w:r>
          </w:p>
          <w:p w14:paraId="2C600C8E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Polska Izba Rzeczoznawstwa Majątkowego</w:t>
            </w:r>
          </w:p>
          <w:p w14:paraId="7BCE6F7C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Polska Unia Właścicieli Nieruchomości</w:t>
            </w:r>
          </w:p>
          <w:p w14:paraId="3997E853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Polski Fundusz Rozwoju S.A.</w:t>
            </w:r>
          </w:p>
          <w:p w14:paraId="13B890CC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Polski Związek Firm Deweloperskich</w:t>
            </w:r>
          </w:p>
          <w:p w14:paraId="2A979104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Polski Związek Inżynierów i Techników Budownictwa</w:t>
            </w:r>
          </w:p>
          <w:p w14:paraId="13A3150E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Polski Związek Pracodawców Budownictwa</w:t>
            </w:r>
          </w:p>
          <w:p w14:paraId="726B8250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Polskie Stowarzyszenie Budownictwa Ekologicznego</w:t>
            </w:r>
          </w:p>
          <w:p w14:paraId="21733B2A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Powszechne Towarzystwo Ekspertów i Doradców Rynku Nieruchomości</w:t>
            </w:r>
          </w:p>
          <w:p w14:paraId="5CB176B9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Polskie Towarzystwo Mieszkaniowe</w:t>
            </w:r>
          </w:p>
          <w:p w14:paraId="1F248774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Polskie Towarzystwo Rzeczoznawców Majątkowych</w:t>
            </w:r>
          </w:p>
          <w:p w14:paraId="576D245D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Pracownia Badań i Innowacji Społecznych „Stocznia”</w:t>
            </w:r>
          </w:p>
          <w:p w14:paraId="1118D89B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Stowarzyszenie Budowniczych Domów i Mieszkań</w:t>
            </w:r>
          </w:p>
          <w:p w14:paraId="013A7D77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Stowarzyszenie Ekspertów Rynku Nieruchomości</w:t>
            </w:r>
          </w:p>
          <w:p w14:paraId="3BEBF8D3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Stowarzyszenie Forum Rewitalizacji</w:t>
            </w:r>
          </w:p>
          <w:p w14:paraId="66B59224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Stowarzyszenie Nowoczesne Budynki</w:t>
            </w:r>
          </w:p>
          <w:p w14:paraId="5EB44C10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Stowarzyszenia Profesjonalistów Rynku Nieruchomości Polski Centralnej</w:t>
            </w:r>
          </w:p>
          <w:p w14:paraId="45D6EB9C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Stowarzyszenie Rzeczoznawców Majątkowych „POLONIA”</w:t>
            </w:r>
          </w:p>
          <w:p w14:paraId="6119ABCB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 xml:space="preserve">Stowarzyszenie </w:t>
            </w:r>
            <w:proofErr w:type="spellStart"/>
            <w:r w:rsidRPr="00525098">
              <w:rPr>
                <w:rFonts w:ascii="Times New Roman" w:hAnsi="Times New Roman"/>
                <w:color w:val="000000"/>
                <w:spacing w:val="-2"/>
              </w:rPr>
              <w:t>Tebeesów</w:t>
            </w:r>
            <w:proofErr w:type="spellEnd"/>
            <w:r w:rsidRPr="00525098">
              <w:rPr>
                <w:rFonts w:ascii="Times New Roman" w:hAnsi="Times New Roman"/>
                <w:color w:val="000000"/>
                <w:spacing w:val="-2"/>
              </w:rPr>
              <w:t xml:space="preserve"> Polski Południowej i Zachodniej</w:t>
            </w:r>
          </w:p>
          <w:p w14:paraId="30E068B5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Stowarzyszenie Właścicieli Nieruchomości na Wynajem „</w:t>
            </w:r>
            <w:proofErr w:type="spellStart"/>
            <w:r w:rsidRPr="00525098">
              <w:rPr>
                <w:rFonts w:ascii="Times New Roman" w:hAnsi="Times New Roman"/>
                <w:color w:val="000000"/>
                <w:spacing w:val="-2"/>
              </w:rPr>
              <w:t>Mieszkanicznik</w:t>
            </w:r>
            <w:proofErr w:type="spellEnd"/>
            <w:r w:rsidRPr="00525098">
              <w:rPr>
                <w:rFonts w:ascii="Times New Roman" w:hAnsi="Times New Roman"/>
                <w:color w:val="000000"/>
                <w:spacing w:val="-2"/>
              </w:rPr>
              <w:t>”</w:t>
            </w:r>
          </w:p>
          <w:p w14:paraId="2C1DB90D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 xml:space="preserve">Stowarzyszenie Zachodniopomorskie </w:t>
            </w:r>
            <w:proofErr w:type="spellStart"/>
            <w:r w:rsidRPr="00525098">
              <w:rPr>
                <w:rFonts w:ascii="Times New Roman" w:hAnsi="Times New Roman"/>
                <w:color w:val="000000"/>
                <w:spacing w:val="-2"/>
              </w:rPr>
              <w:t>Tebeesy</w:t>
            </w:r>
            <w:proofErr w:type="spellEnd"/>
          </w:p>
          <w:p w14:paraId="0B5104A3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Unia Metropolii Polskich</w:t>
            </w:r>
          </w:p>
          <w:p w14:paraId="3E2B9DAF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Unia Miasteczek Polskich</w:t>
            </w:r>
          </w:p>
          <w:p w14:paraId="2A4D0C75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Unia Spółdzielców Mieszkaniowych w Polsce</w:t>
            </w:r>
          </w:p>
          <w:p w14:paraId="68E39BB9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Związek Banków Polskich</w:t>
            </w:r>
          </w:p>
          <w:p w14:paraId="7EDA0363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Związek Gmin Wiejskich Rzeczypospolitej Polskiej</w:t>
            </w:r>
          </w:p>
          <w:p w14:paraId="0CC0DE7C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Związek Miast Polskich</w:t>
            </w:r>
          </w:p>
          <w:p w14:paraId="5E23F5B7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Związek Powiatów Polskich</w:t>
            </w:r>
          </w:p>
          <w:p w14:paraId="24964FF0" w14:textId="77777777" w:rsidR="00525098" w:rsidRPr="00525098" w:rsidRDefault="00525098" w:rsidP="00525098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Związek Rewizyjny Spółdzielni Mieszkaniowych Rzeczypospolitej Polskiej</w:t>
            </w:r>
          </w:p>
          <w:p w14:paraId="11B8668E" w14:textId="7EC53500" w:rsidR="00A865E0" w:rsidRDefault="00525098" w:rsidP="00120C79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25098">
              <w:rPr>
                <w:rFonts w:ascii="Times New Roman" w:hAnsi="Times New Roman"/>
                <w:color w:val="000000"/>
                <w:spacing w:val="-2"/>
              </w:rPr>
              <w:t>Związek Zawodowy Budowlani</w:t>
            </w:r>
          </w:p>
          <w:p w14:paraId="01CF8ED8" w14:textId="77777777" w:rsidR="00952C6D" w:rsidRDefault="00952C6D" w:rsidP="00952C6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100F93DD" w14:textId="14C96CB4" w:rsidR="00952C6D" w:rsidRDefault="00952C6D" w:rsidP="00952C6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Zgodnie z wymogami wynikającymi z Regulaminu pracy Rady Ministrów </w:t>
            </w:r>
            <w:r w:rsidRPr="002D0ED6">
              <w:rPr>
                <w:rFonts w:ascii="Times New Roman" w:hAnsi="Times New Roman"/>
                <w:color w:val="000000"/>
                <w:spacing w:val="-2"/>
              </w:rPr>
              <w:t>projekt zostanie opublikowany w Biuletynie Informacji Publicznej Rządowego Centrum Legislacji</w:t>
            </w:r>
            <w:r w:rsidR="00E063F5">
              <w:rPr>
                <w:rFonts w:ascii="Times New Roman" w:hAnsi="Times New Roman"/>
                <w:color w:val="000000"/>
                <w:spacing w:val="-2"/>
              </w:rPr>
              <w:t xml:space="preserve">, </w:t>
            </w:r>
            <w:r w:rsidR="00E063F5" w:rsidRPr="00E063F5">
              <w:rPr>
                <w:rFonts w:ascii="Times New Roman" w:hAnsi="Times New Roman"/>
                <w:color w:val="000000"/>
                <w:spacing w:val="-2"/>
              </w:rPr>
              <w:t xml:space="preserve">w zakładce </w:t>
            </w:r>
            <w:r w:rsidR="00E063F5" w:rsidRPr="00E063F5">
              <w:rPr>
                <w:rFonts w:ascii="Times New Roman" w:hAnsi="Times New Roman"/>
                <w:i/>
                <w:iCs/>
                <w:color w:val="000000"/>
                <w:spacing w:val="-2"/>
              </w:rPr>
              <w:t>Rządowy Proces Legislacyjny</w:t>
            </w:r>
            <w:r w:rsidRPr="002D0ED6">
              <w:rPr>
                <w:rFonts w:ascii="Times New Roman" w:hAnsi="Times New Roman"/>
                <w:color w:val="000000"/>
                <w:spacing w:val="-2"/>
              </w:rPr>
              <w:t xml:space="preserve">. Termin </w:t>
            </w:r>
            <w:r w:rsidR="00A95265">
              <w:rPr>
                <w:rFonts w:ascii="Times New Roman" w:hAnsi="Times New Roman"/>
                <w:color w:val="000000"/>
                <w:spacing w:val="-2"/>
              </w:rPr>
              <w:t xml:space="preserve">wyznaczony na konsultacje publiczne </w:t>
            </w:r>
            <w:r w:rsidR="00E063F5">
              <w:rPr>
                <w:rFonts w:ascii="Times New Roman" w:hAnsi="Times New Roman"/>
                <w:color w:val="000000"/>
                <w:spacing w:val="-2"/>
              </w:rPr>
              <w:t>będzie</w:t>
            </w:r>
            <w:r w:rsidRPr="002D0ED6">
              <w:rPr>
                <w:rFonts w:ascii="Times New Roman" w:hAnsi="Times New Roman"/>
                <w:color w:val="000000"/>
                <w:spacing w:val="-2"/>
              </w:rPr>
              <w:t xml:space="preserve"> wynosi</w:t>
            </w:r>
            <w:r w:rsidR="00E063F5">
              <w:rPr>
                <w:rFonts w:ascii="Times New Roman" w:hAnsi="Times New Roman"/>
                <w:color w:val="000000"/>
                <w:spacing w:val="-2"/>
              </w:rPr>
              <w:t>ł</w:t>
            </w:r>
            <w:r w:rsidRPr="002D0ED6">
              <w:rPr>
                <w:rFonts w:ascii="Times New Roman" w:hAnsi="Times New Roman"/>
                <w:color w:val="000000"/>
                <w:spacing w:val="-2"/>
              </w:rPr>
              <w:t xml:space="preserve"> co najmniej 21 dni</w:t>
            </w:r>
            <w:r w:rsidR="00E063F5">
              <w:rPr>
                <w:rFonts w:ascii="Times New Roman" w:hAnsi="Times New Roman"/>
                <w:color w:val="000000"/>
                <w:spacing w:val="-2"/>
              </w:rPr>
              <w:t xml:space="preserve"> od dnia otrzymania projektu</w:t>
            </w:r>
            <w:r w:rsidRPr="002D0ED6">
              <w:rPr>
                <w:rFonts w:ascii="Times New Roman" w:hAnsi="Times New Roman"/>
                <w:color w:val="000000"/>
                <w:spacing w:val="-2"/>
              </w:rPr>
              <w:t>.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40A8341E" w14:textId="77777777" w:rsidR="00952C6D" w:rsidRDefault="00952C6D" w:rsidP="00952C6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12A79344" w14:textId="211EFE92" w:rsidR="00952C6D" w:rsidRPr="00525098" w:rsidRDefault="008A73D2" w:rsidP="00952C6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Projekt został</w:t>
            </w:r>
            <w:r w:rsidR="00952C6D">
              <w:rPr>
                <w:rFonts w:ascii="Times New Roman" w:hAnsi="Times New Roman"/>
                <w:color w:val="000000"/>
                <w:spacing w:val="-2"/>
              </w:rPr>
              <w:t xml:space="preserve"> również przekazany do zaopiniowania przez Komisję Wspólną Rządu i Samorządu Terytorialnego.</w:t>
            </w:r>
          </w:p>
          <w:p w14:paraId="2A7188F5" w14:textId="77777777" w:rsidR="00D02A1A" w:rsidRPr="00B37C80" w:rsidRDefault="00D02A1A" w:rsidP="0052509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D02A1A" w:rsidRPr="008B4FE6" w14:paraId="6C932D7A" w14:textId="77777777" w:rsidTr="006E43A6">
        <w:trPr>
          <w:trHeight w:val="363"/>
        </w:trPr>
        <w:tc>
          <w:tcPr>
            <w:tcW w:w="10876" w:type="dxa"/>
            <w:gridSpan w:val="28"/>
            <w:shd w:val="clear" w:color="auto" w:fill="99CCFF"/>
            <w:vAlign w:val="center"/>
          </w:tcPr>
          <w:p w14:paraId="72C43787" w14:textId="77777777" w:rsidR="00D02A1A" w:rsidRPr="008B4FE6" w:rsidRDefault="00D02A1A" w:rsidP="0072636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D02A1A" w:rsidRPr="008B4FE6" w14:paraId="7C0A8EC1" w14:textId="77777777" w:rsidTr="006E43A6">
        <w:trPr>
          <w:trHeight w:val="142"/>
        </w:trPr>
        <w:tc>
          <w:tcPr>
            <w:tcW w:w="3403" w:type="dxa"/>
            <w:gridSpan w:val="2"/>
            <w:vMerge w:val="restart"/>
            <w:shd w:val="clear" w:color="auto" w:fill="FFFFFF"/>
          </w:tcPr>
          <w:p w14:paraId="65448FD6" w14:textId="3CA779B6" w:rsidR="00D02A1A" w:rsidRPr="00952C6D" w:rsidRDefault="00952C6D" w:rsidP="00821717">
            <w:pPr>
              <w:spacing w:before="40" w:after="4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52C6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Ceny stałe z 2020 r. </w:t>
            </w:r>
          </w:p>
        </w:tc>
        <w:tc>
          <w:tcPr>
            <w:tcW w:w="7473" w:type="dxa"/>
            <w:gridSpan w:val="26"/>
            <w:shd w:val="clear" w:color="auto" w:fill="FFFFFF"/>
          </w:tcPr>
          <w:p w14:paraId="124F01F3" w14:textId="77777777" w:rsidR="00D02A1A" w:rsidRPr="00C53F26" w:rsidRDefault="00D02A1A" w:rsidP="00260F33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Skutki w okresie 10 lat od wejścia w życie zmian [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mln </w:t>
            </w: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zł]</w:t>
            </w:r>
          </w:p>
        </w:tc>
      </w:tr>
      <w:tr w:rsidR="008812C4" w:rsidRPr="008B4FE6" w14:paraId="710A8D4A" w14:textId="77777777" w:rsidTr="00A31614">
        <w:trPr>
          <w:trHeight w:val="142"/>
        </w:trPr>
        <w:tc>
          <w:tcPr>
            <w:tcW w:w="3403" w:type="dxa"/>
            <w:gridSpan w:val="2"/>
            <w:vMerge/>
            <w:shd w:val="clear" w:color="auto" w:fill="FFFFFF"/>
          </w:tcPr>
          <w:p w14:paraId="3C138D41" w14:textId="77777777" w:rsidR="00D02A1A" w:rsidRPr="00C53F26" w:rsidRDefault="00D02A1A" w:rsidP="00A52AD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551EDC4A" w14:textId="77777777" w:rsidR="00D02A1A" w:rsidRPr="00C53F26" w:rsidRDefault="00D02A1A" w:rsidP="0024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1BF5EF62" w14:textId="77777777" w:rsidR="00D02A1A" w:rsidRPr="00C53F26" w:rsidRDefault="00D02A1A" w:rsidP="0024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4ED36AD" w14:textId="77777777" w:rsidR="00D02A1A" w:rsidRPr="00C53F26" w:rsidRDefault="00D02A1A" w:rsidP="0024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5B576DE7" w14:textId="77777777" w:rsidR="00D02A1A" w:rsidRPr="00C53F26" w:rsidRDefault="00D02A1A" w:rsidP="0024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14:paraId="442015B4" w14:textId="77777777" w:rsidR="00D02A1A" w:rsidRPr="00C53F26" w:rsidRDefault="00D02A1A" w:rsidP="0024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DED6B9E" w14:textId="77777777" w:rsidR="00D02A1A" w:rsidRPr="00C53F26" w:rsidRDefault="00D02A1A" w:rsidP="0024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38463BFB" w14:textId="77777777" w:rsidR="00D02A1A" w:rsidRPr="00C53F26" w:rsidRDefault="00D02A1A" w:rsidP="0024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7977CCC5" w14:textId="77777777" w:rsidR="00D02A1A" w:rsidRPr="00C53F26" w:rsidRDefault="00D02A1A" w:rsidP="0024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631" w:type="dxa"/>
            <w:gridSpan w:val="3"/>
            <w:shd w:val="clear" w:color="auto" w:fill="FFFFFF"/>
            <w:vAlign w:val="center"/>
          </w:tcPr>
          <w:p w14:paraId="03F79170" w14:textId="77777777" w:rsidR="00D02A1A" w:rsidRPr="00C53F26" w:rsidRDefault="00D02A1A" w:rsidP="0024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4B933081" w14:textId="77777777" w:rsidR="00D02A1A" w:rsidRPr="00C53F26" w:rsidRDefault="00D02A1A" w:rsidP="0024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68B8B541" w14:textId="77777777" w:rsidR="00D02A1A" w:rsidRPr="00C53F26" w:rsidRDefault="00D02A1A" w:rsidP="0024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110E6A23" w14:textId="77777777" w:rsidR="00D02A1A" w:rsidRPr="0057341B" w:rsidRDefault="00D02A1A" w:rsidP="00242068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18"/>
                <w:szCs w:val="18"/>
              </w:rPr>
            </w:pPr>
            <w:r w:rsidRPr="0057341B">
              <w:rPr>
                <w:rFonts w:ascii="Times New Roman" w:hAnsi="Times New Roman"/>
                <w:i/>
                <w:color w:val="000000"/>
                <w:spacing w:val="-2"/>
                <w:sz w:val="18"/>
                <w:szCs w:val="18"/>
              </w:rPr>
              <w:t>Łącznie (0-10)</w:t>
            </w:r>
          </w:p>
        </w:tc>
      </w:tr>
      <w:tr w:rsidR="008812C4" w:rsidRPr="008B4FE6" w14:paraId="3950E7FE" w14:textId="77777777" w:rsidTr="00A31614">
        <w:trPr>
          <w:trHeight w:val="321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3CDB4226" w14:textId="77777777" w:rsidR="005A0DFE" w:rsidRPr="00C53F26" w:rsidRDefault="005A0DF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428585CB" w14:textId="77777777" w:rsidR="005A0DFE" w:rsidRPr="007D20DC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20DC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176A9C5B" w14:textId="77777777" w:rsidR="005A0DFE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FFD2034" w14:textId="77777777" w:rsidR="005A0DFE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5CC9603A" w14:textId="77777777" w:rsidR="005A0DFE" w:rsidRPr="005A0DFE" w:rsidRDefault="006E43A6" w:rsidP="006E43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14:paraId="347D7C4B" w14:textId="77777777" w:rsidR="005A0DFE" w:rsidRPr="005A0DFE" w:rsidRDefault="006E43A6" w:rsidP="006E43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162050" w14:textId="77777777" w:rsidR="005A0DFE" w:rsidRPr="005A0DFE" w:rsidRDefault="006E43A6" w:rsidP="006E43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64E27972" w14:textId="77777777" w:rsidR="005A0DFE" w:rsidRPr="005A0DFE" w:rsidRDefault="006E43A6" w:rsidP="006E43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5F5A0931" w14:textId="77777777" w:rsidR="005A0DFE" w:rsidRPr="005A0DFE" w:rsidRDefault="006E43A6" w:rsidP="006E43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31" w:type="dxa"/>
            <w:gridSpan w:val="3"/>
            <w:shd w:val="clear" w:color="auto" w:fill="FFFFFF"/>
            <w:vAlign w:val="center"/>
          </w:tcPr>
          <w:p w14:paraId="1C1F8388" w14:textId="77777777" w:rsidR="005A0DFE" w:rsidRPr="005A0DFE" w:rsidRDefault="006E43A6" w:rsidP="006E43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0005AD03" w14:textId="77777777" w:rsidR="005A0DFE" w:rsidRPr="005A0DFE" w:rsidRDefault="006E43A6" w:rsidP="006E43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74CAECD5" w14:textId="77777777" w:rsidR="005A0DFE" w:rsidRPr="005A0DFE" w:rsidRDefault="006E43A6" w:rsidP="006E43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27EC8FAF" w14:textId="77777777" w:rsidR="005A0DFE" w:rsidRPr="005A0DFE" w:rsidRDefault="006E43A6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8812C4" w:rsidRPr="008B4FE6" w14:paraId="2417ADC1" w14:textId="77777777" w:rsidTr="00A31614">
        <w:trPr>
          <w:trHeight w:val="321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6FE0D6AF" w14:textId="77777777" w:rsidR="00D02A1A" w:rsidRPr="00C53F26" w:rsidRDefault="00D02A1A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1F98E87E" w14:textId="77777777" w:rsidR="00D02A1A" w:rsidRPr="007D20DC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20DC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481BF96C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43C814B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50390B03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14:paraId="37685A2B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57E290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7B9B77F7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16562DC7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31" w:type="dxa"/>
            <w:gridSpan w:val="3"/>
            <w:shd w:val="clear" w:color="auto" w:fill="FFFFFF"/>
            <w:vAlign w:val="center"/>
          </w:tcPr>
          <w:p w14:paraId="0326E644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065C704F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234D439F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6627E8B7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-</w:t>
            </w:r>
          </w:p>
        </w:tc>
      </w:tr>
      <w:tr w:rsidR="008812C4" w:rsidRPr="008B4FE6" w14:paraId="698257EB" w14:textId="77777777" w:rsidTr="00A31614">
        <w:trPr>
          <w:trHeight w:val="344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3B718B3F" w14:textId="77777777" w:rsidR="00D02A1A" w:rsidRPr="00C53F26" w:rsidRDefault="00D02A1A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0DF7CA54" w14:textId="77777777" w:rsidR="00D02A1A" w:rsidRPr="007D20DC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20DC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7619B534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349910A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484DFDEE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14:paraId="7313705F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BCACF57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3E812CEC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7CA53E49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31" w:type="dxa"/>
            <w:gridSpan w:val="3"/>
            <w:shd w:val="clear" w:color="auto" w:fill="FFFFFF"/>
            <w:vAlign w:val="center"/>
          </w:tcPr>
          <w:p w14:paraId="6A536D94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1D9FB8BC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137EC257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00F2465F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8812C4" w:rsidRPr="008B4FE6" w14:paraId="4C3B38AB" w14:textId="77777777" w:rsidTr="00A31614">
        <w:trPr>
          <w:trHeight w:val="344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4873AF0F" w14:textId="77777777" w:rsidR="00D02A1A" w:rsidRPr="00C53F26" w:rsidRDefault="00D02A1A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190FABD7" w14:textId="77777777" w:rsidR="00D02A1A" w:rsidRPr="007D20DC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20DC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09402556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CE4F9A1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774987D3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14:paraId="5AECB10C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550FBE4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4EDC2E32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6FE5223B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31" w:type="dxa"/>
            <w:gridSpan w:val="3"/>
            <w:shd w:val="clear" w:color="auto" w:fill="FFFFFF"/>
            <w:vAlign w:val="center"/>
          </w:tcPr>
          <w:p w14:paraId="445F2B1E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1205F724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09E6E05F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793A4A24" w14:textId="77777777" w:rsidR="00D02A1A" w:rsidRPr="00B37C80" w:rsidRDefault="008812C4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DB07C6" w:rsidRPr="008B4FE6" w14:paraId="58806827" w14:textId="77777777" w:rsidTr="00A31614">
        <w:trPr>
          <w:trHeight w:val="330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16F9E00D" w14:textId="77777777" w:rsidR="00DB07C6" w:rsidRPr="00C53F26" w:rsidRDefault="00DB07C6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0B1503BB" w14:textId="77777777" w:rsidR="00DB07C6" w:rsidRPr="007D20DC" w:rsidRDefault="00DB07C6" w:rsidP="00DD38E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403CC878" w14:textId="3D039D24" w:rsidR="00DB07C6" w:rsidRPr="00DB07C6" w:rsidRDefault="00DB07C6" w:rsidP="00DD38E8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B07C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6E36B86" w14:textId="4EB03B07" w:rsidR="00DB07C6" w:rsidRPr="00DB07C6" w:rsidRDefault="00DB07C6" w:rsidP="00DD38E8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B07C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0DA0DBE9" w14:textId="59D56A49" w:rsidR="00DB07C6" w:rsidRPr="00DB07C6" w:rsidRDefault="00DB07C6" w:rsidP="00DD38E8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B07C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14:paraId="6F21203B" w14:textId="6B5B5E30" w:rsidR="00DB07C6" w:rsidRPr="00DB07C6" w:rsidRDefault="00DB07C6" w:rsidP="00DD38E8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B07C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31,4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4DE662D" w14:textId="2B395851" w:rsidR="00DB07C6" w:rsidRPr="00DB07C6" w:rsidRDefault="00DB07C6" w:rsidP="00DD38E8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B07C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32,7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4302B82B" w14:textId="51FDDF16" w:rsidR="00DB07C6" w:rsidRPr="00DB07C6" w:rsidRDefault="00DB07C6" w:rsidP="00DD38E8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B07C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34,1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5A603212" w14:textId="136429A9" w:rsidR="00DB07C6" w:rsidRPr="00DB07C6" w:rsidRDefault="00DB07C6" w:rsidP="00DD38E8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B07C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35,4</w:t>
            </w:r>
          </w:p>
        </w:tc>
        <w:tc>
          <w:tcPr>
            <w:tcW w:w="631" w:type="dxa"/>
            <w:gridSpan w:val="3"/>
            <w:shd w:val="clear" w:color="auto" w:fill="FFFFFF"/>
            <w:vAlign w:val="center"/>
          </w:tcPr>
          <w:p w14:paraId="376DBE52" w14:textId="049EE3A2" w:rsidR="00DB07C6" w:rsidRPr="00DB07C6" w:rsidRDefault="00DB07C6" w:rsidP="00DD38E8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B07C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36,8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082B2B35" w14:textId="5E8F69E8" w:rsidR="00DB07C6" w:rsidRPr="00DB07C6" w:rsidRDefault="00DB07C6" w:rsidP="00DD38E8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B07C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38,1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7B253471" w14:textId="3EDEE1FE" w:rsidR="00DB07C6" w:rsidRPr="00DB07C6" w:rsidRDefault="00DB07C6" w:rsidP="00DD38E8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B07C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39,5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5D59C8FD" w14:textId="079098A8" w:rsidR="00DB07C6" w:rsidRPr="00DB07C6" w:rsidRDefault="00DB07C6" w:rsidP="00DD38E8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B07C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314,5</w:t>
            </w:r>
          </w:p>
        </w:tc>
      </w:tr>
      <w:tr w:rsidR="002A4A9E" w:rsidRPr="008B4FE6" w14:paraId="0BED99FB" w14:textId="77777777" w:rsidTr="00A31614">
        <w:trPr>
          <w:trHeight w:val="330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51287CA1" w14:textId="77777777" w:rsidR="002A4A9E" w:rsidRPr="00C53F26" w:rsidRDefault="002A4A9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19420BE0" w14:textId="77777777" w:rsidR="002A4A9E" w:rsidRPr="007D20DC" w:rsidRDefault="002A4A9E" w:rsidP="00DD3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20DC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15CE4C9F" w14:textId="40916D72" w:rsidR="002A4A9E" w:rsidRPr="00F1191F" w:rsidRDefault="002A4A9E" w:rsidP="002A4A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65E24BD" w14:textId="26209272" w:rsidR="002A4A9E" w:rsidRPr="00F1191F" w:rsidRDefault="002A4A9E" w:rsidP="002A4A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04B42A40" w14:textId="2E7AD20C" w:rsidR="002A4A9E" w:rsidRPr="00F1191F" w:rsidRDefault="002A4A9E" w:rsidP="002A4A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14:paraId="0EC58696" w14:textId="38D8EA5B" w:rsidR="002A4A9E" w:rsidRPr="00F1191F" w:rsidRDefault="002A4A9E" w:rsidP="002A4A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31,4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C8D7D9" w14:textId="74A37049" w:rsidR="002A4A9E" w:rsidRPr="00F1191F" w:rsidRDefault="002A4A9E" w:rsidP="002A4A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32,7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160D71E2" w14:textId="3D178872" w:rsidR="002A4A9E" w:rsidRPr="00F1191F" w:rsidRDefault="002A4A9E" w:rsidP="002A4A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34,1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1CD69A9C" w14:textId="4ADA54DB" w:rsidR="002A4A9E" w:rsidRPr="00F1191F" w:rsidRDefault="002A4A9E" w:rsidP="002A4A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35,4</w:t>
            </w:r>
          </w:p>
        </w:tc>
        <w:tc>
          <w:tcPr>
            <w:tcW w:w="631" w:type="dxa"/>
            <w:gridSpan w:val="3"/>
            <w:shd w:val="clear" w:color="auto" w:fill="FFFFFF"/>
            <w:vAlign w:val="center"/>
          </w:tcPr>
          <w:p w14:paraId="6FF60C4A" w14:textId="34F62E6D" w:rsidR="002A4A9E" w:rsidRPr="00F1191F" w:rsidRDefault="002A4A9E" w:rsidP="002A4A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36,8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4D4266DF" w14:textId="635FCF68" w:rsidR="002A4A9E" w:rsidRPr="00F1191F" w:rsidRDefault="002A4A9E" w:rsidP="002A4A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38,1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077159BF" w14:textId="6DA4B161" w:rsidR="002A4A9E" w:rsidRPr="00F1191F" w:rsidRDefault="002A4A9E" w:rsidP="002A4A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39,5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228CBAF9" w14:textId="7C58C246" w:rsidR="002A4A9E" w:rsidRPr="00F1191F" w:rsidRDefault="002A4A9E" w:rsidP="002A4A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314,5</w:t>
            </w:r>
          </w:p>
        </w:tc>
      </w:tr>
      <w:tr w:rsidR="002A4A9E" w:rsidRPr="008B4FE6" w14:paraId="1FCB2E19" w14:textId="77777777" w:rsidTr="00A31614">
        <w:trPr>
          <w:trHeight w:val="330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3538FC83" w14:textId="77777777" w:rsidR="002A4A9E" w:rsidRPr="00DD38E8" w:rsidRDefault="002A4A9E" w:rsidP="00C53F26">
            <w:pPr>
              <w:spacing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DD38E8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w tym dopłaty do czynsz</w:t>
            </w: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u</w:t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663C0E9F" w14:textId="77777777" w:rsidR="002A4A9E" w:rsidRPr="007D20DC" w:rsidRDefault="002A4A9E" w:rsidP="002A4A9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20DC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2909CC38" w14:textId="5DA5A15E" w:rsidR="002A4A9E" w:rsidRPr="00361D2E" w:rsidRDefault="008B01EF" w:rsidP="002A4A9E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7D20DC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7EC4DBE" w14:textId="46000BDC" w:rsidR="002A4A9E" w:rsidRPr="00361D2E" w:rsidRDefault="008B01EF" w:rsidP="002A4A9E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7D20DC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3F6F6437" w14:textId="4C803B99" w:rsidR="002A4A9E" w:rsidRPr="00361D2E" w:rsidRDefault="002A4A9E" w:rsidP="002A4A9E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14:paraId="2F6464ED" w14:textId="4AF4E4C9" w:rsidR="002A4A9E" w:rsidRPr="00361D2E" w:rsidRDefault="002A4A9E" w:rsidP="002A4A9E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80B4DC" w14:textId="77777777" w:rsidR="002A4A9E" w:rsidRPr="00361D2E" w:rsidRDefault="002A4A9E" w:rsidP="002A4A9E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19A730D1" w14:textId="4B7A6B4D" w:rsidR="002A4A9E" w:rsidRPr="00361D2E" w:rsidRDefault="002A4A9E" w:rsidP="002A4A9E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4,1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3E08940C" w14:textId="77777777" w:rsidR="002A4A9E" w:rsidRPr="00361D2E" w:rsidRDefault="002A4A9E" w:rsidP="002A4A9E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5,4</w:t>
            </w:r>
          </w:p>
        </w:tc>
        <w:tc>
          <w:tcPr>
            <w:tcW w:w="631" w:type="dxa"/>
            <w:gridSpan w:val="3"/>
            <w:shd w:val="clear" w:color="auto" w:fill="FFFFFF"/>
            <w:vAlign w:val="center"/>
          </w:tcPr>
          <w:p w14:paraId="6A246D31" w14:textId="6DBEB721" w:rsidR="002A4A9E" w:rsidRPr="00361D2E" w:rsidRDefault="002A4A9E" w:rsidP="002A4A9E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6,8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127DF307" w14:textId="77777777" w:rsidR="002A4A9E" w:rsidRPr="00361D2E" w:rsidRDefault="002A4A9E" w:rsidP="002A4A9E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8,1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04E1218C" w14:textId="47C2A24D" w:rsidR="002A4A9E" w:rsidRPr="00361D2E" w:rsidRDefault="002A4A9E" w:rsidP="002A4A9E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9,5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4BD0AEB5" w14:textId="7421F65B" w:rsidR="002A4A9E" w:rsidRPr="00361D2E" w:rsidRDefault="002A4A9E" w:rsidP="002A4A9E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38,5</w:t>
            </w:r>
          </w:p>
        </w:tc>
      </w:tr>
      <w:tr w:rsidR="002A4A9E" w:rsidRPr="008B4FE6" w14:paraId="3AD8E256" w14:textId="77777777" w:rsidTr="00A31614">
        <w:trPr>
          <w:trHeight w:val="330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50B42E7A" w14:textId="77777777" w:rsidR="002A4A9E" w:rsidRPr="00DD38E8" w:rsidRDefault="002A4A9E" w:rsidP="00C53F26">
            <w:pPr>
              <w:spacing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DD38E8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w tym dofinansowanie infrastruktury</w:t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2B67DD68" w14:textId="77777777" w:rsidR="002A4A9E" w:rsidRPr="007D20DC" w:rsidRDefault="002A4A9E" w:rsidP="002A4A9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20DC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4AA5A583" w14:textId="783A626D" w:rsidR="002A4A9E" w:rsidRPr="00361D2E" w:rsidRDefault="002A4A9E" w:rsidP="002A4A9E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FCB7E69" w14:textId="72DEF0D9" w:rsidR="002A4A9E" w:rsidRPr="00361D2E" w:rsidRDefault="002A4A9E" w:rsidP="002A4A9E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4CBD6A98" w14:textId="6DCA9B68" w:rsidR="002A4A9E" w:rsidRPr="00361D2E" w:rsidRDefault="002A4A9E" w:rsidP="002A4A9E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14:paraId="19AF2B01" w14:textId="10B8D840" w:rsidR="002A4A9E" w:rsidRPr="00361D2E" w:rsidRDefault="002A4A9E" w:rsidP="002A4A9E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117A69" w14:textId="1E4CBF48" w:rsidR="002A4A9E" w:rsidRPr="00361D2E" w:rsidRDefault="002A4A9E" w:rsidP="002A4A9E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6991FF0F" w14:textId="0152F132" w:rsidR="002A4A9E" w:rsidRPr="00361D2E" w:rsidRDefault="002A4A9E" w:rsidP="002A4A9E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20F2D877" w14:textId="65FBBBF1" w:rsidR="002A4A9E" w:rsidRPr="00361D2E" w:rsidRDefault="002A4A9E" w:rsidP="002A4A9E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1" w:type="dxa"/>
            <w:gridSpan w:val="3"/>
            <w:shd w:val="clear" w:color="auto" w:fill="FFFFFF"/>
            <w:vAlign w:val="center"/>
          </w:tcPr>
          <w:p w14:paraId="1F6703EE" w14:textId="0565EFE9" w:rsidR="002A4A9E" w:rsidRPr="00361D2E" w:rsidRDefault="002A4A9E" w:rsidP="002A4A9E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4E0E8BDD" w14:textId="32B1770A" w:rsidR="002A4A9E" w:rsidRPr="00361D2E" w:rsidRDefault="002A4A9E" w:rsidP="002A4A9E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1F18854A" w14:textId="5D3099B7" w:rsidR="002A4A9E" w:rsidRPr="00361D2E" w:rsidRDefault="002A4A9E" w:rsidP="002A4A9E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0ABE1FDC" w14:textId="31894CBF" w:rsidR="002A4A9E" w:rsidRPr="00361D2E" w:rsidRDefault="002A4A9E" w:rsidP="002A4A9E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276</w:t>
            </w:r>
          </w:p>
        </w:tc>
      </w:tr>
      <w:tr w:rsidR="001E7455" w:rsidRPr="008B4FE6" w14:paraId="0F121E97" w14:textId="77777777" w:rsidTr="00A31614">
        <w:trPr>
          <w:trHeight w:val="351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2D6FC58D" w14:textId="77777777" w:rsidR="001E7455" w:rsidRPr="00C53F26" w:rsidRDefault="001E7455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JST</w:t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33FA7090" w14:textId="77777777" w:rsidR="001E7455" w:rsidRPr="007D20DC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20DC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29BD22F3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7F28790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0E477D80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14:paraId="67A65756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3717527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62A83D1F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6B3DB416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31" w:type="dxa"/>
            <w:gridSpan w:val="3"/>
            <w:shd w:val="clear" w:color="auto" w:fill="FFFFFF"/>
            <w:vAlign w:val="center"/>
          </w:tcPr>
          <w:p w14:paraId="3932AA6D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67C0E9F1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6EDBB44A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7DA070BE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1E7455" w:rsidRPr="008B4FE6" w14:paraId="7B159C9A" w14:textId="77777777" w:rsidTr="00A31614">
        <w:trPr>
          <w:trHeight w:val="351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452C3A2E" w14:textId="77777777" w:rsidR="001E7455" w:rsidRPr="00C53F26" w:rsidRDefault="001E7455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4CC0E0CF" w14:textId="77777777" w:rsidR="001E7455" w:rsidRPr="007D20DC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20DC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1E7D46D5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71326DB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44C6725B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14:paraId="0C1DDBE3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894A3C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5DF1D788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21E66070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31" w:type="dxa"/>
            <w:gridSpan w:val="3"/>
            <w:shd w:val="clear" w:color="auto" w:fill="FFFFFF"/>
            <w:vAlign w:val="center"/>
          </w:tcPr>
          <w:p w14:paraId="1E0E6EF9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2AC40878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3D85BE68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4EE67B50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DB07C6" w:rsidRPr="008B4FE6" w14:paraId="71DF9AA4" w14:textId="77777777" w:rsidTr="00327396">
        <w:trPr>
          <w:trHeight w:val="360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0725B968" w14:textId="77777777" w:rsidR="00DB07C6" w:rsidRPr="00C53F26" w:rsidRDefault="00DB07C6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4D468F31" w14:textId="77777777" w:rsidR="00DB07C6" w:rsidRPr="00DD38E8" w:rsidRDefault="00DB07C6" w:rsidP="00DD3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26F01E6C" w14:textId="3DCF42B4" w:rsidR="00DB07C6" w:rsidRPr="00A31614" w:rsidRDefault="00DB07C6" w:rsidP="00327396">
            <w:pPr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A316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4CBE3FB" w14:textId="533EC1C4" w:rsidR="00DB07C6" w:rsidRPr="00A31614" w:rsidRDefault="00DB07C6" w:rsidP="00327396">
            <w:pPr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A316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-22,5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7CF610B6" w14:textId="299C55E5" w:rsidR="00DB07C6" w:rsidRPr="00A31614" w:rsidRDefault="00DB07C6" w:rsidP="00327396">
            <w:pPr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A316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-26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14:paraId="06EC11FA" w14:textId="31EBE17C" w:rsidR="00DB07C6" w:rsidRPr="00A31614" w:rsidRDefault="00DB07C6" w:rsidP="00327396">
            <w:pPr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A316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-31,4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7A610A" w14:textId="41362BE3" w:rsidR="00DB07C6" w:rsidRPr="00A31614" w:rsidRDefault="00DB07C6" w:rsidP="00327396">
            <w:pPr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A316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-32,7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56E97F78" w14:textId="3E9E6F09" w:rsidR="00DB07C6" w:rsidRPr="00A31614" w:rsidRDefault="00DB07C6" w:rsidP="00327396">
            <w:pPr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A316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-34,1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56CBF955" w14:textId="5F167805" w:rsidR="00DB07C6" w:rsidRPr="00A31614" w:rsidRDefault="00DB07C6" w:rsidP="00327396">
            <w:pPr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A316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-35,4</w:t>
            </w:r>
          </w:p>
        </w:tc>
        <w:tc>
          <w:tcPr>
            <w:tcW w:w="631" w:type="dxa"/>
            <w:gridSpan w:val="3"/>
            <w:shd w:val="clear" w:color="auto" w:fill="FFFFFF"/>
            <w:vAlign w:val="center"/>
          </w:tcPr>
          <w:p w14:paraId="6A290A71" w14:textId="376CD41A" w:rsidR="00DB07C6" w:rsidRPr="00A31614" w:rsidRDefault="00DB07C6" w:rsidP="00327396">
            <w:pPr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A316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-36,8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438285B7" w14:textId="6511C60E" w:rsidR="00DB07C6" w:rsidRPr="00A31614" w:rsidRDefault="00DB07C6" w:rsidP="00327396">
            <w:pPr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A316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-38,1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01509035" w14:textId="3E75FF8B" w:rsidR="00DB07C6" w:rsidRPr="00A31614" w:rsidRDefault="00AE3742" w:rsidP="00327396">
            <w:pPr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  <w:r w:rsidR="00DB07C6" w:rsidRPr="00A316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39,5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0AB8E2C0" w14:textId="0828D967" w:rsidR="00DB07C6" w:rsidRPr="00A31614" w:rsidRDefault="00AE3742" w:rsidP="00327396">
            <w:pPr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  <w:r w:rsidR="00DB07C6" w:rsidRPr="00A316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314,5</w:t>
            </w:r>
          </w:p>
        </w:tc>
      </w:tr>
      <w:tr w:rsidR="00DB07C6" w:rsidRPr="008B4FE6" w14:paraId="67C484E0" w14:textId="77777777" w:rsidTr="00327396">
        <w:trPr>
          <w:trHeight w:val="360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2A3C8871" w14:textId="77777777" w:rsidR="00DB07C6" w:rsidRPr="00C53F26" w:rsidRDefault="00DB07C6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6F4B26D9" w14:textId="77777777" w:rsidR="00DB07C6" w:rsidRPr="00DD38E8" w:rsidRDefault="00DB07C6" w:rsidP="00DD3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311E3DD5" w14:textId="08439F46" w:rsidR="00DB07C6" w:rsidRPr="00327396" w:rsidRDefault="00DB07C6" w:rsidP="00327396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2739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327396" w:rsidRPr="00327396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036D68A" w14:textId="79F9EF47" w:rsidR="00DB07C6" w:rsidRPr="00DD38E8" w:rsidRDefault="00DB07C6" w:rsidP="00327396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02D154E3" w14:textId="045D5FB2" w:rsidR="00DB07C6" w:rsidRPr="00DD38E8" w:rsidRDefault="00DB07C6" w:rsidP="00327396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14:paraId="33B2398B" w14:textId="0D2CEE88" w:rsidR="00DB07C6" w:rsidRPr="00DD38E8" w:rsidRDefault="00DB07C6" w:rsidP="00327396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31,4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756625D" w14:textId="0FC79A18" w:rsidR="00DB07C6" w:rsidRPr="00DD38E8" w:rsidRDefault="00DB07C6" w:rsidP="00327396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32,7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2808649A" w14:textId="776F5784" w:rsidR="00DB07C6" w:rsidRPr="00DD38E8" w:rsidRDefault="00DB07C6" w:rsidP="00327396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34,1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6508211D" w14:textId="057D6A21" w:rsidR="00DB07C6" w:rsidRPr="00DD38E8" w:rsidRDefault="00DB07C6" w:rsidP="00327396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35,4</w:t>
            </w:r>
          </w:p>
        </w:tc>
        <w:tc>
          <w:tcPr>
            <w:tcW w:w="631" w:type="dxa"/>
            <w:gridSpan w:val="3"/>
            <w:shd w:val="clear" w:color="auto" w:fill="FFFFFF"/>
            <w:vAlign w:val="center"/>
          </w:tcPr>
          <w:p w14:paraId="03EB4615" w14:textId="375D1B2D" w:rsidR="00DB07C6" w:rsidRPr="00DD38E8" w:rsidRDefault="00DB07C6" w:rsidP="00327396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36,8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73EC405C" w14:textId="09E8671E" w:rsidR="00DB07C6" w:rsidRPr="00DD38E8" w:rsidRDefault="00DB07C6" w:rsidP="00327396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38,1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496DF41F" w14:textId="5BAC9DA6" w:rsidR="00DB07C6" w:rsidRPr="00DD38E8" w:rsidRDefault="00AE3742" w:rsidP="00327396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DB07C6"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39,5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1A3B15EA" w14:textId="2228EDB5" w:rsidR="00DB07C6" w:rsidRPr="00DD38E8" w:rsidRDefault="00AE3742" w:rsidP="00327396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DB07C6" w:rsidRPr="00F1191F">
              <w:rPr>
                <w:rFonts w:ascii="Times New Roman" w:hAnsi="Times New Roman"/>
                <w:color w:val="000000"/>
                <w:sz w:val="16"/>
                <w:szCs w:val="16"/>
              </w:rPr>
              <w:t>314,5</w:t>
            </w:r>
          </w:p>
        </w:tc>
      </w:tr>
      <w:tr w:rsidR="00DB07C6" w:rsidRPr="008B4FE6" w14:paraId="50EED0BE" w14:textId="77777777" w:rsidTr="00327396">
        <w:trPr>
          <w:trHeight w:val="360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792A8187" w14:textId="77777777" w:rsidR="00DB07C6" w:rsidRPr="00C53F26" w:rsidRDefault="00DB07C6" w:rsidP="00402A8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20DC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w tym dopłaty do czynszu</w:t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6EB8176B" w14:textId="5A438B09" w:rsidR="00DB07C6" w:rsidRPr="00DD38E8" w:rsidRDefault="00E063F5" w:rsidP="00DD3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27675BFC" w14:textId="77777777" w:rsidR="00DB07C6" w:rsidRPr="00DD38E8" w:rsidRDefault="00DB07C6" w:rsidP="00327396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3408C9E" w14:textId="77777777" w:rsidR="00DB07C6" w:rsidRPr="00DD38E8" w:rsidRDefault="00DB07C6" w:rsidP="00327396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1E5F5A79" w14:textId="07325DD9" w:rsidR="00DB07C6" w:rsidRPr="00DD38E8" w:rsidRDefault="00DB07C6" w:rsidP="00327396">
            <w:pPr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14:paraId="4B1E9BF6" w14:textId="324700B6" w:rsidR="00DB07C6" w:rsidRPr="00DD38E8" w:rsidRDefault="00DB07C6" w:rsidP="00327396">
            <w:pPr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521B8F" w14:textId="68F30667" w:rsidR="00DB07C6" w:rsidRPr="00DD38E8" w:rsidRDefault="00DB07C6" w:rsidP="00327396">
            <w:pPr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18F82C12" w14:textId="4E4997C6" w:rsidR="00DB07C6" w:rsidRPr="00DD38E8" w:rsidRDefault="00DB07C6" w:rsidP="00327396">
            <w:pPr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4,1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03BF7068" w14:textId="78507885" w:rsidR="00DB07C6" w:rsidRPr="00DD38E8" w:rsidRDefault="00DB07C6" w:rsidP="00327396">
            <w:pPr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5,4</w:t>
            </w:r>
          </w:p>
        </w:tc>
        <w:tc>
          <w:tcPr>
            <w:tcW w:w="631" w:type="dxa"/>
            <w:gridSpan w:val="3"/>
            <w:shd w:val="clear" w:color="auto" w:fill="FFFFFF"/>
            <w:vAlign w:val="center"/>
          </w:tcPr>
          <w:p w14:paraId="6247EC4B" w14:textId="422C6E3E" w:rsidR="00DB07C6" w:rsidRPr="00DD38E8" w:rsidRDefault="00DB07C6" w:rsidP="00327396">
            <w:pPr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6,8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7C40E105" w14:textId="3D8E17F7" w:rsidR="00DB07C6" w:rsidRPr="00DD38E8" w:rsidRDefault="00DB07C6" w:rsidP="00327396">
            <w:pPr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8,1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60056C9C" w14:textId="3F63331C" w:rsidR="00DB07C6" w:rsidRPr="00DD38E8" w:rsidRDefault="00AE3742" w:rsidP="00327396">
            <w:pPr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="00DB07C6"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9,5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4B2476CF" w14:textId="1733EF74" w:rsidR="00DB07C6" w:rsidRPr="00F1191F" w:rsidRDefault="00AE3742" w:rsidP="00327396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="00DB07C6"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38,5</w:t>
            </w:r>
          </w:p>
        </w:tc>
      </w:tr>
      <w:tr w:rsidR="00327396" w:rsidRPr="008B4FE6" w14:paraId="57E0490B" w14:textId="77777777" w:rsidTr="00327396">
        <w:trPr>
          <w:trHeight w:val="360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74CAF84A" w14:textId="77777777" w:rsidR="00327396" w:rsidRPr="00C53F26" w:rsidRDefault="00327396" w:rsidP="00402A8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20DC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w tym dofinansowanie infrastruktury</w:t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29A424F9" w14:textId="7EE551A6" w:rsidR="00327396" w:rsidRPr="00DD38E8" w:rsidRDefault="00E063F5" w:rsidP="00DD3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192B2220" w14:textId="7825BAF8" w:rsidR="00327396" w:rsidRPr="00DD38E8" w:rsidRDefault="00327396" w:rsidP="00327396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6C8EBE9" w14:textId="5A82AD75" w:rsidR="00327396" w:rsidRPr="00DD38E8" w:rsidRDefault="00327396" w:rsidP="00327396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050F0BA9" w14:textId="62455AF6" w:rsidR="00327396" w:rsidRPr="00DD38E8" w:rsidRDefault="00327396" w:rsidP="00327396">
            <w:pPr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14:paraId="2D3F06D9" w14:textId="19BF7A11" w:rsidR="00327396" w:rsidRPr="00DD38E8" w:rsidRDefault="00327396" w:rsidP="00327396">
            <w:pPr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5F66C00" w14:textId="61BAAAD3" w:rsidR="00327396" w:rsidRPr="00DD38E8" w:rsidRDefault="00327396" w:rsidP="00327396">
            <w:pPr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399A2C8B" w14:textId="513859E3" w:rsidR="00327396" w:rsidRPr="00DD38E8" w:rsidRDefault="00327396" w:rsidP="00327396">
            <w:pPr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6AABA397" w14:textId="79DD2F41" w:rsidR="00327396" w:rsidRPr="00DD38E8" w:rsidRDefault="00327396" w:rsidP="00327396">
            <w:pPr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1" w:type="dxa"/>
            <w:gridSpan w:val="3"/>
            <w:shd w:val="clear" w:color="auto" w:fill="FFFFFF"/>
            <w:vAlign w:val="center"/>
          </w:tcPr>
          <w:p w14:paraId="55AFC28D" w14:textId="356ACFFE" w:rsidR="00327396" w:rsidRPr="00DD38E8" w:rsidRDefault="00327396" w:rsidP="00327396">
            <w:pPr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52C78E3D" w14:textId="5DBA1505" w:rsidR="00327396" w:rsidRPr="00DD38E8" w:rsidRDefault="00327396" w:rsidP="00327396">
            <w:pPr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4CA88D08" w14:textId="46C5412D" w:rsidR="00327396" w:rsidRPr="00DD38E8" w:rsidRDefault="00327396" w:rsidP="00327396">
            <w:pPr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793741B2" w14:textId="18622574" w:rsidR="00327396" w:rsidRPr="00DD38E8" w:rsidRDefault="00327396" w:rsidP="00327396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Pr="00361D2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276</w:t>
            </w:r>
          </w:p>
        </w:tc>
      </w:tr>
      <w:tr w:rsidR="001E7455" w:rsidRPr="008B4FE6" w14:paraId="1938A437" w14:textId="77777777" w:rsidTr="00A31614">
        <w:trPr>
          <w:trHeight w:val="357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525EFCBE" w14:textId="77777777" w:rsidR="001E7455" w:rsidRPr="00C53F26" w:rsidRDefault="001E7455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2112E562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6CF6AAB4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DFFADE1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64BE7F8E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14:paraId="7B305D39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755077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749CA956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39194CB7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31" w:type="dxa"/>
            <w:gridSpan w:val="3"/>
            <w:shd w:val="clear" w:color="auto" w:fill="FFFFFF"/>
            <w:vAlign w:val="center"/>
          </w:tcPr>
          <w:p w14:paraId="1AA0E7B8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29E62C27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7E389162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5B2E45CD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1E7455" w:rsidRPr="008B4FE6" w14:paraId="30E54EA9" w14:textId="77777777" w:rsidTr="00A31614">
        <w:trPr>
          <w:trHeight w:val="357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2D00842F" w14:textId="77777777" w:rsidR="001E7455" w:rsidRPr="00C53F26" w:rsidRDefault="001E7455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07DBCD61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1662AE99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2D0EB70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03E508F3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14:paraId="0494FCEA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2B75E0B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2F9FBF50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1E7B2872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31" w:type="dxa"/>
            <w:gridSpan w:val="3"/>
            <w:shd w:val="clear" w:color="auto" w:fill="FFFFFF"/>
            <w:vAlign w:val="center"/>
          </w:tcPr>
          <w:p w14:paraId="75CB62B8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16972DB9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06" w:type="dxa"/>
            <w:gridSpan w:val="2"/>
            <w:shd w:val="clear" w:color="auto" w:fill="FFFFFF"/>
            <w:vAlign w:val="center"/>
          </w:tcPr>
          <w:p w14:paraId="40C1D5DE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6736804F" w14:textId="77777777" w:rsidR="001E7455" w:rsidRPr="00B37C80" w:rsidRDefault="001E7455" w:rsidP="006E43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1E7455" w:rsidRPr="008B4FE6" w14:paraId="3E98920B" w14:textId="77777777" w:rsidTr="006E43A6">
        <w:trPr>
          <w:trHeight w:val="348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68077BD0" w14:textId="77777777" w:rsidR="001E7455" w:rsidRPr="00C53F26" w:rsidRDefault="001E7455" w:rsidP="005741EE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7473" w:type="dxa"/>
            <w:gridSpan w:val="26"/>
            <w:shd w:val="clear" w:color="auto" w:fill="FFFFFF"/>
            <w:vAlign w:val="center"/>
          </w:tcPr>
          <w:p w14:paraId="7283E26C" w14:textId="77777777" w:rsidR="00E063F5" w:rsidRDefault="00E063F5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  <w:p w14:paraId="0026EFD0" w14:textId="61295A16" w:rsidR="001E7455" w:rsidRPr="00402A89" w:rsidRDefault="00402A89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  <w:r w:rsidRPr="00402A89"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>Dopłaty do czynsz</w:t>
            </w:r>
            <w:r w:rsidR="00E063F5"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>u</w:t>
            </w:r>
          </w:p>
          <w:p w14:paraId="70CAA7B3" w14:textId="77777777" w:rsidR="001E7455" w:rsidRDefault="001E7455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Fundusz Dopłat ulokowany w Banku Gospodarstwa Krajowego, w ramach środków przeznaczonych na realizację programu dopłat do czynszu („Mieszkanie na Start”), określonych w rozdziale 6 </w:t>
            </w:r>
            <w:r w:rsidRPr="006E43A6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ustawy z dnia 20 lipca 2018 r. o pomocy państwa </w:t>
            </w:r>
            <w:r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br/>
            </w:r>
            <w:r w:rsidRPr="006E43A6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w ponoszeniu wydatków mieszkaniowych w pierwszych latach najmu mieszkania</w:t>
            </w:r>
            <w:r w:rsidRPr="00D2098D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  <w:p w14:paraId="29906427" w14:textId="77777777" w:rsidR="00D32DEC" w:rsidRDefault="00D32DEC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235EE5A4" w14:textId="77777777" w:rsidR="00402A89" w:rsidRPr="00402A89" w:rsidRDefault="00402A89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  <w:r w:rsidRPr="00402A89"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>Dofinansowanie infrastruktury</w:t>
            </w:r>
          </w:p>
          <w:p w14:paraId="0A9C8445" w14:textId="77777777" w:rsidR="001E7455" w:rsidRDefault="003F3AF2" w:rsidP="00B37C80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Fundusz Dopłat </w:t>
            </w:r>
            <w:r w:rsidRPr="003F3AF2">
              <w:rPr>
                <w:rFonts w:ascii="Times New Roman" w:hAnsi="Times New Roman"/>
                <w:color w:val="000000"/>
                <w:sz w:val="21"/>
                <w:szCs w:val="21"/>
              </w:rPr>
              <w:t>ulokowany w Banku Gospodarstwa Krajowego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w ramach środków przeznaczonych na wsparcie samorządów gminnych określonych w </w:t>
            </w:r>
            <w:r w:rsidRPr="00402A8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ustawie </w:t>
            </w:r>
            <w:r w:rsidR="00402A89" w:rsidRPr="00402A8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z dnia </w:t>
            </w:r>
            <w:r w:rsidR="0019408B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br/>
            </w:r>
            <w:r w:rsidR="00402A89" w:rsidRPr="00402A8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8 grudnia 2006 r. o finansowym wsparciu tworzenia lokali mieszkalnych na wynajem, mieszkań chronionych, noclegowni, schronisk dla bezdomnych, ogrzewalni </w:t>
            </w:r>
            <w:r w:rsidR="00402A8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br/>
            </w:r>
            <w:r w:rsidR="00402A89" w:rsidRPr="00402A8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i tymczasowych pomieszczeń</w:t>
            </w:r>
            <w:r w:rsidR="0019408B">
              <w:rPr>
                <w:rFonts w:ascii="Times New Roman" w:hAnsi="Times New Roman"/>
                <w:iCs/>
                <w:color w:val="000000"/>
                <w:sz w:val="21"/>
                <w:szCs w:val="21"/>
              </w:rPr>
              <w:t xml:space="preserve"> (Dz. U. z 2020 r. poz. </w:t>
            </w:r>
            <w:r w:rsidR="00092D8C">
              <w:rPr>
                <w:rFonts w:ascii="Times New Roman" w:hAnsi="Times New Roman"/>
                <w:iCs/>
                <w:color w:val="000000"/>
                <w:sz w:val="21"/>
                <w:szCs w:val="21"/>
              </w:rPr>
              <w:t>508)</w:t>
            </w:r>
            <w:r w:rsidR="00402A8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.</w:t>
            </w:r>
          </w:p>
          <w:p w14:paraId="318B0DAE" w14:textId="77777777" w:rsidR="00D32DEC" w:rsidRPr="00B37C80" w:rsidRDefault="00D32DEC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E7455" w:rsidRPr="008B4FE6" w14:paraId="6CE03C64" w14:textId="77777777" w:rsidTr="005B5311">
        <w:trPr>
          <w:trHeight w:val="1266"/>
        </w:trPr>
        <w:tc>
          <w:tcPr>
            <w:tcW w:w="3403" w:type="dxa"/>
            <w:gridSpan w:val="2"/>
            <w:shd w:val="clear" w:color="auto" w:fill="FFFFFF"/>
          </w:tcPr>
          <w:p w14:paraId="7E2794EC" w14:textId="77777777" w:rsidR="001E7455" w:rsidRPr="00C53F26" w:rsidRDefault="001E7455" w:rsidP="00821717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7473" w:type="dxa"/>
            <w:gridSpan w:val="26"/>
            <w:shd w:val="clear" w:color="auto" w:fill="FFFFFF"/>
          </w:tcPr>
          <w:p w14:paraId="4F891546" w14:textId="77777777" w:rsidR="00092D8C" w:rsidRDefault="00092D8C" w:rsidP="00A7299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  <w:p w14:paraId="5901FBDD" w14:textId="2B1B2A06" w:rsidR="001E7455" w:rsidRPr="00402A89" w:rsidRDefault="00402A89" w:rsidP="00A7299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  <w:r w:rsidRPr="00402A89"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>Dopłaty do czynsz</w:t>
            </w:r>
            <w:r w:rsidR="009C3C0C"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>u</w:t>
            </w:r>
          </w:p>
          <w:p w14:paraId="3C283A88" w14:textId="67022AA1" w:rsidR="001E7455" w:rsidRDefault="001E7455" w:rsidP="00A7299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Przedstawione obliczenia powstały przy założeniu, że pierwsze mieszkania budowane w systemie zaproponowanym w projektowanej ustawie powstaną w 2023 r. (ze względu na ok. 2-</w:t>
            </w:r>
            <w:r w:rsidR="00952C6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letni cykl budowy budynków wielorodzinnych oraz dodatkowo poprzedzający okres uzgodnień formalnych). Zakłada się, że gminy uzyskają ok. 10% budowanych mieszkań, zaś ich liczba będzie wynosić:</w:t>
            </w:r>
          </w:p>
          <w:p w14:paraId="6E5A46CD" w14:textId="77777777" w:rsidR="001E7455" w:rsidRDefault="001E7455" w:rsidP="00A7299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2023 r. – 1000 (z czego 100 dla gmin),</w:t>
            </w:r>
          </w:p>
          <w:p w14:paraId="185B06AF" w14:textId="77777777" w:rsidR="001E7455" w:rsidRDefault="001E7455" w:rsidP="00A7299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2024 r. – 2000 ( z czego 200 dla gmin),</w:t>
            </w:r>
          </w:p>
          <w:p w14:paraId="771C23BD" w14:textId="77777777" w:rsidR="001E7455" w:rsidRDefault="001E7455" w:rsidP="00A7299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od 2025 r. – 3000 rocznie (z czego 300 rocznie dla gmin).</w:t>
            </w:r>
          </w:p>
          <w:p w14:paraId="0D940465" w14:textId="77777777" w:rsidR="001E7455" w:rsidRDefault="001E7455" w:rsidP="00A7299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02795E8D" w14:textId="77777777" w:rsidR="001E7455" w:rsidRDefault="001E7455" w:rsidP="00D2098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Dodatkowo zakłada się, że wszystkie mieszkania uzyskane przez gminę będą objęte dopłatami do czynszu w ramach programu „Mieszkanie na Start”. Dotychczasowe doświadczenia z realizacją programu nie pozwalają na wyciągnięcie statystycznie istotnych wniosków. Natomiast widoczne jest, że mieszkania mają przeciętnie </w:t>
            </w:r>
            <w:r w:rsidR="00163307"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ok. 40-50 m</w:t>
            </w:r>
            <w:r w:rsidRPr="00B57054"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i zamieszkują w nich małżeństwa wychowujące najczęściej 1 lub 2 dzieci. Zakładając przeciętne dofinansowanie dla rodziny 2+2 lub 2+2 zamieszkującej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br/>
              <w:t>w mieszkaniu o powierzchni ok. 50 m</w:t>
            </w:r>
            <w:r w:rsidRPr="00B57054"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i koszcie budowy mieszkania wynoszącym ok. 5 tys. zł/m</w:t>
            </w:r>
            <w:r w:rsidRPr="00B57054"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przeciętne miesięczne dofinansowanie do czynszu wyniesie ok. 375 zł. </w:t>
            </w:r>
          </w:p>
          <w:p w14:paraId="052D021F" w14:textId="77777777" w:rsidR="00402A89" w:rsidRDefault="00402A89" w:rsidP="00D2098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2AB709E6" w14:textId="77777777" w:rsidR="00402A89" w:rsidRPr="00402A89" w:rsidRDefault="00402A89" w:rsidP="00D2098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  <w:r w:rsidRPr="00402A89"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>Dofinansowanie infrastruktury</w:t>
            </w:r>
          </w:p>
          <w:p w14:paraId="4B039496" w14:textId="5E63DDFC" w:rsidR="00402A89" w:rsidRDefault="00402A89" w:rsidP="00D2098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Założono, że dofinansowanie obejmie rocznie</w:t>
            </w:r>
            <w:r w:rsidR="00EE2F2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(od 2021 r.)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: </w:t>
            </w:r>
          </w:p>
          <w:p w14:paraId="6368197E" w14:textId="77777777" w:rsidR="00402A89" w:rsidRPr="005E6F31" w:rsidRDefault="00402A89" w:rsidP="00367611">
            <w:pPr>
              <w:pStyle w:val="Akapitzlist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6F3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15 inwestycji realizowanych w ramach programu budownictwa społecznego (szacunek Banku Gospodarstwa Krajowego), </w:t>
            </w:r>
          </w:p>
          <w:p w14:paraId="2BA6D496" w14:textId="77777777" w:rsidR="00402A89" w:rsidRPr="005E6F31" w:rsidRDefault="00402A89" w:rsidP="00367611">
            <w:pPr>
              <w:pStyle w:val="Akapitzlist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6F31">
              <w:rPr>
                <w:rFonts w:ascii="Times New Roman" w:hAnsi="Times New Roman"/>
                <w:color w:val="000000"/>
                <w:sz w:val="21"/>
                <w:szCs w:val="21"/>
              </w:rPr>
              <w:t>25 inwestycji realizowanych w ramach programu wsparcia budownictwa dla najuboższych (szacunek Banku Gospodarstwa Krajowego),</w:t>
            </w:r>
          </w:p>
          <w:p w14:paraId="3A3641DA" w14:textId="7C395149" w:rsidR="00402A89" w:rsidRDefault="00402A89" w:rsidP="00367611">
            <w:pPr>
              <w:pStyle w:val="Akapitzlist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6F31">
              <w:rPr>
                <w:rFonts w:ascii="Times New Roman" w:hAnsi="Times New Roman"/>
                <w:color w:val="000000"/>
                <w:sz w:val="21"/>
                <w:szCs w:val="21"/>
              </w:rPr>
              <w:t>10 inwestycji w 2023</w:t>
            </w:r>
            <w:r w:rsidR="0016330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r.</w:t>
            </w:r>
            <w:r w:rsidRPr="005E6F31">
              <w:rPr>
                <w:rFonts w:ascii="Times New Roman" w:hAnsi="Times New Roman"/>
                <w:color w:val="000000"/>
                <w:sz w:val="21"/>
                <w:szCs w:val="21"/>
              </w:rPr>
              <w:t>, 20 inwestycji w 2024</w:t>
            </w:r>
            <w:r w:rsidR="0016330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r.</w:t>
            </w:r>
            <w:r w:rsidRPr="005E6F3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i 30 inwestycji rocznie od 2025 r. w przypadku </w:t>
            </w:r>
            <w:r w:rsidR="0016330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wprowadzanego projektowaną ustawą </w:t>
            </w:r>
            <w:r w:rsidRPr="005E6F3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programu „Grunt za </w:t>
            </w:r>
            <w:r w:rsidR="00163307">
              <w:rPr>
                <w:rFonts w:ascii="Times New Roman" w:hAnsi="Times New Roman"/>
                <w:color w:val="000000"/>
                <w:sz w:val="21"/>
                <w:szCs w:val="21"/>
              </w:rPr>
              <w:t>M</w:t>
            </w:r>
            <w:r w:rsidRPr="005E6F3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ieszkanie”, przy założeniu, że przeciętna inwestycja obejmie </w:t>
            </w:r>
            <w:r w:rsidR="00163307"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r w:rsidRPr="005E6F3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50 mieszkań, zaś gmina skorzysta z dofinansowania kosztów </w:t>
            </w:r>
            <w:r w:rsidR="00023552" w:rsidRPr="005E6F3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infrastruktury w </w:t>
            </w:r>
            <w:r w:rsidR="005E6F3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przypadku </w:t>
            </w:r>
            <w:r w:rsidR="00313CE1">
              <w:rPr>
                <w:rFonts w:ascii="Times New Roman" w:hAnsi="Times New Roman"/>
                <w:color w:val="000000"/>
                <w:sz w:val="21"/>
                <w:szCs w:val="21"/>
              </w:rPr>
              <w:t>50% inwestycji,</w:t>
            </w:r>
          </w:p>
          <w:p w14:paraId="3DF04765" w14:textId="32CA2EB9" w:rsidR="00313CE1" w:rsidRPr="00A31614" w:rsidRDefault="002A4A9E" w:rsidP="00367611">
            <w:pPr>
              <w:pStyle w:val="Akapitzlist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 inwestycji w 2021 r., </w:t>
            </w:r>
            <w:r w:rsidR="00313CE1">
              <w:rPr>
                <w:rFonts w:ascii="Times New Roman" w:hAnsi="Times New Roman"/>
                <w:color w:val="000000"/>
                <w:sz w:val="21"/>
                <w:szCs w:val="21"/>
              </w:rPr>
              <w:t>15 inwestycji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rocznie w latach 2022-2023,</w:t>
            </w:r>
            <w:r w:rsidR="00313CE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9C3C0C"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r w:rsidR="00313CE1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rocznie</w:t>
            </w:r>
            <w:r w:rsidR="00313CE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inwestycji od 2024 r. w przypadku programu dopłat do czynsz</w:t>
            </w:r>
            <w:r w:rsidR="009C3C0C">
              <w:rPr>
                <w:rFonts w:ascii="Times New Roman" w:hAnsi="Times New Roman"/>
                <w:color w:val="000000"/>
                <w:sz w:val="21"/>
                <w:szCs w:val="21"/>
              </w:rPr>
              <w:t>u</w:t>
            </w:r>
            <w:r w:rsidR="00313CE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„Mieszkanie na </w:t>
            </w:r>
            <w:r w:rsidR="009C3C0C">
              <w:rPr>
                <w:rFonts w:ascii="Times New Roman" w:hAnsi="Times New Roman"/>
                <w:color w:val="000000"/>
                <w:sz w:val="21"/>
                <w:szCs w:val="21"/>
              </w:rPr>
              <w:t>S</w:t>
            </w:r>
            <w:r w:rsidR="00313CE1">
              <w:rPr>
                <w:rFonts w:ascii="Times New Roman" w:hAnsi="Times New Roman"/>
                <w:color w:val="000000"/>
                <w:sz w:val="21"/>
                <w:szCs w:val="21"/>
              </w:rPr>
              <w:t>tart”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t xml:space="preserve"> </w:t>
            </w:r>
            <w:r w:rsidRPr="002A4A9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przy założeniu, że przeciętna inwestycja obejmie </w:t>
            </w:r>
            <w:r w:rsidR="00A31614"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r w:rsidRPr="00A31614">
              <w:rPr>
                <w:rFonts w:ascii="Times New Roman" w:hAnsi="Times New Roman"/>
                <w:color w:val="000000"/>
                <w:sz w:val="21"/>
                <w:szCs w:val="21"/>
              </w:rPr>
              <w:t>50 mieszkań, zaś gmina skorzysta z dofinansowania kosztów infrastruk</w:t>
            </w:r>
            <w:r w:rsidR="00A31614">
              <w:rPr>
                <w:rFonts w:ascii="Times New Roman" w:hAnsi="Times New Roman"/>
                <w:color w:val="000000"/>
                <w:sz w:val="21"/>
                <w:szCs w:val="21"/>
              </w:rPr>
              <w:t>tury w przypadku 50% inwestycji.</w:t>
            </w:r>
          </w:p>
          <w:p w14:paraId="4E892D59" w14:textId="77777777" w:rsidR="00023552" w:rsidRDefault="00023552" w:rsidP="00D2098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5AE0606E" w14:textId="7B0434B6" w:rsidR="00092D8C" w:rsidRPr="00C53F26" w:rsidRDefault="00023552" w:rsidP="0002355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Zgodnie z analizami BGK, opartymi na doświadczeniach z realizacją poprzedniego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programu wsparcia infrastruktury technicznej towarzyszącej budownictwu mieszkaniowemu (preferencyjne kredyt</w:t>
            </w:r>
            <w:r w:rsidR="00163307">
              <w:rPr>
                <w:rFonts w:ascii="Times New Roman" w:hAnsi="Times New Roman"/>
                <w:color w:val="000000"/>
                <w:sz w:val="21"/>
                <w:szCs w:val="21"/>
              </w:rPr>
              <w:t>y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udzielane do 2009 r.), </w:t>
            </w:r>
            <w:r w:rsidR="005E6F3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przyjęto, że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przeciętny koszt inwestycji </w:t>
            </w:r>
            <w:r w:rsidR="005E6F31">
              <w:rPr>
                <w:rFonts w:ascii="Times New Roman" w:hAnsi="Times New Roman"/>
                <w:color w:val="000000"/>
                <w:sz w:val="21"/>
                <w:szCs w:val="21"/>
              </w:rPr>
              <w:t>wyniesie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3 mln zł, więc przeciętne dofin</w:t>
            </w:r>
            <w:r w:rsidR="00F86EA5">
              <w:rPr>
                <w:rFonts w:ascii="Times New Roman" w:hAnsi="Times New Roman"/>
                <w:color w:val="000000"/>
                <w:sz w:val="21"/>
                <w:szCs w:val="21"/>
              </w:rPr>
              <w:t>ansowanie wyniesie 300 tys. zł.</w:t>
            </w:r>
          </w:p>
        </w:tc>
      </w:tr>
      <w:tr w:rsidR="001E7455" w:rsidRPr="008B4FE6" w14:paraId="66BE8A5B" w14:textId="77777777" w:rsidTr="006E43A6">
        <w:trPr>
          <w:trHeight w:val="345"/>
        </w:trPr>
        <w:tc>
          <w:tcPr>
            <w:tcW w:w="10876" w:type="dxa"/>
            <w:gridSpan w:val="28"/>
            <w:shd w:val="clear" w:color="auto" w:fill="99CCFF"/>
          </w:tcPr>
          <w:p w14:paraId="7179BFC3" w14:textId="45EFBA7E" w:rsidR="001E7455" w:rsidRPr="008B4FE6" w:rsidRDefault="001E7455" w:rsidP="0072636A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lastRenderedPageBreak/>
              <w:t xml:space="preserve">Wpływ na </w:t>
            </w:r>
            <w:r w:rsidRPr="008B4FE6">
              <w:rPr>
                <w:rFonts w:ascii="Times New Roman" w:hAnsi="Times New Roman"/>
                <w:b/>
                <w:color w:val="000000"/>
              </w:rPr>
              <w:t>konkurencyjność gospodark</w:t>
            </w:r>
            <w:r>
              <w:rPr>
                <w:rFonts w:ascii="Times New Roman" w:hAnsi="Times New Roman"/>
                <w:b/>
                <w:color w:val="000000"/>
              </w:rPr>
              <w:t>i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i przedsiębiorczość,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w tym </w:t>
            </w:r>
            <w:r w:rsidRPr="008B4FE6">
              <w:rPr>
                <w:rFonts w:ascii="Times New Roman" w:hAnsi="Times New Roman"/>
                <w:b/>
                <w:color w:val="000000"/>
              </w:rPr>
              <w:t>funkcjonowanie przedsiębi</w:t>
            </w:r>
            <w:r>
              <w:rPr>
                <w:rFonts w:ascii="Times New Roman" w:hAnsi="Times New Roman"/>
                <w:b/>
                <w:color w:val="000000"/>
              </w:rPr>
              <w:t xml:space="preserve">orców oraz na rodzinę, obywateli i gospodarstwa domowe </w:t>
            </w:r>
          </w:p>
        </w:tc>
      </w:tr>
      <w:tr w:rsidR="001E7455" w:rsidRPr="008B4FE6" w14:paraId="34FF7230" w14:textId="77777777" w:rsidTr="006E43A6">
        <w:trPr>
          <w:trHeight w:val="142"/>
        </w:trPr>
        <w:tc>
          <w:tcPr>
            <w:tcW w:w="10876" w:type="dxa"/>
            <w:gridSpan w:val="28"/>
            <w:shd w:val="clear" w:color="auto" w:fill="FFFFFF"/>
          </w:tcPr>
          <w:p w14:paraId="36CEC244" w14:textId="77777777" w:rsidR="001E7455" w:rsidRPr="00301959" w:rsidRDefault="001E7455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Skutki</w:t>
            </w:r>
          </w:p>
        </w:tc>
      </w:tr>
      <w:tr w:rsidR="001E7455" w:rsidRPr="008B4FE6" w14:paraId="0172E413" w14:textId="77777777" w:rsidTr="004926AA">
        <w:trPr>
          <w:trHeight w:val="142"/>
        </w:trPr>
        <w:tc>
          <w:tcPr>
            <w:tcW w:w="4914" w:type="dxa"/>
            <w:gridSpan w:val="8"/>
            <w:shd w:val="clear" w:color="auto" w:fill="FFFFFF"/>
          </w:tcPr>
          <w:p w14:paraId="46CC59DA" w14:textId="77777777" w:rsidR="001E7455" w:rsidRPr="00301959" w:rsidRDefault="001E7455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14:paraId="289FE5CD" w14:textId="77777777" w:rsidR="001E7455" w:rsidRPr="00301959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193FA8A4" w14:textId="77777777" w:rsidR="001E7455" w:rsidRPr="00301959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2" w:type="dxa"/>
            <w:gridSpan w:val="3"/>
            <w:shd w:val="clear" w:color="auto" w:fill="FFFFFF"/>
            <w:vAlign w:val="center"/>
          </w:tcPr>
          <w:p w14:paraId="3A3553C6" w14:textId="77777777" w:rsidR="001E7455" w:rsidRPr="00301959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14:paraId="2ADBB59D" w14:textId="77777777" w:rsidR="001E7455" w:rsidRPr="00301959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852" w:type="dxa"/>
            <w:gridSpan w:val="3"/>
            <w:shd w:val="clear" w:color="auto" w:fill="FFFFFF"/>
            <w:vAlign w:val="center"/>
          </w:tcPr>
          <w:p w14:paraId="49D303FA" w14:textId="77777777" w:rsidR="001E7455" w:rsidRPr="00301959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3F4C73A6" w14:textId="77777777" w:rsidR="001E7455" w:rsidRPr="00301959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72FD7B5F" w14:textId="77777777" w:rsidR="001E7455" w:rsidRPr="004926AA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18"/>
                <w:szCs w:val="18"/>
              </w:rPr>
            </w:pPr>
            <w:r w:rsidRPr="004926AA">
              <w:rPr>
                <w:rFonts w:ascii="Times New Roman" w:hAnsi="Times New Roman"/>
                <w:i/>
                <w:color w:val="000000"/>
                <w:spacing w:val="-2"/>
                <w:sz w:val="18"/>
                <w:szCs w:val="18"/>
              </w:rPr>
              <w:t>Łącznie</w:t>
            </w:r>
            <w:r w:rsidRPr="004926AA" w:rsidDel="0073273A">
              <w:rPr>
                <w:rFonts w:ascii="Times New Roman" w:hAnsi="Times New Roman"/>
                <w:i/>
                <w:color w:val="000000"/>
                <w:spacing w:val="-2"/>
                <w:sz w:val="18"/>
                <w:szCs w:val="18"/>
              </w:rPr>
              <w:t xml:space="preserve"> </w:t>
            </w:r>
            <w:r w:rsidRPr="004926AA">
              <w:rPr>
                <w:rFonts w:ascii="Times New Roman" w:hAnsi="Times New Roman"/>
                <w:i/>
                <w:color w:val="000000"/>
                <w:spacing w:val="-2"/>
                <w:sz w:val="18"/>
                <w:szCs w:val="18"/>
              </w:rPr>
              <w:t>(0-10)</w:t>
            </w:r>
          </w:p>
        </w:tc>
      </w:tr>
      <w:tr w:rsidR="001E7455" w:rsidRPr="008B4FE6" w14:paraId="4F89ECA6" w14:textId="77777777" w:rsidTr="00C326BC">
        <w:trPr>
          <w:trHeight w:val="142"/>
        </w:trPr>
        <w:tc>
          <w:tcPr>
            <w:tcW w:w="3261" w:type="dxa"/>
            <w:vMerge w:val="restart"/>
            <w:shd w:val="clear" w:color="auto" w:fill="FFFFFF"/>
          </w:tcPr>
          <w:p w14:paraId="2FA46A6B" w14:textId="77777777" w:rsidR="001E7455" w:rsidRDefault="001E7455" w:rsidP="006F78C4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pieniężnym</w:t>
            </w:r>
          </w:p>
          <w:p w14:paraId="51936995" w14:textId="77777777" w:rsidR="001E7455" w:rsidRDefault="001E7455" w:rsidP="006F78C4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(w mln zł)</w:t>
            </w:r>
          </w:p>
          <w:p w14:paraId="1F464EE3" w14:textId="77777777" w:rsidR="001E7455" w:rsidRPr="00301959" w:rsidRDefault="001E7455" w:rsidP="006F78C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653" w:type="dxa"/>
            <w:gridSpan w:val="7"/>
            <w:shd w:val="clear" w:color="auto" w:fill="FFFFFF"/>
          </w:tcPr>
          <w:p w14:paraId="674D1CD9" w14:textId="77777777" w:rsidR="001E7455" w:rsidRPr="00301959" w:rsidRDefault="001E7455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14:paraId="1458AE7D" w14:textId="77777777" w:rsidR="001E7455" w:rsidRPr="00377933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3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292ABC57" w14:textId="77777777" w:rsidR="001E7455" w:rsidRPr="00377933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3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3"/>
            <w:shd w:val="clear" w:color="auto" w:fill="FFFFFF"/>
            <w:vAlign w:val="center"/>
          </w:tcPr>
          <w:p w14:paraId="678821A8" w14:textId="77777777" w:rsidR="001E7455" w:rsidRPr="00377933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3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14:paraId="6C8011E1" w14:textId="77777777" w:rsidR="001E7455" w:rsidRPr="00377933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3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3"/>
            <w:shd w:val="clear" w:color="auto" w:fill="FFFFFF"/>
            <w:vAlign w:val="center"/>
          </w:tcPr>
          <w:p w14:paraId="083ADB81" w14:textId="77777777" w:rsidR="001E7455" w:rsidRPr="00377933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3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55039397" w14:textId="77777777" w:rsidR="001E7455" w:rsidRPr="00377933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3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0541FCBF" w14:textId="77777777" w:rsidR="001E7455" w:rsidRPr="00377933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3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1E7455" w:rsidRPr="008B4FE6" w14:paraId="1BFFE0B1" w14:textId="77777777" w:rsidTr="00C326BC">
        <w:trPr>
          <w:trHeight w:val="142"/>
        </w:trPr>
        <w:tc>
          <w:tcPr>
            <w:tcW w:w="3261" w:type="dxa"/>
            <w:vMerge/>
            <w:shd w:val="clear" w:color="auto" w:fill="FFFFFF"/>
          </w:tcPr>
          <w:p w14:paraId="79487E28" w14:textId="77777777" w:rsidR="001E7455" w:rsidRPr="00301959" w:rsidRDefault="001E7455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653" w:type="dxa"/>
            <w:gridSpan w:val="7"/>
            <w:shd w:val="clear" w:color="auto" w:fill="FFFFFF"/>
          </w:tcPr>
          <w:p w14:paraId="6D1CCD46" w14:textId="77777777" w:rsidR="001E7455" w:rsidRPr="00301959" w:rsidRDefault="001E7455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14:paraId="04FBE34E" w14:textId="77777777" w:rsidR="001E7455" w:rsidRPr="00377933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3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4E4BD7F7" w14:textId="77777777" w:rsidR="001E7455" w:rsidRPr="00377933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3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3"/>
            <w:shd w:val="clear" w:color="auto" w:fill="FFFFFF"/>
            <w:vAlign w:val="center"/>
          </w:tcPr>
          <w:p w14:paraId="4EA8F426" w14:textId="77777777" w:rsidR="001E7455" w:rsidRPr="00377933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3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14:paraId="42AB3257" w14:textId="77777777" w:rsidR="001E7455" w:rsidRPr="00377933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3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3"/>
            <w:shd w:val="clear" w:color="auto" w:fill="FFFFFF"/>
            <w:vAlign w:val="center"/>
          </w:tcPr>
          <w:p w14:paraId="3CB719F5" w14:textId="77777777" w:rsidR="001E7455" w:rsidRPr="00377933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3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576BAA7D" w14:textId="77777777" w:rsidR="001E7455" w:rsidRPr="00377933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3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5878591F" w14:textId="77777777" w:rsidR="001E7455" w:rsidRPr="00377933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3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1E7455" w:rsidRPr="008B4FE6" w14:paraId="2B508D9B" w14:textId="77777777" w:rsidTr="00C326BC">
        <w:trPr>
          <w:trHeight w:val="142"/>
        </w:trPr>
        <w:tc>
          <w:tcPr>
            <w:tcW w:w="3261" w:type="dxa"/>
            <w:vMerge/>
            <w:shd w:val="clear" w:color="auto" w:fill="FFFFFF"/>
          </w:tcPr>
          <w:p w14:paraId="425BA564" w14:textId="77777777" w:rsidR="001E7455" w:rsidRPr="00301959" w:rsidRDefault="001E7455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653" w:type="dxa"/>
            <w:gridSpan w:val="7"/>
            <w:shd w:val="clear" w:color="auto" w:fill="FFFFFF"/>
          </w:tcPr>
          <w:p w14:paraId="50E4C4EB" w14:textId="77777777" w:rsidR="001E7455" w:rsidRPr="00301959" w:rsidRDefault="001E7455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14:paraId="7363522B" w14:textId="77777777" w:rsidR="001E7455" w:rsidRPr="00377933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3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445443EA" w14:textId="77777777" w:rsidR="001E7455" w:rsidRPr="00377933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3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3"/>
            <w:shd w:val="clear" w:color="auto" w:fill="FFFFFF"/>
            <w:vAlign w:val="center"/>
          </w:tcPr>
          <w:p w14:paraId="6FBE516E" w14:textId="77777777" w:rsidR="001E7455" w:rsidRPr="00377933" w:rsidRDefault="001E745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3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14:paraId="7346D89A" w14:textId="1DFD85BE" w:rsidR="001E7455" w:rsidRPr="00377933" w:rsidRDefault="00F86EA5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2" w:type="dxa"/>
            <w:gridSpan w:val="3"/>
            <w:shd w:val="clear" w:color="auto" w:fill="FFFFFF"/>
            <w:vAlign w:val="center"/>
          </w:tcPr>
          <w:p w14:paraId="7FF07EA8" w14:textId="20783A59" w:rsidR="001E7455" w:rsidRPr="00377933" w:rsidRDefault="00AE3742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4837F6D4" w14:textId="31380196" w:rsidR="001E7455" w:rsidRPr="00377933" w:rsidRDefault="00327396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14:paraId="26051057" w14:textId="4CA1A425" w:rsidR="001E7455" w:rsidRPr="00377933" w:rsidRDefault="00327396" w:rsidP="004926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38,5</w:t>
            </w:r>
          </w:p>
        </w:tc>
      </w:tr>
      <w:tr w:rsidR="00B766AD" w:rsidRPr="008B4FE6" w14:paraId="2C1F10AF" w14:textId="77777777" w:rsidTr="00377933">
        <w:trPr>
          <w:trHeight w:val="142"/>
        </w:trPr>
        <w:tc>
          <w:tcPr>
            <w:tcW w:w="3261" w:type="dxa"/>
            <w:vMerge w:val="restart"/>
            <w:shd w:val="clear" w:color="auto" w:fill="FFFFFF"/>
          </w:tcPr>
          <w:p w14:paraId="7A96BCA0" w14:textId="77777777" w:rsidR="00B766AD" w:rsidRPr="00301959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niepieniężnym</w:t>
            </w:r>
          </w:p>
        </w:tc>
        <w:tc>
          <w:tcPr>
            <w:tcW w:w="1653" w:type="dxa"/>
            <w:gridSpan w:val="7"/>
            <w:shd w:val="clear" w:color="auto" w:fill="FFFFFF"/>
          </w:tcPr>
          <w:p w14:paraId="03CF4FD9" w14:textId="77777777" w:rsidR="00B766AD" w:rsidRPr="00301959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5962" w:type="dxa"/>
            <w:gridSpan w:val="20"/>
            <w:shd w:val="clear" w:color="auto" w:fill="FFFFFF"/>
            <w:vAlign w:val="center"/>
          </w:tcPr>
          <w:p w14:paraId="4336E5EA" w14:textId="77777777" w:rsidR="00B766AD" w:rsidRPr="00B37C80" w:rsidRDefault="00B766AD" w:rsidP="00B766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-</w:t>
            </w:r>
          </w:p>
        </w:tc>
      </w:tr>
      <w:tr w:rsidR="00B766AD" w:rsidRPr="008B4FE6" w14:paraId="0226396D" w14:textId="77777777" w:rsidTr="00C326BC">
        <w:trPr>
          <w:trHeight w:val="142"/>
        </w:trPr>
        <w:tc>
          <w:tcPr>
            <w:tcW w:w="3261" w:type="dxa"/>
            <w:vMerge/>
            <w:shd w:val="clear" w:color="auto" w:fill="FFFFFF"/>
          </w:tcPr>
          <w:p w14:paraId="3ECFD8C6" w14:textId="77777777" w:rsidR="00B766AD" w:rsidRPr="00301959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653" w:type="dxa"/>
            <w:gridSpan w:val="7"/>
            <w:shd w:val="clear" w:color="auto" w:fill="FFFFFF"/>
          </w:tcPr>
          <w:p w14:paraId="46BBFD8B" w14:textId="77777777" w:rsidR="00B766AD" w:rsidRPr="00301959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5962" w:type="dxa"/>
            <w:gridSpan w:val="20"/>
            <w:shd w:val="clear" w:color="auto" w:fill="FFFFFF"/>
          </w:tcPr>
          <w:p w14:paraId="34FAA0A1" w14:textId="77777777" w:rsidR="00B766AD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  <w:p w14:paraId="719527D6" w14:textId="384AA728" w:rsidR="00B766AD" w:rsidRPr="00B37C80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Ze względu na wykonywanie prac budowlano-montażowych realizowanych w ramach inwestycji mieszkaniowej </w:t>
            </w:r>
            <w:r w:rsidR="00AA0180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oraz towarzyszącej infrastruktury 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głównie przez sektor małych i średnich przedsiębiorstw, mogą być one beneficjentem zwiększonego wolumenu zamówień ze względu na powstanie nowych mieszkań na nieruchomościach udostępnianych na zasadach prz</w:t>
            </w:r>
            <w:r w:rsidR="00E625FD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ewidzianych </w:t>
            </w:r>
            <w:r w:rsidR="00790C22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br/>
            </w:r>
            <w:r w:rsidR="00E625FD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w projekcie ustawy.</w:t>
            </w:r>
          </w:p>
        </w:tc>
      </w:tr>
      <w:tr w:rsidR="00B766AD" w:rsidRPr="008B4FE6" w14:paraId="508282DE" w14:textId="77777777" w:rsidTr="00C326BC">
        <w:trPr>
          <w:trHeight w:val="596"/>
        </w:trPr>
        <w:tc>
          <w:tcPr>
            <w:tcW w:w="3261" w:type="dxa"/>
            <w:vMerge/>
            <w:shd w:val="clear" w:color="auto" w:fill="FFFFFF"/>
          </w:tcPr>
          <w:p w14:paraId="0F75C7AB" w14:textId="77777777" w:rsidR="00B766AD" w:rsidRPr="00301959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653" w:type="dxa"/>
            <w:gridSpan w:val="7"/>
            <w:shd w:val="clear" w:color="auto" w:fill="FFFFFF"/>
          </w:tcPr>
          <w:p w14:paraId="3479A006" w14:textId="77777777" w:rsidR="00B766AD" w:rsidRDefault="00B766AD" w:rsidP="00B766AD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osoby starsze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i osoby niepełnosprawne</w:t>
            </w:r>
          </w:p>
        </w:tc>
        <w:tc>
          <w:tcPr>
            <w:tcW w:w="5962" w:type="dxa"/>
            <w:gridSpan w:val="20"/>
            <w:shd w:val="clear" w:color="auto" w:fill="FFFFFF"/>
          </w:tcPr>
          <w:p w14:paraId="38FCD9CD" w14:textId="77777777" w:rsidR="00B766AD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  <w:p w14:paraId="573C5C39" w14:textId="63182259" w:rsidR="00B766AD" w:rsidRDefault="00B529F2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Projektowana u</w:t>
            </w:r>
            <w:r w:rsidR="00B766AD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stawa przewiduje, że nabór do mieszkań wybudowanych w ramach ustawy i przekazanych do dyspozycji gminy będzie się odbywał na podstawie katalogu określonego 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br/>
            </w:r>
            <w:r w:rsidR="00B766AD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w </w:t>
            </w:r>
            <w:r w:rsidR="00B766AD">
              <w:rPr>
                <w:rFonts w:ascii="Times New Roman" w:hAnsi="Times New Roman"/>
                <w:i/>
                <w:iCs/>
                <w:color w:val="000000"/>
                <w:spacing w:val="-2"/>
                <w:sz w:val="21"/>
                <w:szCs w:val="21"/>
              </w:rPr>
              <w:t>ustawie</w:t>
            </w:r>
            <w:r w:rsidR="00B766AD" w:rsidRPr="004B194F">
              <w:rPr>
                <w:rFonts w:ascii="Times New Roman" w:hAnsi="Times New Roman"/>
                <w:i/>
                <w:iCs/>
                <w:color w:val="000000"/>
                <w:spacing w:val="-2"/>
                <w:sz w:val="21"/>
                <w:szCs w:val="21"/>
              </w:rPr>
              <w:t xml:space="preserve"> z dnia 20 lipca 2018 r. o pomocy państwa w ponoszeniu wydatków mieszkaniowych w pierwszych latach najmu mieszkania</w:t>
            </w:r>
            <w:r w:rsidR="00B766AD" w:rsidRPr="004B194F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.</w:t>
            </w:r>
            <w:r w:rsidR="00B766AD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Wśród kryteriów do wyboru określających pierwszeństwo najmu dla danej kategorii osób znajdują się m.in.: osoby w wieku pow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yżej</w:t>
            </w:r>
            <w:r w:rsidR="00B766AD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</w:t>
            </w:r>
            <w:r w:rsidR="004D3A97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br/>
            </w:r>
            <w:r w:rsidR="00B766AD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65 lat oraz osoby niepełnosprawne.</w:t>
            </w:r>
          </w:p>
          <w:p w14:paraId="2BE3704B" w14:textId="77777777" w:rsidR="00C174BF" w:rsidRDefault="00C174BF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  <w:p w14:paraId="1EC17EE9" w14:textId="12005556" w:rsidR="00B529F2" w:rsidRDefault="00C174BF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Z</w:t>
            </w:r>
            <w:r w:rsidRPr="00C174BF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achęty dla gmin do angażowania się w działania służące realizacji polityki mieszkaniowej państwa, przewidujące preferencje przy łączeniu działalności </w:t>
            </w:r>
            <w:proofErr w:type="spellStart"/>
            <w:r w:rsidRPr="00C174BF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promieszkaniowej</w:t>
            </w:r>
            <w:proofErr w:type="spellEnd"/>
            <w:r w:rsidRPr="00C174BF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z innymi formami działania przez gminy na rzecz lokalnej wspólnoty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, mogą </w:t>
            </w:r>
            <w:r w:rsidRPr="00C174BF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stanowić 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dodatkowe narzędzie przyczyniające się do</w:t>
            </w:r>
            <w:r w:rsidRPr="00C174BF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polepszania sytuacji osób niepełnosprawnych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.</w:t>
            </w:r>
          </w:p>
          <w:p w14:paraId="41AACCE0" w14:textId="77777777" w:rsidR="00B766AD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B766AD" w:rsidRPr="008B4FE6" w14:paraId="474E63A8" w14:textId="77777777" w:rsidTr="00C326BC">
        <w:trPr>
          <w:trHeight w:val="596"/>
        </w:trPr>
        <w:tc>
          <w:tcPr>
            <w:tcW w:w="3261" w:type="dxa"/>
            <w:vMerge/>
            <w:shd w:val="clear" w:color="auto" w:fill="FFFFFF"/>
          </w:tcPr>
          <w:p w14:paraId="39E36227" w14:textId="77777777" w:rsidR="00B766AD" w:rsidRPr="00301959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653" w:type="dxa"/>
            <w:gridSpan w:val="7"/>
            <w:shd w:val="clear" w:color="auto" w:fill="FFFFFF"/>
          </w:tcPr>
          <w:p w14:paraId="63395466" w14:textId="77777777" w:rsidR="00B766AD" w:rsidRPr="00301959" w:rsidRDefault="00B766AD" w:rsidP="00B766AD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962" w:type="dxa"/>
            <w:gridSpan w:val="20"/>
            <w:shd w:val="clear" w:color="auto" w:fill="FFFFFF"/>
          </w:tcPr>
          <w:p w14:paraId="2967ABEA" w14:textId="77777777" w:rsidR="00B766AD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  <w:p w14:paraId="093B0834" w14:textId="77777777" w:rsidR="00B766AD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Gospodarstwa domowe, poza samym faktem uzyskania mieszkania na wynajem, w tym z opcją docelowego nabycia pełnej własności, będą beneficjentem dopłat do czynszu przyznawanych w ramach programu „Mieszkanie na Start”.</w:t>
            </w:r>
          </w:p>
          <w:p w14:paraId="38B65E5A" w14:textId="77777777" w:rsidR="00B766AD" w:rsidRPr="00B37C80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B766AD" w:rsidRPr="008B4FE6" w14:paraId="008BCB0B" w14:textId="77777777" w:rsidTr="001E3132">
        <w:trPr>
          <w:trHeight w:val="142"/>
        </w:trPr>
        <w:tc>
          <w:tcPr>
            <w:tcW w:w="3261" w:type="dxa"/>
            <w:vMerge w:val="restart"/>
            <w:shd w:val="clear" w:color="auto" w:fill="FFFFFF"/>
          </w:tcPr>
          <w:p w14:paraId="25521061" w14:textId="77777777" w:rsidR="00B766AD" w:rsidRPr="00301959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1653" w:type="dxa"/>
            <w:gridSpan w:val="7"/>
            <w:shd w:val="clear" w:color="auto" w:fill="FFFFFF"/>
          </w:tcPr>
          <w:p w14:paraId="584B25BD" w14:textId="77777777" w:rsidR="00B766AD" w:rsidRPr="00301959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62" w:type="dxa"/>
            <w:gridSpan w:val="20"/>
            <w:shd w:val="clear" w:color="auto" w:fill="FFFFFF"/>
            <w:vAlign w:val="center"/>
          </w:tcPr>
          <w:p w14:paraId="55F3AEF5" w14:textId="77777777" w:rsidR="00B766AD" w:rsidRPr="00B37C80" w:rsidRDefault="00B766AD" w:rsidP="00B766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-</w:t>
            </w:r>
          </w:p>
        </w:tc>
      </w:tr>
      <w:tr w:rsidR="00B766AD" w:rsidRPr="008B4FE6" w14:paraId="4B5AE5DA" w14:textId="77777777" w:rsidTr="001E3132">
        <w:trPr>
          <w:trHeight w:val="142"/>
        </w:trPr>
        <w:tc>
          <w:tcPr>
            <w:tcW w:w="3261" w:type="dxa"/>
            <w:vMerge/>
            <w:shd w:val="clear" w:color="auto" w:fill="FFFFFF"/>
          </w:tcPr>
          <w:p w14:paraId="0DF916E7" w14:textId="77777777" w:rsidR="00B766AD" w:rsidRPr="00301959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653" w:type="dxa"/>
            <w:gridSpan w:val="7"/>
            <w:shd w:val="clear" w:color="auto" w:fill="FFFFFF"/>
          </w:tcPr>
          <w:p w14:paraId="27F04E59" w14:textId="77777777" w:rsidR="00B766AD" w:rsidRPr="00301959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62" w:type="dxa"/>
            <w:gridSpan w:val="20"/>
            <w:shd w:val="clear" w:color="auto" w:fill="FFFFFF"/>
            <w:vAlign w:val="center"/>
          </w:tcPr>
          <w:p w14:paraId="48FA74AD" w14:textId="77777777" w:rsidR="00B766AD" w:rsidRPr="00B37C80" w:rsidRDefault="00B766AD" w:rsidP="00B766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-</w:t>
            </w:r>
          </w:p>
        </w:tc>
      </w:tr>
      <w:tr w:rsidR="00B766AD" w:rsidRPr="008B4FE6" w14:paraId="4C53740D" w14:textId="77777777" w:rsidTr="001E3132">
        <w:trPr>
          <w:trHeight w:val="758"/>
        </w:trPr>
        <w:tc>
          <w:tcPr>
            <w:tcW w:w="3261" w:type="dxa"/>
            <w:shd w:val="clear" w:color="auto" w:fill="FFFFFF"/>
          </w:tcPr>
          <w:p w14:paraId="7930CBFC" w14:textId="77777777" w:rsidR="00B766AD" w:rsidRPr="00301959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7615" w:type="dxa"/>
            <w:gridSpan w:val="27"/>
            <w:shd w:val="clear" w:color="auto" w:fill="FFFFFF"/>
            <w:vAlign w:val="center"/>
          </w:tcPr>
          <w:p w14:paraId="600E830C" w14:textId="77777777" w:rsidR="00B766AD" w:rsidRPr="00301959" w:rsidRDefault="00B766AD" w:rsidP="00C4193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27C650FB" w14:textId="0581AD18" w:rsidR="00B766AD" w:rsidRPr="00301959" w:rsidRDefault="00952C6D" w:rsidP="00C4193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52C6D">
              <w:rPr>
                <w:rFonts w:ascii="Times New Roman" w:hAnsi="Times New Roman"/>
                <w:color w:val="000000"/>
                <w:sz w:val="21"/>
                <w:szCs w:val="21"/>
              </w:rPr>
              <w:t>Obliczenia przedstawione w tabeli bazują na założeniach opisanych w pkt 6 OSR, związanych z dopłatami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do czynsz</w:t>
            </w:r>
            <w:r w:rsidR="00C41935">
              <w:rPr>
                <w:rFonts w:ascii="Times New Roman" w:hAnsi="Times New Roman"/>
                <w:color w:val="000000"/>
                <w:sz w:val="21"/>
                <w:szCs w:val="21"/>
              </w:rPr>
              <w:t>u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oraz dofinansowaniem infrastruktury towarzyszącej budownictwu mieszkaniowemu. </w:t>
            </w:r>
          </w:p>
          <w:p w14:paraId="7E1D7D0E" w14:textId="77777777" w:rsidR="00B766AD" w:rsidRPr="00301959" w:rsidRDefault="00B766AD" w:rsidP="00B766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766AD" w:rsidRPr="008B4FE6" w14:paraId="398CC39F" w14:textId="77777777" w:rsidTr="006E43A6">
        <w:trPr>
          <w:trHeight w:val="342"/>
        </w:trPr>
        <w:tc>
          <w:tcPr>
            <w:tcW w:w="10876" w:type="dxa"/>
            <w:gridSpan w:val="28"/>
            <w:shd w:val="clear" w:color="auto" w:fill="99CCFF"/>
            <w:vAlign w:val="center"/>
          </w:tcPr>
          <w:p w14:paraId="3897FB34" w14:textId="77777777" w:rsidR="00B766AD" w:rsidRPr="008B4FE6" w:rsidRDefault="00B766AD" w:rsidP="00B766A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Zmiana o</w:t>
            </w:r>
            <w:r w:rsidRPr="008B4FE6">
              <w:rPr>
                <w:rFonts w:ascii="Times New Roman" w:hAnsi="Times New Roman"/>
                <w:b/>
                <w:color w:val="000000"/>
              </w:rPr>
              <w:t>bciąże</w:t>
            </w:r>
            <w:r>
              <w:rPr>
                <w:rFonts w:ascii="Times New Roman" w:hAnsi="Times New Roman"/>
                <w:b/>
                <w:color w:val="000000"/>
              </w:rPr>
              <w:t>ń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regulacyjn</w:t>
            </w:r>
            <w:r>
              <w:rPr>
                <w:rFonts w:ascii="Times New Roman" w:hAnsi="Times New Roman"/>
                <w:b/>
                <w:color w:val="000000"/>
              </w:rPr>
              <w:t>ych (w tym obowiązków informacyjnych)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>
              <w:rPr>
                <w:rFonts w:ascii="Times New Roman" w:hAnsi="Times New Roman"/>
                <w:b/>
                <w:color w:val="000000"/>
              </w:rPr>
              <w:t>ych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z projektu</w:t>
            </w:r>
          </w:p>
        </w:tc>
      </w:tr>
      <w:tr w:rsidR="00B766AD" w:rsidRPr="008B4FE6" w14:paraId="0019EB36" w14:textId="77777777" w:rsidTr="006E43A6">
        <w:trPr>
          <w:trHeight w:val="151"/>
        </w:trPr>
        <w:tc>
          <w:tcPr>
            <w:tcW w:w="10876" w:type="dxa"/>
            <w:gridSpan w:val="28"/>
            <w:shd w:val="clear" w:color="auto" w:fill="FFFFFF"/>
          </w:tcPr>
          <w:p w14:paraId="68397A69" w14:textId="1BF3B6A8" w:rsidR="00B766AD" w:rsidRPr="008B4FE6" w:rsidRDefault="0078433B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930998347"/>
              </w:sdtPr>
              <w:sdtEndPr>
                <w:rPr>
                  <w:rFonts w:ascii="MS Gothic" w:eastAsia="MS Gothic" w:hAnsi="MS Gothic"/>
                  <w:spacing w:val="0"/>
                </w:rPr>
              </w:sdtEndPr>
              <w:sdtContent/>
            </w:sdt>
            <w:sdt>
              <w:sdtPr>
                <w:rPr>
                  <w:rFonts w:ascii="MS Gothic" w:eastAsia="MS Gothic" w:hAnsi="MS Gothic"/>
                  <w:color w:val="000000"/>
                </w:rPr>
                <w:id w:val="-1354100323"/>
              </w:sdtPr>
              <w:sdtEndPr/>
              <w:sdtContent>
                <w:r w:rsidR="002D0ED6" w:rsidRPr="00E625FD"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="002D0ED6" w:rsidRPr="001A5FDA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766AD" w:rsidRPr="001A5FDA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B766AD" w:rsidRPr="008B4FE6" w14:paraId="10C6222A" w14:textId="77777777" w:rsidTr="006E43A6">
        <w:trPr>
          <w:trHeight w:val="946"/>
        </w:trPr>
        <w:tc>
          <w:tcPr>
            <w:tcW w:w="5731" w:type="dxa"/>
            <w:gridSpan w:val="11"/>
            <w:shd w:val="clear" w:color="auto" w:fill="FFFFFF"/>
          </w:tcPr>
          <w:p w14:paraId="7D611AA7" w14:textId="77777777" w:rsidR="00B766AD" w:rsidRDefault="00B766AD" w:rsidP="00B766AD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lastRenderedPageBreak/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prowadzane są </w:t>
            </w:r>
            <w:r>
              <w:rPr>
                <w:rFonts w:ascii="Times New Roman" w:hAnsi="Times New Roman"/>
                <w:color w:val="000000"/>
                <w:spacing w:val="-2"/>
              </w:rPr>
              <w:t>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poza bezwzględnie wymaganymi przez UE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(szczegóły w odwróconej tabeli zgodności</w:t>
            </w:r>
            <w:r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5145" w:type="dxa"/>
            <w:gridSpan w:val="17"/>
            <w:shd w:val="clear" w:color="auto" w:fill="FFFFFF"/>
          </w:tcPr>
          <w:p w14:paraId="11488709" w14:textId="0E56EAC4" w:rsidR="00B766AD" w:rsidRDefault="0078433B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MS Gothic" w:eastAsia="MS Gothic" w:hAnsi="MS Gothic"/>
                  <w:color w:val="000000"/>
                </w:rPr>
                <w:id w:val="-374233404"/>
              </w:sdtPr>
              <w:sdtEndPr/>
              <w:sdtContent>
                <w:sdt>
                  <w:sdtPr>
                    <w:rPr>
                      <w:rFonts w:ascii="Times New Roman" w:hAnsi="Times New Roman"/>
                      <w:color w:val="000000"/>
                      <w:spacing w:val="-2"/>
                    </w:rPr>
                    <w:id w:val="1720555977"/>
                  </w:sdtPr>
                  <w:sdtEndPr/>
                  <w:sdtContent>
                    <w:r w:rsidR="002D0ED6">
                      <w:rPr>
                        <w:rFonts w:ascii="MS Gothic" w:eastAsia="MS Gothic" w:hAnsi="MS Gothic" w:hint="eastAsia"/>
                        <w:color w:val="000000"/>
                        <w:spacing w:val="-2"/>
                      </w:rPr>
                      <w:t>☐</w:t>
                    </w:r>
                  </w:sdtContent>
                </w:sdt>
              </w:sdtContent>
            </w:sdt>
            <w:r w:rsidR="00E625FD" w:rsidRPr="00E625FD">
              <w:rPr>
                <w:rFonts w:ascii="MS Gothic" w:eastAsia="MS Gothic" w:hAnsi="MS Gothic"/>
                <w:color w:val="000000"/>
              </w:rPr>
              <w:t xml:space="preserve"> </w:t>
            </w:r>
            <w:r w:rsidR="00B766AD">
              <w:rPr>
                <w:rFonts w:ascii="Times New Roman" w:hAnsi="Times New Roman"/>
                <w:color w:val="000000"/>
              </w:rPr>
              <w:t>tak</w:t>
            </w:r>
          </w:p>
          <w:p w14:paraId="26712A08" w14:textId="77777777" w:rsidR="00B766AD" w:rsidRDefault="0078433B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1774005171"/>
              </w:sdtPr>
              <w:sdtEndPr/>
              <w:sdtContent>
                <w:r w:rsidR="00B766A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B766AD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5E662C80" w14:textId="0D04795A" w:rsidR="00B766AD" w:rsidRDefault="0078433B" w:rsidP="00B766AD">
            <w:pPr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351533669"/>
              </w:sdtPr>
              <w:sdtEndPr>
                <w:rPr>
                  <w:rFonts w:ascii="MS Gothic" w:eastAsia="MS Gothic" w:hAnsi="MS Gothic"/>
                </w:rPr>
              </w:sdtEndPr>
              <w:sdtContent>
                <w:sdt>
                  <w:sdtPr>
                    <w:rPr>
                      <w:rFonts w:ascii="MS Gothic" w:eastAsia="MS Gothic" w:hAnsi="MS Gothic"/>
                      <w:color w:val="000000"/>
                    </w:rPr>
                    <w:id w:val="-689451453"/>
                  </w:sdtPr>
                  <w:sdtEndPr/>
                  <w:sdtContent/>
                </w:sdt>
              </w:sdtContent>
            </w:sdt>
            <w:sdt>
              <w:sdtPr>
                <w:rPr>
                  <w:rFonts w:ascii="MS Gothic" w:eastAsia="MS Gothic" w:hAnsi="MS Gothic"/>
                  <w:color w:val="000000"/>
                </w:rPr>
                <w:id w:val="-2141869323"/>
              </w:sdtPr>
              <w:sdtEndPr/>
              <w:sdtContent>
                <w:sdt>
                  <w:sdtPr>
                    <w:rPr>
                      <w:rFonts w:ascii="Times New Roman" w:hAnsi="Times New Roman"/>
                      <w:color w:val="000000"/>
                    </w:rPr>
                    <w:id w:val="771367661"/>
                  </w:sdtPr>
                  <w:sdtEndPr/>
                  <w:sdtContent>
                    <w:r w:rsidR="00FB6C6F">
                      <w:rPr>
                        <w:rFonts w:ascii="MS Gothic" w:eastAsia="MS Gothic" w:hAnsi="MS Gothic" w:hint="eastAsia"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2D0ED6">
              <w:rPr>
                <w:rFonts w:ascii="Times New Roman" w:hAnsi="Times New Roman"/>
                <w:color w:val="000000"/>
              </w:rPr>
              <w:t xml:space="preserve"> </w:t>
            </w:r>
            <w:r w:rsidR="00B766AD">
              <w:rPr>
                <w:rFonts w:ascii="Times New Roman" w:hAnsi="Times New Roman"/>
                <w:color w:val="000000"/>
              </w:rPr>
              <w:t>nie dotyczy</w:t>
            </w:r>
          </w:p>
        </w:tc>
      </w:tr>
      <w:tr w:rsidR="00B766AD" w:rsidRPr="008B4FE6" w14:paraId="6A7607F6" w14:textId="77777777" w:rsidTr="006E43A6">
        <w:trPr>
          <w:trHeight w:val="1245"/>
        </w:trPr>
        <w:tc>
          <w:tcPr>
            <w:tcW w:w="5731" w:type="dxa"/>
            <w:gridSpan w:val="11"/>
            <w:shd w:val="clear" w:color="auto" w:fill="FFFFFF"/>
          </w:tcPr>
          <w:p w14:paraId="1C195BCF" w14:textId="77777777" w:rsidR="00B766AD" w:rsidRPr="008B4FE6" w:rsidRDefault="0078433B" w:rsidP="00B766A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1646118103"/>
              </w:sdtPr>
              <w:sdtEndPr/>
              <w:sdtContent>
                <w:r w:rsidR="00B766AD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B766A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766AD" w:rsidRPr="008B4FE6">
              <w:rPr>
                <w:rFonts w:ascii="Times New Roman" w:hAnsi="Times New Roman"/>
                <w:color w:val="000000"/>
                <w:spacing w:val="-2"/>
              </w:rPr>
              <w:t>zmniejszenie liczby dokumentów</w:t>
            </w:r>
            <w:r w:rsidR="00B766A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13E3D0AB" w14:textId="77777777" w:rsidR="00B766AD" w:rsidRPr="008B4FE6" w:rsidRDefault="0078433B" w:rsidP="00B766A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876505849"/>
              </w:sdtPr>
              <w:sdtEndPr/>
              <w:sdtContent>
                <w:r w:rsidR="00B766AD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B766A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766AD" w:rsidRPr="008B4FE6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25C8FA01" w14:textId="77777777" w:rsidR="00B766AD" w:rsidRDefault="0078433B" w:rsidP="00B766A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2082051990"/>
              </w:sdtPr>
              <w:sdtEndPr/>
              <w:sdtContent>
                <w:r w:rsidR="00B766AD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B766A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766AD" w:rsidRPr="008B4FE6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 w:rsidR="00B766AD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2A2BAF96" w14:textId="77777777" w:rsidR="00B766AD" w:rsidRPr="008B4FE6" w:rsidRDefault="0078433B" w:rsidP="00B766AD">
            <w:pPr>
              <w:rPr>
                <w:rFonts w:ascii="Times New Roman" w:hAnsi="Times New Roman"/>
                <w:b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2112540246"/>
              </w:sdtPr>
              <w:sdtEndPr/>
              <w:sdtContent>
                <w:r w:rsidR="00B766AD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B766A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766AD"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="00B766AD"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="00B766AD">
              <w:rPr>
                <w:rFonts w:ascii="Times New Roman" w:hAnsi="Times New Roman"/>
                <w:color w:val="000000"/>
              </w:rPr>
              <w:t>…</w:t>
            </w:r>
          </w:p>
        </w:tc>
        <w:tc>
          <w:tcPr>
            <w:tcW w:w="5145" w:type="dxa"/>
            <w:gridSpan w:val="17"/>
            <w:shd w:val="clear" w:color="auto" w:fill="FFFFFF"/>
          </w:tcPr>
          <w:p w14:paraId="68FBE24F" w14:textId="77777777" w:rsidR="00B766AD" w:rsidRPr="008B4FE6" w:rsidRDefault="0078433B" w:rsidP="00B766A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2104995084"/>
              </w:sdtPr>
              <w:sdtEndPr/>
              <w:sdtContent>
                <w:r w:rsidR="00B766AD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B766A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766AD" w:rsidRPr="008B4FE6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2225E238" w14:textId="77777777" w:rsidR="00B766AD" w:rsidRPr="008B4FE6" w:rsidRDefault="0078433B" w:rsidP="00B766A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762415844"/>
              </w:sdtPr>
              <w:sdtEndPr/>
              <w:sdtContent>
                <w:r w:rsidR="00B766A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B766AD">
              <w:rPr>
                <w:rFonts w:ascii="Times New Roman" w:hAnsi="Times New Roman"/>
                <w:color w:val="000000"/>
              </w:rPr>
              <w:t xml:space="preserve"> </w:t>
            </w:r>
            <w:r w:rsidR="00B766AD" w:rsidRPr="008B4FE6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226438F1" w14:textId="77777777" w:rsidR="00B766AD" w:rsidRPr="008B4FE6" w:rsidRDefault="0078433B" w:rsidP="00B766A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357036351"/>
              </w:sdtPr>
              <w:sdtEndPr/>
              <w:sdtContent>
                <w:r w:rsidR="00B766AD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B766A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766AD" w:rsidRPr="008B4FE6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 w:rsidR="00B766AD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79E92AAC" w14:textId="4E65CC73" w:rsidR="00B766AD" w:rsidRPr="008B4FE6" w:rsidRDefault="0078433B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149557140"/>
              </w:sdtPr>
              <w:sdtEndPr/>
              <w:sdtContent/>
            </w:sdt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2011166892"/>
              </w:sdtPr>
              <w:sdtEndPr/>
              <w:sdtContent>
                <w:r w:rsidR="002D0ED6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2D0ED6" w:rsidRPr="008B4FE6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766AD"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="00B766AD" w:rsidRPr="008B4FE6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1170060" w14:textId="77777777" w:rsidR="00B766AD" w:rsidRPr="008B4FE6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766AD" w:rsidRPr="008B4FE6" w14:paraId="7ED6F0D5" w14:textId="77777777" w:rsidTr="006E43A6">
        <w:trPr>
          <w:trHeight w:val="870"/>
        </w:trPr>
        <w:tc>
          <w:tcPr>
            <w:tcW w:w="5731" w:type="dxa"/>
            <w:gridSpan w:val="11"/>
            <w:shd w:val="clear" w:color="auto" w:fill="FFFFFF"/>
          </w:tcPr>
          <w:p w14:paraId="4D1C6533" w14:textId="77777777" w:rsidR="00B766AD" w:rsidRPr="008B4FE6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>prowadzane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są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przystosowane do ich elektronizacji. </w:t>
            </w:r>
          </w:p>
        </w:tc>
        <w:tc>
          <w:tcPr>
            <w:tcW w:w="5145" w:type="dxa"/>
            <w:gridSpan w:val="17"/>
            <w:shd w:val="clear" w:color="auto" w:fill="FFFFFF"/>
          </w:tcPr>
          <w:p w14:paraId="55632BFE" w14:textId="77777777" w:rsidR="00B766AD" w:rsidRDefault="0078433B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297268939"/>
              </w:sdtPr>
              <w:sdtEndPr/>
              <w:sdtContent>
                <w:r w:rsidR="00B766A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B766AD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589BA0A4" w14:textId="77777777" w:rsidR="00B766AD" w:rsidRDefault="0078433B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1887021666"/>
              </w:sdtPr>
              <w:sdtEndPr/>
              <w:sdtContent>
                <w:r w:rsidR="00B766A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B766AD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656E8699" w14:textId="2F4C050E" w:rsidR="00B766AD" w:rsidRDefault="0078433B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1904862519"/>
              </w:sdtPr>
              <w:sdtEndPr/>
              <w:sdtContent>
                <w:sdt>
                  <w:sdtPr>
                    <w:rPr>
                      <w:rFonts w:ascii="Times New Roman" w:hAnsi="Times New Roman"/>
                      <w:color w:val="000000"/>
                      <w:spacing w:val="-2"/>
                    </w:rPr>
                    <w:id w:val="1563756739"/>
                  </w:sdtPr>
                  <w:sdtEndPr/>
                  <w:sdtContent>
                    <w:sdt>
                      <w:sdtPr>
                        <w:rPr>
                          <w:rFonts w:ascii="Times New Roman" w:hAnsi="Times New Roman"/>
                          <w:color w:val="000000"/>
                        </w:rPr>
                        <w:id w:val="1282066080"/>
                      </w:sdtPr>
                      <w:sdtEndPr/>
                      <w:sdtContent>
                        <w:r w:rsidR="00FB6C6F">
                          <w:rPr>
                            <w:rFonts w:ascii="MS Gothic" w:eastAsia="MS Gothic" w:hAnsi="MS Gothic" w:hint="eastAsia"/>
                            <w:color w:val="00000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B766AD">
              <w:rPr>
                <w:rFonts w:ascii="Times New Roman" w:hAnsi="Times New Roman"/>
                <w:color w:val="000000"/>
              </w:rPr>
              <w:t xml:space="preserve"> nie dotyczy</w:t>
            </w:r>
          </w:p>
          <w:p w14:paraId="5C2E7F4F" w14:textId="77777777" w:rsidR="00B766AD" w:rsidRPr="008B4FE6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766AD" w:rsidRPr="008B4FE6" w14:paraId="7A2F418C" w14:textId="77777777" w:rsidTr="007C0A3B">
        <w:trPr>
          <w:trHeight w:val="554"/>
        </w:trPr>
        <w:tc>
          <w:tcPr>
            <w:tcW w:w="10876" w:type="dxa"/>
            <w:gridSpan w:val="28"/>
            <w:shd w:val="clear" w:color="auto" w:fill="FFFFFF"/>
          </w:tcPr>
          <w:p w14:paraId="16E2143E" w14:textId="47072A67" w:rsidR="00921C14" w:rsidRPr="008B4FE6" w:rsidRDefault="000F0AC5" w:rsidP="00921C1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F0AC5">
              <w:rPr>
                <w:rFonts w:ascii="Times New Roman" w:hAnsi="Times New Roman"/>
                <w:color w:val="000000"/>
              </w:rPr>
              <w:t>Komentarz:</w:t>
            </w:r>
            <w:r>
              <w:rPr>
                <w:rFonts w:ascii="Times New Roman" w:hAnsi="Times New Roman"/>
                <w:color w:val="000000"/>
              </w:rPr>
              <w:t xml:space="preserve"> -</w:t>
            </w:r>
          </w:p>
        </w:tc>
      </w:tr>
      <w:tr w:rsidR="00B766AD" w:rsidRPr="008B4FE6" w14:paraId="5102E387" w14:textId="77777777" w:rsidTr="006E43A6">
        <w:trPr>
          <w:trHeight w:val="142"/>
        </w:trPr>
        <w:tc>
          <w:tcPr>
            <w:tcW w:w="10876" w:type="dxa"/>
            <w:gridSpan w:val="28"/>
            <w:shd w:val="clear" w:color="auto" w:fill="99CCFF"/>
          </w:tcPr>
          <w:p w14:paraId="01F28C74" w14:textId="77777777" w:rsidR="00B766AD" w:rsidRPr="008B4FE6" w:rsidRDefault="00B766AD" w:rsidP="00B766AD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B766AD" w:rsidRPr="008B4FE6" w14:paraId="2604F5D4" w14:textId="77777777" w:rsidTr="006E43A6">
        <w:trPr>
          <w:trHeight w:val="142"/>
        </w:trPr>
        <w:tc>
          <w:tcPr>
            <w:tcW w:w="10876" w:type="dxa"/>
            <w:gridSpan w:val="28"/>
            <w:shd w:val="clear" w:color="auto" w:fill="auto"/>
          </w:tcPr>
          <w:p w14:paraId="76DFA462" w14:textId="77777777" w:rsidR="00B766AD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A0DD7EB" w14:textId="77777777" w:rsidR="00B766AD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Ze względu na potencjalne wygenerowanie nowych inwestycji mieszkaniowych na nieruchomościach udostępnianych na zasadach opisanych w projekcie ustawy, możliwy jest pozytywny wpływ na rynek pracy. Z jednej strony pozytywny wpływ obejmie zatrudnienie w sektorze budownictwa (w firmach realizujących nowe inwestycje mieszkaniowe oraz inwestycje infrastrukturalne), z drugiej strony zwiększenie zasobu mieszkań na wynajem pozytywnie wpłynie na możliwości migracji w celu poszukiwania pracy. </w:t>
            </w:r>
          </w:p>
          <w:p w14:paraId="5CA0F5DD" w14:textId="7ABC04B7" w:rsidR="00995419" w:rsidRPr="008B4FE6" w:rsidRDefault="00995419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766AD" w:rsidRPr="008B4FE6" w14:paraId="666E93CF" w14:textId="77777777" w:rsidTr="006E43A6">
        <w:trPr>
          <w:trHeight w:val="142"/>
        </w:trPr>
        <w:tc>
          <w:tcPr>
            <w:tcW w:w="10876" w:type="dxa"/>
            <w:gridSpan w:val="28"/>
            <w:shd w:val="clear" w:color="auto" w:fill="99CCFF"/>
          </w:tcPr>
          <w:p w14:paraId="275797FD" w14:textId="77777777" w:rsidR="00B766AD" w:rsidRPr="008B4FE6" w:rsidRDefault="00B766AD" w:rsidP="00B766AD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B766AD" w:rsidRPr="008B4FE6" w14:paraId="69CAD542" w14:textId="77777777" w:rsidTr="006E43A6">
        <w:trPr>
          <w:trHeight w:val="1031"/>
        </w:trPr>
        <w:tc>
          <w:tcPr>
            <w:tcW w:w="4183" w:type="dxa"/>
            <w:gridSpan w:val="5"/>
            <w:shd w:val="clear" w:color="auto" w:fill="FFFFFF"/>
          </w:tcPr>
          <w:p w14:paraId="3B29504E" w14:textId="77777777" w:rsidR="00B766AD" w:rsidRPr="008B4FE6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3AFA8D96" w14:textId="77777777" w:rsidR="00B766AD" w:rsidRPr="008B4FE6" w:rsidRDefault="0078433B" w:rsidP="00B766A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365952688"/>
              </w:sdtPr>
              <w:sdtEndPr/>
              <w:sdtContent>
                <w:r w:rsidR="00B766A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B766AD">
              <w:rPr>
                <w:rFonts w:ascii="Times New Roman" w:hAnsi="Times New Roman"/>
                <w:color w:val="000000"/>
              </w:rPr>
              <w:t xml:space="preserve"> </w:t>
            </w:r>
            <w:r w:rsidR="00B766AD" w:rsidRPr="008B4FE6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391697BF" w14:textId="77777777" w:rsidR="00B766AD" w:rsidRDefault="0078433B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1888785328"/>
              </w:sdtPr>
              <w:sdtEndPr/>
              <w:sdtContent>
                <w:sdt>
                  <w:sdtPr>
                    <w:rPr>
                      <w:rFonts w:ascii="Times New Roman" w:hAnsi="Times New Roman"/>
                      <w:color w:val="000000"/>
                      <w:spacing w:val="-2"/>
                    </w:rPr>
                    <w:id w:val="1303966601"/>
                  </w:sdtPr>
                  <w:sdtEndPr/>
                  <w:sdtContent>
                    <w:r w:rsidR="00B766AD">
                      <w:rPr>
                        <w:rFonts w:ascii="MS Gothic" w:eastAsia="MS Gothic" w:hAnsi="MS Gothic" w:hint="eastAsia"/>
                        <w:color w:val="000000"/>
                        <w:spacing w:val="-2"/>
                      </w:rPr>
                      <w:t>☒</w:t>
                    </w:r>
                  </w:sdtContent>
                </w:sdt>
              </w:sdtContent>
            </w:sdt>
            <w:r w:rsidR="00B766AD">
              <w:rPr>
                <w:rFonts w:ascii="Times New Roman" w:hAnsi="Times New Roman"/>
                <w:color w:val="000000"/>
              </w:rPr>
              <w:t xml:space="preserve"> </w:t>
            </w:r>
            <w:r w:rsidR="00B766AD" w:rsidRPr="008B4FE6">
              <w:rPr>
                <w:rFonts w:ascii="Times New Roman" w:hAnsi="Times New Roman"/>
                <w:color w:val="000000"/>
              </w:rPr>
              <w:t>sytuacja i rozwój regionalny</w:t>
            </w:r>
          </w:p>
          <w:p w14:paraId="32C85593" w14:textId="77777777" w:rsidR="00B766AD" w:rsidRDefault="0078433B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366884454"/>
              </w:sdtPr>
              <w:sdtEndPr/>
              <w:sdtContent>
                <w:r w:rsidR="00B766AD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B766A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766AD" w:rsidRPr="008B4FE6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="00B766AD">
              <w:rPr>
                <w:rFonts w:ascii="Times New Roman" w:hAnsi="Times New Roman"/>
                <w:color w:val="000000"/>
              </w:rPr>
              <w:t>…</w:t>
            </w:r>
          </w:p>
          <w:p w14:paraId="4A87C46A" w14:textId="77777777" w:rsidR="00B766AD" w:rsidRPr="008B4FE6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3819" w:type="dxa"/>
            <w:gridSpan w:val="14"/>
            <w:shd w:val="clear" w:color="auto" w:fill="FFFFFF"/>
          </w:tcPr>
          <w:p w14:paraId="5586F272" w14:textId="77777777" w:rsidR="00B766AD" w:rsidRPr="008B4FE6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350FD462" w14:textId="77777777" w:rsidR="00B766AD" w:rsidRPr="008B4FE6" w:rsidRDefault="0078433B" w:rsidP="00B766A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1170861332"/>
              </w:sdtPr>
              <w:sdtEndPr/>
              <w:sdtContent>
                <w:r w:rsidR="00B766AD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B766A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766AD" w:rsidRPr="008B4FE6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3B538CB1" w14:textId="77777777" w:rsidR="00B766AD" w:rsidRPr="008B4FE6" w:rsidRDefault="0078433B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1090503991"/>
              </w:sdtPr>
              <w:sdtEndPr/>
              <w:sdtContent>
                <w:sdt>
                  <w:sdtPr>
                    <w:rPr>
                      <w:rFonts w:ascii="Times New Roman" w:hAnsi="Times New Roman"/>
                      <w:color w:val="000000"/>
                      <w:spacing w:val="-2"/>
                    </w:rPr>
                    <w:id w:val="1557746563"/>
                  </w:sdtPr>
                  <w:sdtEndPr/>
                  <w:sdtContent>
                    <w:r w:rsidR="00B766AD">
                      <w:rPr>
                        <w:rFonts w:ascii="MS Gothic" w:eastAsia="MS Gothic" w:hAnsi="MS Gothic" w:hint="eastAsia"/>
                        <w:color w:val="000000"/>
                        <w:spacing w:val="-2"/>
                      </w:rPr>
                      <w:t>☒</w:t>
                    </w:r>
                  </w:sdtContent>
                </w:sdt>
              </w:sdtContent>
            </w:sdt>
            <w:r w:rsidR="00B766AD">
              <w:rPr>
                <w:rFonts w:ascii="Times New Roman" w:hAnsi="Times New Roman"/>
                <w:color w:val="000000"/>
              </w:rPr>
              <w:t xml:space="preserve"> mienie państwowe</w:t>
            </w:r>
          </w:p>
        </w:tc>
        <w:tc>
          <w:tcPr>
            <w:tcW w:w="2874" w:type="dxa"/>
            <w:gridSpan w:val="9"/>
            <w:shd w:val="clear" w:color="auto" w:fill="FFFFFF"/>
          </w:tcPr>
          <w:p w14:paraId="0F493B05" w14:textId="77777777" w:rsidR="00B766AD" w:rsidRPr="008B4FE6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0769E4B2" w14:textId="77777777" w:rsidR="00B766AD" w:rsidRDefault="0078433B" w:rsidP="00B766A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485042436"/>
              </w:sdtPr>
              <w:sdtEndPr/>
              <w:sdtContent>
                <w:r w:rsidR="00B766AD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B766A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766AD" w:rsidRPr="008B4FE6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047724C9" w14:textId="77777777" w:rsidR="00B766AD" w:rsidRPr="008B4FE6" w:rsidRDefault="0078433B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170105530"/>
              </w:sdtPr>
              <w:sdtEndPr/>
              <w:sdtContent>
                <w:r w:rsidR="00B766AD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B766AD">
              <w:rPr>
                <w:rFonts w:ascii="Times New Roman" w:hAnsi="Times New Roman"/>
                <w:color w:val="000000"/>
                <w:spacing w:val="-2"/>
              </w:rPr>
              <w:t xml:space="preserve"> zdrowie</w:t>
            </w:r>
          </w:p>
        </w:tc>
      </w:tr>
      <w:tr w:rsidR="00B766AD" w:rsidRPr="008B4FE6" w14:paraId="25479358" w14:textId="77777777" w:rsidTr="006E43A6">
        <w:trPr>
          <w:trHeight w:val="712"/>
        </w:trPr>
        <w:tc>
          <w:tcPr>
            <w:tcW w:w="3403" w:type="dxa"/>
            <w:gridSpan w:val="2"/>
            <w:shd w:val="clear" w:color="auto" w:fill="FFFFFF"/>
            <w:vAlign w:val="center"/>
          </w:tcPr>
          <w:p w14:paraId="2564458E" w14:textId="77777777" w:rsidR="00B766AD" w:rsidRPr="008B4FE6" w:rsidRDefault="00B766AD" w:rsidP="00B766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7473" w:type="dxa"/>
            <w:gridSpan w:val="26"/>
            <w:shd w:val="clear" w:color="auto" w:fill="FFFFFF"/>
            <w:vAlign w:val="center"/>
          </w:tcPr>
          <w:p w14:paraId="12CD26BD" w14:textId="77777777" w:rsidR="00B766AD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14:paraId="6353E571" w14:textId="77777777" w:rsidR="00B766AD" w:rsidRPr="0024380C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24380C">
              <w:rPr>
                <w:rFonts w:ascii="Times New Roman" w:hAnsi="Times New Roman"/>
                <w:b/>
                <w:color w:val="000000"/>
                <w:spacing w:val="-2"/>
              </w:rPr>
              <w:t>Sytuacja i rozwój regionalny</w:t>
            </w:r>
          </w:p>
          <w:p w14:paraId="24961684" w14:textId="77777777" w:rsidR="00B766AD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Zwiększenie przez gminy możliwości zaspokajania potrzeb mieszkaniowych społeczności lokalnych. Poprawa sytuacji terenów rewitalizowanych oraz stanu technicznego budynków zabytkowych. Zwiększenie możliwości realizacji inwestycji społecznych i technicznych towarzyszących budownictwu mieszkaniowemu. </w:t>
            </w:r>
          </w:p>
          <w:p w14:paraId="2CEA8019" w14:textId="77777777" w:rsidR="00B766AD" w:rsidRPr="008B4FE6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3B411720" w14:textId="77777777" w:rsidR="00B766AD" w:rsidRPr="0024380C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24380C">
              <w:rPr>
                <w:rFonts w:ascii="Times New Roman" w:hAnsi="Times New Roman"/>
                <w:b/>
                <w:color w:val="000000"/>
                <w:spacing w:val="-2"/>
              </w:rPr>
              <w:t>Mienie państwowe</w:t>
            </w:r>
          </w:p>
          <w:p w14:paraId="4B20EA82" w14:textId="77777777" w:rsidR="00B766AD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Możliwość efektywnego wykorzystania gruntów należących do Skarbu Państwa </w:t>
            </w:r>
            <w:r>
              <w:rPr>
                <w:rFonts w:ascii="Times New Roman" w:hAnsi="Times New Roman"/>
                <w:color w:val="000000"/>
                <w:spacing w:val="-2"/>
              </w:rPr>
              <w:br/>
              <w:t xml:space="preserve">(w zasobach Krajowego Zasobu Nieruchomości) na cele mieszkaniowe. </w:t>
            </w:r>
          </w:p>
          <w:p w14:paraId="48D16CCB" w14:textId="77777777" w:rsidR="00B766AD" w:rsidRPr="008B4FE6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B766AD" w:rsidRPr="008B4FE6" w14:paraId="19BF11BD" w14:textId="77777777" w:rsidTr="006E43A6">
        <w:trPr>
          <w:trHeight w:val="142"/>
        </w:trPr>
        <w:tc>
          <w:tcPr>
            <w:tcW w:w="10876" w:type="dxa"/>
            <w:gridSpan w:val="28"/>
            <w:shd w:val="clear" w:color="auto" w:fill="99CCFF"/>
          </w:tcPr>
          <w:p w14:paraId="45EC6A84" w14:textId="77777777" w:rsidR="00B766AD" w:rsidRPr="00627221" w:rsidRDefault="00B766AD" w:rsidP="00B766A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Planowane w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ykonani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e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przepisów aktu prawnego</w:t>
            </w:r>
          </w:p>
        </w:tc>
      </w:tr>
      <w:tr w:rsidR="00B766AD" w:rsidRPr="008B4FE6" w14:paraId="363C7480" w14:textId="77777777" w:rsidTr="006E43A6">
        <w:trPr>
          <w:trHeight w:val="142"/>
        </w:trPr>
        <w:tc>
          <w:tcPr>
            <w:tcW w:w="10876" w:type="dxa"/>
            <w:gridSpan w:val="28"/>
            <w:shd w:val="clear" w:color="auto" w:fill="FFFFFF"/>
          </w:tcPr>
          <w:p w14:paraId="52183396" w14:textId="77777777" w:rsidR="00B766AD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  <w:p w14:paraId="057FD69D" w14:textId="08A93D2E" w:rsidR="00B766AD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Ustawa wejdzie w życie 1 stycznia 2021 r. Nowe inwestycje mogą być realizowane w ciągu kilku miesięcy, po przeprowadzeniu przez gminy przetargów na zasadach opisanych w projektowanej ustawie. Ze względu na cykl inwestycyjno-budowlany pierwsze wybudowane mieszkania pojawią się ok. 2023 r. W przypadku inwestycji infrastrukturalnych mogą być one realizowane od początku funkcjonowania ustawy, a więc od 2021 r.</w:t>
            </w:r>
          </w:p>
          <w:p w14:paraId="145905B4" w14:textId="77777777" w:rsidR="00B766AD" w:rsidRPr="00B37C80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</w:tr>
      <w:tr w:rsidR="00B766AD" w:rsidRPr="008B4FE6" w14:paraId="7A8091D8" w14:textId="77777777" w:rsidTr="006E43A6">
        <w:trPr>
          <w:trHeight w:val="142"/>
        </w:trPr>
        <w:tc>
          <w:tcPr>
            <w:tcW w:w="10876" w:type="dxa"/>
            <w:gridSpan w:val="28"/>
            <w:shd w:val="clear" w:color="auto" w:fill="99CCFF"/>
          </w:tcPr>
          <w:p w14:paraId="484E2F7C" w14:textId="77777777" w:rsidR="00B766AD" w:rsidRPr="008B4FE6" w:rsidRDefault="00B766AD" w:rsidP="00B766A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W jaki sposób i kiedy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nastąpi ewaluacja efektów projektu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oraz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jakie mierniki zostaną zastosowane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?</w:t>
            </w:r>
          </w:p>
        </w:tc>
      </w:tr>
      <w:tr w:rsidR="00B766AD" w:rsidRPr="008B4FE6" w14:paraId="1E19A5F6" w14:textId="77777777" w:rsidTr="006E43A6">
        <w:trPr>
          <w:trHeight w:val="142"/>
        </w:trPr>
        <w:tc>
          <w:tcPr>
            <w:tcW w:w="10876" w:type="dxa"/>
            <w:gridSpan w:val="28"/>
            <w:shd w:val="clear" w:color="auto" w:fill="FFFFFF"/>
          </w:tcPr>
          <w:p w14:paraId="3167F797" w14:textId="77777777" w:rsidR="00B766AD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7C9239E3" w14:textId="77777777" w:rsidR="00B766AD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Przedstawiany projekt realizuje Narodowy Program Mieszkaniowy, w ramach którego określono m.in. następujące cele:</w:t>
            </w:r>
          </w:p>
          <w:p w14:paraId="10C3B819" w14:textId="77777777" w:rsidR="00B766AD" w:rsidRPr="00C84E51" w:rsidRDefault="00B766AD" w:rsidP="00B766AD">
            <w:pPr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D6794">
              <w:rPr>
                <w:rFonts w:ascii="Times New Roman" w:hAnsi="Times New Roman"/>
                <w:color w:val="000000"/>
                <w:spacing w:val="-2"/>
              </w:rPr>
              <w:t>Zwiększenie dostępu do mieszkań dla osób o dochodach uniemożliwiających obecnie nabycie lub wynajęcie mieszkania na zasadach komercyjnych.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C84E51">
              <w:rPr>
                <w:rFonts w:ascii="Times New Roman" w:hAnsi="Times New Roman"/>
                <w:color w:val="000000"/>
                <w:spacing w:val="-2"/>
              </w:rPr>
              <w:t>Docelowo do roku 2030 liczba mieszkań przypadająca na 1 tys. mieszkańców powinna osiągnąć wysokość mieszczącą się w aktualnej średniej Unii Europejskiej. Oz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nacza to wzrost tego wskaźnika </w:t>
            </w:r>
            <w:r w:rsidRPr="00C84E51">
              <w:rPr>
                <w:rFonts w:ascii="Times New Roman" w:hAnsi="Times New Roman"/>
                <w:color w:val="000000"/>
                <w:spacing w:val="-2"/>
              </w:rPr>
              <w:t>z obecnego poziomu 363 do 435 mieszkań na 1000 osób.</w:t>
            </w:r>
          </w:p>
          <w:p w14:paraId="3F7A49A9" w14:textId="77777777" w:rsidR="00B766AD" w:rsidRPr="00C84E51" w:rsidRDefault="00B766AD" w:rsidP="00B766AD">
            <w:pPr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D6794">
              <w:rPr>
                <w:rFonts w:ascii="Times New Roman" w:hAnsi="Times New Roman"/>
                <w:color w:val="000000"/>
                <w:spacing w:val="-2"/>
              </w:rPr>
              <w:t>Zwiększenie możliwości zaspokojenia podstawowych potrzeb mieszkaniowych osób zagrożonych wykluczeniem społecznym ze względu na niskie dochody lub szczególnie trudną sytuację życiową.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C84E51">
              <w:rPr>
                <w:rFonts w:ascii="Times New Roman" w:hAnsi="Times New Roman"/>
                <w:color w:val="000000"/>
                <w:spacing w:val="-2"/>
              </w:rPr>
              <w:t xml:space="preserve">Docelowo do roku 2030 samorządy gminne powinny dysponować możliwościami zaspokojenia potrzeb mieszkaniowych wszystkich </w:t>
            </w:r>
            <w:r w:rsidRPr="00C84E51">
              <w:rPr>
                <w:rFonts w:ascii="Times New Roman" w:hAnsi="Times New Roman"/>
                <w:color w:val="000000"/>
                <w:spacing w:val="-2"/>
              </w:rPr>
              <w:lastRenderedPageBreak/>
              <w:t>gospodarstw domowych oczekujących aktualnie na najem mieszkania od gminy. Według stanu na koniec 2014 r. na najem mieszkania gminnego oczekiwało 165,2 tys. gospodarstw domowych.</w:t>
            </w:r>
          </w:p>
          <w:p w14:paraId="5168A32C" w14:textId="77777777" w:rsidR="00B766AD" w:rsidRPr="00B37C80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1A02B341" w14:textId="77777777" w:rsidR="00B766AD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Efekty działań podejmowanych w ramach Narodowego Programu Mieszkaniowego są corocznie prezentowane przez Ministra Rozwoju w Sprawozdaniu, które jest przedstawiane Radzie Ministrów do końca I kwartału roku następującego po roku sprawozdawczym. </w:t>
            </w:r>
          </w:p>
          <w:p w14:paraId="3648B377" w14:textId="5F9CB618" w:rsidR="00081A4F" w:rsidRPr="00B37C80" w:rsidRDefault="00081A4F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B766AD" w:rsidRPr="008B4FE6" w14:paraId="07BADC85" w14:textId="77777777" w:rsidTr="006E43A6">
        <w:trPr>
          <w:trHeight w:val="142"/>
        </w:trPr>
        <w:tc>
          <w:tcPr>
            <w:tcW w:w="10876" w:type="dxa"/>
            <w:gridSpan w:val="28"/>
            <w:shd w:val="clear" w:color="auto" w:fill="99CCFF"/>
          </w:tcPr>
          <w:p w14:paraId="59009E04" w14:textId="77777777" w:rsidR="00B766AD" w:rsidRPr="008B4FE6" w:rsidRDefault="00B766AD" w:rsidP="00B766A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lastRenderedPageBreak/>
              <w:t xml:space="preserve">Załączniki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istotne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dokumenty źródłowe,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badania, analizy itp.</w:t>
            </w: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B766AD" w:rsidRPr="008B4FE6" w14:paraId="11310EE0" w14:textId="77777777" w:rsidTr="006E43A6">
        <w:trPr>
          <w:trHeight w:val="142"/>
        </w:trPr>
        <w:tc>
          <w:tcPr>
            <w:tcW w:w="10876" w:type="dxa"/>
            <w:gridSpan w:val="28"/>
            <w:shd w:val="clear" w:color="auto" w:fill="FFFFFF"/>
          </w:tcPr>
          <w:p w14:paraId="26AA7E5C" w14:textId="77777777" w:rsidR="00B766AD" w:rsidRPr="00B37C80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75BE510E" w14:textId="77777777" w:rsidR="00B766AD" w:rsidRPr="00B37C80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  <w:p w14:paraId="21388AC9" w14:textId="77777777" w:rsidR="00B766AD" w:rsidRPr="00B37C80" w:rsidRDefault="00B766AD" w:rsidP="00B766A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</w:tbl>
    <w:p w14:paraId="2214504A" w14:textId="77777777" w:rsidR="006176ED" w:rsidRPr="00522D94" w:rsidRDefault="009D0655" w:rsidP="004A6908">
      <w:pPr>
        <w:pStyle w:val="Nagwek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sectPr w:rsidR="006176ED" w:rsidRPr="00522D94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35366" w14:textId="77777777" w:rsidR="0078433B" w:rsidRDefault="0078433B" w:rsidP="00044739">
      <w:pPr>
        <w:spacing w:line="240" w:lineRule="auto"/>
      </w:pPr>
      <w:r>
        <w:separator/>
      </w:r>
    </w:p>
  </w:endnote>
  <w:endnote w:type="continuationSeparator" w:id="0">
    <w:p w14:paraId="15C0780C" w14:textId="77777777" w:rsidR="0078433B" w:rsidRDefault="0078433B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8B61F" w14:textId="77777777" w:rsidR="0078433B" w:rsidRDefault="0078433B" w:rsidP="00044739">
      <w:pPr>
        <w:spacing w:line="240" w:lineRule="auto"/>
      </w:pPr>
      <w:r>
        <w:separator/>
      </w:r>
    </w:p>
  </w:footnote>
  <w:footnote w:type="continuationSeparator" w:id="0">
    <w:p w14:paraId="56E3DC1B" w14:textId="77777777" w:rsidR="0078433B" w:rsidRDefault="0078433B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5BD"/>
    <w:multiLevelType w:val="hybridMultilevel"/>
    <w:tmpl w:val="55E6C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06BA8"/>
    <w:multiLevelType w:val="hybridMultilevel"/>
    <w:tmpl w:val="BF5E0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A2DE2"/>
    <w:multiLevelType w:val="hybridMultilevel"/>
    <w:tmpl w:val="57584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4673E"/>
    <w:multiLevelType w:val="hybridMultilevel"/>
    <w:tmpl w:val="1F820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326C6"/>
    <w:multiLevelType w:val="hybridMultilevel"/>
    <w:tmpl w:val="E5209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65317"/>
    <w:multiLevelType w:val="hybridMultilevel"/>
    <w:tmpl w:val="4ADE7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76D3A"/>
    <w:multiLevelType w:val="hybridMultilevel"/>
    <w:tmpl w:val="B1B28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B50BEE"/>
    <w:multiLevelType w:val="hybridMultilevel"/>
    <w:tmpl w:val="92287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E9216D"/>
    <w:multiLevelType w:val="multilevel"/>
    <w:tmpl w:val="9640BB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2">
    <w:nsid w:val="15C97052"/>
    <w:multiLevelType w:val="hybridMultilevel"/>
    <w:tmpl w:val="D82CA49A"/>
    <w:lvl w:ilvl="0" w:tplc="650E5568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>
    <w:nsid w:val="17154721"/>
    <w:multiLevelType w:val="hybridMultilevel"/>
    <w:tmpl w:val="04FC9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B847FC"/>
    <w:multiLevelType w:val="hybridMultilevel"/>
    <w:tmpl w:val="5FA47EF6"/>
    <w:lvl w:ilvl="0" w:tplc="3806BF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27D5D63"/>
    <w:multiLevelType w:val="hybridMultilevel"/>
    <w:tmpl w:val="EAD0CE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2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25B62"/>
    <w:multiLevelType w:val="hybridMultilevel"/>
    <w:tmpl w:val="198A2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24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>
    <w:nsid w:val="3E6978C9"/>
    <w:multiLevelType w:val="hybridMultilevel"/>
    <w:tmpl w:val="1286E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A30BDB"/>
    <w:multiLevelType w:val="hybridMultilevel"/>
    <w:tmpl w:val="E7703082"/>
    <w:lvl w:ilvl="0" w:tplc="7E5A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29">
    <w:nsid w:val="509F175C"/>
    <w:multiLevelType w:val="hybridMultilevel"/>
    <w:tmpl w:val="D88ACAEA"/>
    <w:lvl w:ilvl="0" w:tplc="0415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3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DED0E69"/>
    <w:multiLevelType w:val="hybridMultilevel"/>
    <w:tmpl w:val="264C9074"/>
    <w:lvl w:ilvl="0" w:tplc="7E5A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>
    <w:nsid w:val="615B19C6"/>
    <w:multiLevelType w:val="multilevel"/>
    <w:tmpl w:val="E60CE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-2465"/>
        </w:tabs>
        <w:ind w:left="-246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-1745"/>
        </w:tabs>
        <w:ind w:left="-174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-1025"/>
        </w:tabs>
        <w:ind w:left="-102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-305"/>
        </w:tabs>
        <w:ind w:left="-30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5"/>
        </w:tabs>
        <w:ind w:left="41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1135"/>
        </w:tabs>
        <w:ind w:left="113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1855"/>
        </w:tabs>
        <w:ind w:left="185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  <w:sz w:val="20"/>
      </w:rPr>
    </w:lvl>
  </w:abstractNum>
  <w:abstractNum w:abstractNumId="36">
    <w:nsid w:val="6173569C"/>
    <w:multiLevelType w:val="hybridMultilevel"/>
    <w:tmpl w:val="B0EE0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9">
    <w:nsid w:val="630211FE"/>
    <w:multiLevelType w:val="hybridMultilevel"/>
    <w:tmpl w:val="0CF0982C"/>
    <w:lvl w:ilvl="0" w:tplc="A5F8B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952263"/>
    <w:multiLevelType w:val="hybridMultilevel"/>
    <w:tmpl w:val="CC0A2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5463D36"/>
    <w:multiLevelType w:val="hybridMultilevel"/>
    <w:tmpl w:val="FDAA1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351464"/>
    <w:multiLevelType w:val="hybridMultilevel"/>
    <w:tmpl w:val="086C5908"/>
    <w:lvl w:ilvl="0" w:tplc="BB7AB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2"/>
  </w:num>
  <w:num w:numId="4">
    <w:abstractNumId w:val="37"/>
  </w:num>
  <w:num w:numId="5">
    <w:abstractNumId w:val="8"/>
  </w:num>
  <w:num w:numId="6">
    <w:abstractNumId w:val="20"/>
  </w:num>
  <w:num w:numId="7">
    <w:abstractNumId w:val="27"/>
  </w:num>
  <w:num w:numId="8">
    <w:abstractNumId w:val="16"/>
  </w:num>
  <w:num w:numId="9">
    <w:abstractNumId w:val="30"/>
  </w:num>
  <w:num w:numId="10">
    <w:abstractNumId w:val="24"/>
  </w:num>
  <w:num w:numId="11">
    <w:abstractNumId w:val="28"/>
  </w:num>
  <w:num w:numId="12">
    <w:abstractNumId w:val="11"/>
  </w:num>
  <w:num w:numId="13">
    <w:abstractNumId w:val="23"/>
  </w:num>
  <w:num w:numId="14">
    <w:abstractNumId w:val="38"/>
  </w:num>
  <w:num w:numId="15">
    <w:abstractNumId w:val="31"/>
  </w:num>
  <w:num w:numId="16">
    <w:abstractNumId w:val="34"/>
  </w:num>
  <w:num w:numId="17">
    <w:abstractNumId w:val="17"/>
  </w:num>
  <w:num w:numId="18">
    <w:abstractNumId w:val="41"/>
  </w:num>
  <w:num w:numId="19">
    <w:abstractNumId w:val="44"/>
  </w:num>
  <w:num w:numId="20">
    <w:abstractNumId w:val="32"/>
  </w:num>
  <w:num w:numId="21">
    <w:abstractNumId w:val="19"/>
  </w:num>
  <w:num w:numId="22">
    <w:abstractNumId w:val="6"/>
  </w:num>
  <w:num w:numId="23">
    <w:abstractNumId w:val="14"/>
  </w:num>
  <w:num w:numId="24">
    <w:abstractNumId w:val="39"/>
  </w:num>
  <w:num w:numId="25">
    <w:abstractNumId w:val="10"/>
  </w:num>
  <w:num w:numId="26">
    <w:abstractNumId w:val="25"/>
  </w:num>
  <w:num w:numId="27">
    <w:abstractNumId w:val="13"/>
  </w:num>
  <w:num w:numId="28">
    <w:abstractNumId w:val="29"/>
  </w:num>
  <w:num w:numId="29">
    <w:abstractNumId w:val="21"/>
  </w:num>
  <w:num w:numId="30">
    <w:abstractNumId w:val="5"/>
  </w:num>
  <w:num w:numId="31">
    <w:abstractNumId w:val="4"/>
  </w:num>
  <w:num w:numId="32">
    <w:abstractNumId w:val="36"/>
  </w:num>
  <w:num w:numId="33">
    <w:abstractNumId w:val="0"/>
  </w:num>
  <w:num w:numId="34">
    <w:abstractNumId w:val="40"/>
  </w:num>
  <w:num w:numId="35">
    <w:abstractNumId w:val="7"/>
  </w:num>
  <w:num w:numId="36">
    <w:abstractNumId w:val="1"/>
  </w:num>
  <w:num w:numId="37">
    <w:abstractNumId w:val="18"/>
  </w:num>
  <w:num w:numId="38">
    <w:abstractNumId w:val="12"/>
  </w:num>
  <w:num w:numId="39">
    <w:abstractNumId w:val="42"/>
  </w:num>
  <w:num w:numId="40">
    <w:abstractNumId w:val="33"/>
  </w:num>
  <w:num w:numId="41">
    <w:abstractNumId w:val="43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removePersonalInformation/>
  <w:removeDateAndTime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CB"/>
    <w:rsid w:val="000008E5"/>
    <w:rsid w:val="000015EE"/>
    <w:rsid w:val="000017DB"/>
    <w:rsid w:val="000022D5"/>
    <w:rsid w:val="00003D8E"/>
    <w:rsid w:val="00004C6A"/>
    <w:rsid w:val="0000793E"/>
    <w:rsid w:val="0001246A"/>
    <w:rsid w:val="00012D11"/>
    <w:rsid w:val="00013E92"/>
    <w:rsid w:val="00013EB5"/>
    <w:rsid w:val="00023552"/>
    <w:rsid w:val="00023836"/>
    <w:rsid w:val="000238BD"/>
    <w:rsid w:val="000274C2"/>
    <w:rsid w:val="000356A9"/>
    <w:rsid w:val="00035F33"/>
    <w:rsid w:val="00044138"/>
    <w:rsid w:val="00044739"/>
    <w:rsid w:val="00051637"/>
    <w:rsid w:val="000550B0"/>
    <w:rsid w:val="00056681"/>
    <w:rsid w:val="000648A7"/>
    <w:rsid w:val="0006618B"/>
    <w:rsid w:val="000670C0"/>
    <w:rsid w:val="00071B99"/>
    <w:rsid w:val="000725D1"/>
    <w:rsid w:val="000756E5"/>
    <w:rsid w:val="0007704E"/>
    <w:rsid w:val="00080EC8"/>
    <w:rsid w:val="00081A4F"/>
    <w:rsid w:val="000840CA"/>
    <w:rsid w:val="00092D8C"/>
    <w:rsid w:val="000944AC"/>
    <w:rsid w:val="00094CB9"/>
    <w:rsid w:val="000956B2"/>
    <w:rsid w:val="000969E7"/>
    <w:rsid w:val="000A036C"/>
    <w:rsid w:val="000A0E11"/>
    <w:rsid w:val="000A23DE"/>
    <w:rsid w:val="000A2F5E"/>
    <w:rsid w:val="000A3B66"/>
    <w:rsid w:val="000A4020"/>
    <w:rsid w:val="000B2CB0"/>
    <w:rsid w:val="000B54FB"/>
    <w:rsid w:val="000B575F"/>
    <w:rsid w:val="000C22EB"/>
    <w:rsid w:val="000C29B0"/>
    <w:rsid w:val="000C76FC"/>
    <w:rsid w:val="000D38FC"/>
    <w:rsid w:val="000D4D90"/>
    <w:rsid w:val="000D5C83"/>
    <w:rsid w:val="000E2D10"/>
    <w:rsid w:val="000F0AC5"/>
    <w:rsid w:val="000F3204"/>
    <w:rsid w:val="0010548B"/>
    <w:rsid w:val="00106556"/>
    <w:rsid w:val="001072D1"/>
    <w:rsid w:val="00117017"/>
    <w:rsid w:val="00120C79"/>
    <w:rsid w:val="00130E8E"/>
    <w:rsid w:val="00131E7A"/>
    <w:rsid w:val="0013216E"/>
    <w:rsid w:val="001361DF"/>
    <w:rsid w:val="001401B5"/>
    <w:rsid w:val="001422B9"/>
    <w:rsid w:val="0014566F"/>
    <w:rsid w:val="0014665F"/>
    <w:rsid w:val="001518CF"/>
    <w:rsid w:val="00153464"/>
    <w:rsid w:val="001541B3"/>
    <w:rsid w:val="00155B15"/>
    <w:rsid w:val="001625BE"/>
    <w:rsid w:val="00163307"/>
    <w:rsid w:val="0016398C"/>
    <w:rsid w:val="001643A4"/>
    <w:rsid w:val="0017036B"/>
    <w:rsid w:val="001727BB"/>
    <w:rsid w:val="001741AE"/>
    <w:rsid w:val="00180D25"/>
    <w:rsid w:val="0018318D"/>
    <w:rsid w:val="0018572C"/>
    <w:rsid w:val="00187E79"/>
    <w:rsid w:val="00187F0D"/>
    <w:rsid w:val="00192CC5"/>
    <w:rsid w:val="0019408B"/>
    <w:rsid w:val="001956A7"/>
    <w:rsid w:val="001A118A"/>
    <w:rsid w:val="001A1341"/>
    <w:rsid w:val="001A27F4"/>
    <w:rsid w:val="001A2D95"/>
    <w:rsid w:val="001B3460"/>
    <w:rsid w:val="001B4CA1"/>
    <w:rsid w:val="001B75D8"/>
    <w:rsid w:val="001C1060"/>
    <w:rsid w:val="001C3C63"/>
    <w:rsid w:val="001C6008"/>
    <w:rsid w:val="001D4732"/>
    <w:rsid w:val="001D6A3C"/>
    <w:rsid w:val="001D6D51"/>
    <w:rsid w:val="001E3132"/>
    <w:rsid w:val="001E41A3"/>
    <w:rsid w:val="001E7455"/>
    <w:rsid w:val="001F653A"/>
    <w:rsid w:val="001F6979"/>
    <w:rsid w:val="00202BC6"/>
    <w:rsid w:val="00205141"/>
    <w:rsid w:val="0020516B"/>
    <w:rsid w:val="00213559"/>
    <w:rsid w:val="00213EFD"/>
    <w:rsid w:val="002162FC"/>
    <w:rsid w:val="002172F1"/>
    <w:rsid w:val="00223C7B"/>
    <w:rsid w:val="00224AB1"/>
    <w:rsid w:val="0022687A"/>
    <w:rsid w:val="00230728"/>
    <w:rsid w:val="00234040"/>
    <w:rsid w:val="00235CD2"/>
    <w:rsid w:val="00242068"/>
    <w:rsid w:val="0024380C"/>
    <w:rsid w:val="00254B91"/>
    <w:rsid w:val="00254DED"/>
    <w:rsid w:val="002551E6"/>
    <w:rsid w:val="00255619"/>
    <w:rsid w:val="00255DAD"/>
    <w:rsid w:val="00256108"/>
    <w:rsid w:val="002578C6"/>
    <w:rsid w:val="00260F33"/>
    <w:rsid w:val="002613BD"/>
    <w:rsid w:val="002624F1"/>
    <w:rsid w:val="00264198"/>
    <w:rsid w:val="002670AE"/>
    <w:rsid w:val="00270C81"/>
    <w:rsid w:val="00271558"/>
    <w:rsid w:val="00274862"/>
    <w:rsid w:val="00274DC3"/>
    <w:rsid w:val="00282D72"/>
    <w:rsid w:val="00283402"/>
    <w:rsid w:val="00283E3D"/>
    <w:rsid w:val="00290FD6"/>
    <w:rsid w:val="00294259"/>
    <w:rsid w:val="002A2C81"/>
    <w:rsid w:val="002A4A9E"/>
    <w:rsid w:val="002A7A48"/>
    <w:rsid w:val="002B3D1A"/>
    <w:rsid w:val="002B6F33"/>
    <w:rsid w:val="002C27D0"/>
    <w:rsid w:val="002C2C9B"/>
    <w:rsid w:val="002D0ED6"/>
    <w:rsid w:val="002D17D6"/>
    <w:rsid w:val="002D18D7"/>
    <w:rsid w:val="002D21CE"/>
    <w:rsid w:val="002E30B5"/>
    <w:rsid w:val="002E3DA3"/>
    <w:rsid w:val="002E450F"/>
    <w:rsid w:val="002E6B38"/>
    <w:rsid w:val="002E6D63"/>
    <w:rsid w:val="002E6E2B"/>
    <w:rsid w:val="002F0BD4"/>
    <w:rsid w:val="002F500B"/>
    <w:rsid w:val="00300991"/>
    <w:rsid w:val="00301959"/>
    <w:rsid w:val="003030B8"/>
    <w:rsid w:val="00305B8A"/>
    <w:rsid w:val="00311605"/>
    <w:rsid w:val="003136DE"/>
    <w:rsid w:val="00313CE1"/>
    <w:rsid w:val="003168C0"/>
    <w:rsid w:val="0032151A"/>
    <w:rsid w:val="0032671A"/>
    <w:rsid w:val="00327396"/>
    <w:rsid w:val="00331BF9"/>
    <w:rsid w:val="0033495E"/>
    <w:rsid w:val="00334A79"/>
    <w:rsid w:val="00334D8D"/>
    <w:rsid w:val="00337345"/>
    <w:rsid w:val="00337DD2"/>
    <w:rsid w:val="003404D1"/>
    <w:rsid w:val="003443FF"/>
    <w:rsid w:val="00351889"/>
    <w:rsid w:val="00355808"/>
    <w:rsid w:val="00360D38"/>
    <w:rsid w:val="00361D2E"/>
    <w:rsid w:val="00362C7E"/>
    <w:rsid w:val="00363309"/>
    <w:rsid w:val="00363601"/>
    <w:rsid w:val="003653F3"/>
    <w:rsid w:val="00367611"/>
    <w:rsid w:val="00371857"/>
    <w:rsid w:val="00376AC9"/>
    <w:rsid w:val="00377933"/>
    <w:rsid w:val="00391339"/>
    <w:rsid w:val="00393032"/>
    <w:rsid w:val="00394271"/>
    <w:rsid w:val="00394B69"/>
    <w:rsid w:val="00397078"/>
    <w:rsid w:val="0039732F"/>
    <w:rsid w:val="003A0F54"/>
    <w:rsid w:val="003A221B"/>
    <w:rsid w:val="003A6953"/>
    <w:rsid w:val="003B5668"/>
    <w:rsid w:val="003B6083"/>
    <w:rsid w:val="003C3838"/>
    <w:rsid w:val="003C5847"/>
    <w:rsid w:val="003D0681"/>
    <w:rsid w:val="003D12F6"/>
    <w:rsid w:val="003D1426"/>
    <w:rsid w:val="003E297F"/>
    <w:rsid w:val="003E2F4E"/>
    <w:rsid w:val="003E393A"/>
    <w:rsid w:val="003E720A"/>
    <w:rsid w:val="003F3AF2"/>
    <w:rsid w:val="003F63CB"/>
    <w:rsid w:val="00402A89"/>
    <w:rsid w:val="00403E6E"/>
    <w:rsid w:val="0040756C"/>
    <w:rsid w:val="004129B4"/>
    <w:rsid w:val="00417EF0"/>
    <w:rsid w:val="00422181"/>
    <w:rsid w:val="004244A8"/>
    <w:rsid w:val="0042586B"/>
    <w:rsid w:val="00425F72"/>
    <w:rsid w:val="00426ADA"/>
    <w:rsid w:val="00427736"/>
    <w:rsid w:val="0042773E"/>
    <w:rsid w:val="0043209F"/>
    <w:rsid w:val="00432663"/>
    <w:rsid w:val="00434C2C"/>
    <w:rsid w:val="00441787"/>
    <w:rsid w:val="004440E3"/>
    <w:rsid w:val="004449D8"/>
    <w:rsid w:val="00444F2D"/>
    <w:rsid w:val="00447B53"/>
    <w:rsid w:val="00452034"/>
    <w:rsid w:val="00455FA6"/>
    <w:rsid w:val="00462E20"/>
    <w:rsid w:val="0046435B"/>
    <w:rsid w:val="00466C70"/>
    <w:rsid w:val="004702C9"/>
    <w:rsid w:val="0047155A"/>
    <w:rsid w:val="00472E45"/>
    <w:rsid w:val="00473FEA"/>
    <w:rsid w:val="0047579D"/>
    <w:rsid w:val="00483262"/>
    <w:rsid w:val="0048358B"/>
    <w:rsid w:val="00484107"/>
    <w:rsid w:val="00485CC5"/>
    <w:rsid w:val="004926AA"/>
    <w:rsid w:val="0049343F"/>
    <w:rsid w:val="004964FC"/>
    <w:rsid w:val="00496DDA"/>
    <w:rsid w:val="004A145E"/>
    <w:rsid w:val="004A1F15"/>
    <w:rsid w:val="004A2A81"/>
    <w:rsid w:val="004A3C18"/>
    <w:rsid w:val="004A6908"/>
    <w:rsid w:val="004A7BD7"/>
    <w:rsid w:val="004B194F"/>
    <w:rsid w:val="004C15C2"/>
    <w:rsid w:val="004C36D8"/>
    <w:rsid w:val="004C3F6C"/>
    <w:rsid w:val="004C5498"/>
    <w:rsid w:val="004C60F9"/>
    <w:rsid w:val="004D1248"/>
    <w:rsid w:val="004D1E3C"/>
    <w:rsid w:val="004D3A97"/>
    <w:rsid w:val="004D4169"/>
    <w:rsid w:val="004D45CE"/>
    <w:rsid w:val="004D48EB"/>
    <w:rsid w:val="004D6E14"/>
    <w:rsid w:val="004E6AEA"/>
    <w:rsid w:val="004F0575"/>
    <w:rsid w:val="004F4E17"/>
    <w:rsid w:val="0050082F"/>
    <w:rsid w:val="00500C56"/>
    <w:rsid w:val="00501713"/>
    <w:rsid w:val="00506568"/>
    <w:rsid w:val="0050690B"/>
    <w:rsid w:val="00511E77"/>
    <w:rsid w:val="0051551B"/>
    <w:rsid w:val="00520ADB"/>
    <w:rsid w:val="00520C57"/>
    <w:rsid w:val="00521ADE"/>
    <w:rsid w:val="00522D94"/>
    <w:rsid w:val="00525098"/>
    <w:rsid w:val="00530772"/>
    <w:rsid w:val="00533D89"/>
    <w:rsid w:val="00536564"/>
    <w:rsid w:val="00544597"/>
    <w:rsid w:val="005448DF"/>
    <w:rsid w:val="00544FFE"/>
    <w:rsid w:val="005473F5"/>
    <w:rsid w:val="005477E7"/>
    <w:rsid w:val="00552794"/>
    <w:rsid w:val="00563199"/>
    <w:rsid w:val="00564874"/>
    <w:rsid w:val="00567963"/>
    <w:rsid w:val="0057009A"/>
    <w:rsid w:val="00571260"/>
    <w:rsid w:val="0057189C"/>
    <w:rsid w:val="0057341B"/>
    <w:rsid w:val="00573FC1"/>
    <w:rsid w:val="005741EE"/>
    <w:rsid w:val="005743E2"/>
    <w:rsid w:val="0057668E"/>
    <w:rsid w:val="00576FF8"/>
    <w:rsid w:val="005913CE"/>
    <w:rsid w:val="00595E83"/>
    <w:rsid w:val="00596530"/>
    <w:rsid w:val="005967F3"/>
    <w:rsid w:val="005A06DF"/>
    <w:rsid w:val="005A0DFE"/>
    <w:rsid w:val="005A5527"/>
    <w:rsid w:val="005A5AE6"/>
    <w:rsid w:val="005B0798"/>
    <w:rsid w:val="005B1206"/>
    <w:rsid w:val="005B2B64"/>
    <w:rsid w:val="005B37E8"/>
    <w:rsid w:val="005B5311"/>
    <w:rsid w:val="005C0056"/>
    <w:rsid w:val="005D61D6"/>
    <w:rsid w:val="005D6794"/>
    <w:rsid w:val="005D7A7F"/>
    <w:rsid w:val="005E0D13"/>
    <w:rsid w:val="005E2EE5"/>
    <w:rsid w:val="005E5047"/>
    <w:rsid w:val="005E6F31"/>
    <w:rsid w:val="005E7205"/>
    <w:rsid w:val="005E7371"/>
    <w:rsid w:val="005F116C"/>
    <w:rsid w:val="005F2131"/>
    <w:rsid w:val="005F6FE5"/>
    <w:rsid w:val="00605EF6"/>
    <w:rsid w:val="00606455"/>
    <w:rsid w:val="00614929"/>
    <w:rsid w:val="00616511"/>
    <w:rsid w:val="006176ED"/>
    <w:rsid w:val="006202F3"/>
    <w:rsid w:val="0062097A"/>
    <w:rsid w:val="00621DA6"/>
    <w:rsid w:val="00623CFE"/>
    <w:rsid w:val="00625C6D"/>
    <w:rsid w:val="00627221"/>
    <w:rsid w:val="00627EE8"/>
    <w:rsid w:val="006316FA"/>
    <w:rsid w:val="00631FF0"/>
    <w:rsid w:val="0063275A"/>
    <w:rsid w:val="00635018"/>
    <w:rsid w:val="006370D2"/>
    <w:rsid w:val="0064074F"/>
    <w:rsid w:val="00641F55"/>
    <w:rsid w:val="00642D82"/>
    <w:rsid w:val="00645E4A"/>
    <w:rsid w:val="00650EF0"/>
    <w:rsid w:val="006520E2"/>
    <w:rsid w:val="00653688"/>
    <w:rsid w:val="0066091B"/>
    <w:rsid w:val="00661BDF"/>
    <w:rsid w:val="006660E9"/>
    <w:rsid w:val="00666FFB"/>
    <w:rsid w:val="00667249"/>
    <w:rsid w:val="00667558"/>
    <w:rsid w:val="00671523"/>
    <w:rsid w:val="00674301"/>
    <w:rsid w:val="006754EF"/>
    <w:rsid w:val="00676C8D"/>
    <w:rsid w:val="00676F1F"/>
    <w:rsid w:val="00677381"/>
    <w:rsid w:val="00677414"/>
    <w:rsid w:val="006832CF"/>
    <w:rsid w:val="00683F86"/>
    <w:rsid w:val="00685D8F"/>
    <w:rsid w:val="0068601E"/>
    <w:rsid w:val="00694055"/>
    <w:rsid w:val="0069486B"/>
    <w:rsid w:val="006A26E0"/>
    <w:rsid w:val="006A4904"/>
    <w:rsid w:val="006A548F"/>
    <w:rsid w:val="006A701A"/>
    <w:rsid w:val="006A76BE"/>
    <w:rsid w:val="006B3141"/>
    <w:rsid w:val="006B64DC"/>
    <w:rsid w:val="006B7A91"/>
    <w:rsid w:val="006D4704"/>
    <w:rsid w:val="006D545C"/>
    <w:rsid w:val="006D6A2D"/>
    <w:rsid w:val="006E16D4"/>
    <w:rsid w:val="006E1E18"/>
    <w:rsid w:val="006E31CE"/>
    <w:rsid w:val="006E34D3"/>
    <w:rsid w:val="006E43A6"/>
    <w:rsid w:val="006F1435"/>
    <w:rsid w:val="006F78C4"/>
    <w:rsid w:val="007031A0"/>
    <w:rsid w:val="00705A29"/>
    <w:rsid w:val="00705C8E"/>
    <w:rsid w:val="00707498"/>
    <w:rsid w:val="00711A65"/>
    <w:rsid w:val="00714133"/>
    <w:rsid w:val="00714DA4"/>
    <w:rsid w:val="007158B2"/>
    <w:rsid w:val="00716081"/>
    <w:rsid w:val="0072122C"/>
    <w:rsid w:val="00722B48"/>
    <w:rsid w:val="00724164"/>
    <w:rsid w:val="00724668"/>
    <w:rsid w:val="00725DE7"/>
    <w:rsid w:val="0072636A"/>
    <w:rsid w:val="00726B44"/>
    <w:rsid w:val="007318DD"/>
    <w:rsid w:val="00733167"/>
    <w:rsid w:val="00740D2C"/>
    <w:rsid w:val="007415D0"/>
    <w:rsid w:val="00744BF9"/>
    <w:rsid w:val="00752623"/>
    <w:rsid w:val="007577A6"/>
    <w:rsid w:val="00760F1F"/>
    <w:rsid w:val="0076423E"/>
    <w:rsid w:val="007646CB"/>
    <w:rsid w:val="0076658F"/>
    <w:rsid w:val="0077040A"/>
    <w:rsid w:val="00772D64"/>
    <w:rsid w:val="0077393B"/>
    <w:rsid w:val="0078433B"/>
    <w:rsid w:val="007853F3"/>
    <w:rsid w:val="007906BC"/>
    <w:rsid w:val="00790C22"/>
    <w:rsid w:val="00792609"/>
    <w:rsid w:val="0079260C"/>
    <w:rsid w:val="00792887"/>
    <w:rsid w:val="007943E2"/>
    <w:rsid w:val="00794F2C"/>
    <w:rsid w:val="007A3BC7"/>
    <w:rsid w:val="007A5AC4"/>
    <w:rsid w:val="007A64EB"/>
    <w:rsid w:val="007B0FDD"/>
    <w:rsid w:val="007B4802"/>
    <w:rsid w:val="007B6668"/>
    <w:rsid w:val="007B6B33"/>
    <w:rsid w:val="007C0A3B"/>
    <w:rsid w:val="007C2701"/>
    <w:rsid w:val="007C2E89"/>
    <w:rsid w:val="007C7DD3"/>
    <w:rsid w:val="007D20DC"/>
    <w:rsid w:val="007D2192"/>
    <w:rsid w:val="007D21E7"/>
    <w:rsid w:val="007E6CE6"/>
    <w:rsid w:val="007F0021"/>
    <w:rsid w:val="007F2F52"/>
    <w:rsid w:val="00801F71"/>
    <w:rsid w:val="00805F28"/>
    <w:rsid w:val="0080749F"/>
    <w:rsid w:val="00811D46"/>
    <w:rsid w:val="008125B0"/>
    <w:rsid w:val="008144CB"/>
    <w:rsid w:val="00821717"/>
    <w:rsid w:val="00822A24"/>
    <w:rsid w:val="00824210"/>
    <w:rsid w:val="008263C0"/>
    <w:rsid w:val="008413CE"/>
    <w:rsid w:val="00841422"/>
    <w:rsid w:val="00841D3B"/>
    <w:rsid w:val="00842D49"/>
    <w:rsid w:val="0084314C"/>
    <w:rsid w:val="00843171"/>
    <w:rsid w:val="00853C17"/>
    <w:rsid w:val="00856799"/>
    <w:rsid w:val="008575C3"/>
    <w:rsid w:val="00863D28"/>
    <w:rsid w:val="008648C3"/>
    <w:rsid w:val="00872096"/>
    <w:rsid w:val="008730B6"/>
    <w:rsid w:val="0087596E"/>
    <w:rsid w:val="00880029"/>
    <w:rsid w:val="00880528"/>
    <w:rsid w:val="00880F26"/>
    <w:rsid w:val="008812C4"/>
    <w:rsid w:val="00895ADA"/>
    <w:rsid w:val="00896C2E"/>
    <w:rsid w:val="008974FD"/>
    <w:rsid w:val="008A5000"/>
    <w:rsid w:val="008A5095"/>
    <w:rsid w:val="008A608F"/>
    <w:rsid w:val="008A68AA"/>
    <w:rsid w:val="008A73D2"/>
    <w:rsid w:val="008B01EF"/>
    <w:rsid w:val="008B1A9A"/>
    <w:rsid w:val="008B4FE6"/>
    <w:rsid w:val="008B6C37"/>
    <w:rsid w:val="008C6A29"/>
    <w:rsid w:val="008D2AB1"/>
    <w:rsid w:val="008E088F"/>
    <w:rsid w:val="008E18F7"/>
    <w:rsid w:val="008E1E10"/>
    <w:rsid w:val="008E291B"/>
    <w:rsid w:val="008E4F2F"/>
    <w:rsid w:val="008E74B0"/>
    <w:rsid w:val="008F089A"/>
    <w:rsid w:val="008F4984"/>
    <w:rsid w:val="009008A8"/>
    <w:rsid w:val="009063B0"/>
    <w:rsid w:val="009070DF"/>
    <w:rsid w:val="00907106"/>
    <w:rsid w:val="009107FD"/>
    <w:rsid w:val="0091137C"/>
    <w:rsid w:val="00911567"/>
    <w:rsid w:val="00917AAE"/>
    <w:rsid w:val="00921C14"/>
    <w:rsid w:val="009251A9"/>
    <w:rsid w:val="00930699"/>
    <w:rsid w:val="00931A93"/>
    <w:rsid w:val="00931F69"/>
    <w:rsid w:val="00933A65"/>
    <w:rsid w:val="00934123"/>
    <w:rsid w:val="00950CB8"/>
    <w:rsid w:val="00952C6D"/>
    <w:rsid w:val="009543AD"/>
    <w:rsid w:val="00955774"/>
    <w:rsid w:val="009560B5"/>
    <w:rsid w:val="009703D6"/>
    <w:rsid w:val="0097181B"/>
    <w:rsid w:val="00976099"/>
    <w:rsid w:val="00976DC5"/>
    <w:rsid w:val="009818C7"/>
    <w:rsid w:val="00982DD4"/>
    <w:rsid w:val="009841E5"/>
    <w:rsid w:val="0098479F"/>
    <w:rsid w:val="00984A8A"/>
    <w:rsid w:val="009857B6"/>
    <w:rsid w:val="00985A8D"/>
    <w:rsid w:val="00986610"/>
    <w:rsid w:val="009877DC"/>
    <w:rsid w:val="00990EAF"/>
    <w:rsid w:val="00991F96"/>
    <w:rsid w:val="00995419"/>
    <w:rsid w:val="00996F0A"/>
    <w:rsid w:val="00997BB2"/>
    <w:rsid w:val="009A0658"/>
    <w:rsid w:val="009A1D86"/>
    <w:rsid w:val="009B049C"/>
    <w:rsid w:val="009B11C8"/>
    <w:rsid w:val="009B2BCF"/>
    <w:rsid w:val="009B2FF8"/>
    <w:rsid w:val="009B5027"/>
    <w:rsid w:val="009B5BA3"/>
    <w:rsid w:val="009C30F0"/>
    <w:rsid w:val="009C3C0C"/>
    <w:rsid w:val="009D0027"/>
    <w:rsid w:val="009D0655"/>
    <w:rsid w:val="009E1E98"/>
    <w:rsid w:val="009E3ABE"/>
    <w:rsid w:val="009E3C4B"/>
    <w:rsid w:val="009F0637"/>
    <w:rsid w:val="009F62A6"/>
    <w:rsid w:val="009F674F"/>
    <w:rsid w:val="009F6C8F"/>
    <w:rsid w:val="009F799E"/>
    <w:rsid w:val="00A02020"/>
    <w:rsid w:val="00A056CB"/>
    <w:rsid w:val="00A07A29"/>
    <w:rsid w:val="00A10FF1"/>
    <w:rsid w:val="00A1506B"/>
    <w:rsid w:val="00A17CB2"/>
    <w:rsid w:val="00A23191"/>
    <w:rsid w:val="00A252AA"/>
    <w:rsid w:val="00A31614"/>
    <w:rsid w:val="00A319C0"/>
    <w:rsid w:val="00A33560"/>
    <w:rsid w:val="00A344FE"/>
    <w:rsid w:val="00A356E2"/>
    <w:rsid w:val="00A357C0"/>
    <w:rsid w:val="00A364E4"/>
    <w:rsid w:val="00A371A5"/>
    <w:rsid w:val="00A40E62"/>
    <w:rsid w:val="00A45CA1"/>
    <w:rsid w:val="00A47BDF"/>
    <w:rsid w:val="00A50D14"/>
    <w:rsid w:val="00A51CD7"/>
    <w:rsid w:val="00A52ADB"/>
    <w:rsid w:val="00A533E8"/>
    <w:rsid w:val="00A542D9"/>
    <w:rsid w:val="00A5464C"/>
    <w:rsid w:val="00A54D7F"/>
    <w:rsid w:val="00A55CEB"/>
    <w:rsid w:val="00A56E64"/>
    <w:rsid w:val="00A574D6"/>
    <w:rsid w:val="00A624C3"/>
    <w:rsid w:val="00A6610C"/>
    <w:rsid w:val="00A6641C"/>
    <w:rsid w:val="00A72995"/>
    <w:rsid w:val="00A767D2"/>
    <w:rsid w:val="00A77616"/>
    <w:rsid w:val="00A80244"/>
    <w:rsid w:val="00A805DA"/>
    <w:rsid w:val="00A811B4"/>
    <w:rsid w:val="00A830C5"/>
    <w:rsid w:val="00A865E0"/>
    <w:rsid w:val="00A87448"/>
    <w:rsid w:val="00A87CDE"/>
    <w:rsid w:val="00A910E7"/>
    <w:rsid w:val="00A92BAF"/>
    <w:rsid w:val="00A94737"/>
    <w:rsid w:val="00A94BA3"/>
    <w:rsid w:val="00A95265"/>
    <w:rsid w:val="00A966CE"/>
    <w:rsid w:val="00A96CBA"/>
    <w:rsid w:val="00AA0180"/>
    <w:rsid w:val="00AB1ACD"/>
    <w:rsid w:val="00AB277F"/>
    <w:rsid w:val="00AB4099"/>
    <w:rsid w:val="00AB449A"/>
    <w:rsid w:val="00AB57C2"/>
    <w:rsid w:val="00AC7EF9"/>
    <w:rsid w:val="00AD14F9"/>
    <w:rsid w:val="00AD1E4B"/>
    <w:rsid w:val="00AD35D6"/>
    <w:rsid w:val="00AD58C5"/>
    <w:rsid w:val="00AD5BDA"/>
    <w:rsid w:val="00AE36C4"/>
    <w:rsid w:val="00AE3742"/>
    <w:rsid w:val="00AE472C"/>
    <w:rsid w:val="00AE5375"/>
    <w:rsid w:val="00AE6CF8"/>
    <w:rsid w:val="00AE709D"/>
    <w:rsid w:val="00AF4CAC"/>
    <w:rsid w:val="00B03E0D"/>
    <w:rsid w:val="00B054F8"/>
    <w:rsid w:val="00B15C18"/>
    <w:rsid w:val="00B2219A"/>
    <w:rsid w:val="00B22D49"/>
    <w:rsid w:val="00B23045"/>
    <w:rsid w:val="00B2611E"/>
    <w:rsid w:val="00B32BCC"/>
    <w:rsid w:val="00B3581B"/>
    <w:rsid w:val="00B36B81"/>
    <w:rsid w:val="00B36FEE"/>
    <w:rsid w:val="00B37C80"/>
    <w:rsid w:val="00B5092B"/>
    <w:rsid w:val="00B50A17"/>
    <w:rsid w:val="00B5194E"/>
    <w:rsid w:val="00B51AF5"/>
    <w:rsid w:val="00B529F2"/>
    <w:rsid w:val="00B531FC"/>
    <w:rsid w:val="00B55347"/>
    <w:rsid w:val="00B57054"/>
    <w:rsid w:val="00B57E5E"/>
    <w:rsid w:val="00B61F37"/>
    <w:rsid w:val="00B766AD"/>
    <w:rsid w:val="00B7770F"/>
    <w:rsid w:val="00B77A89"/>
    <w:rsid w:val="00B77B27"/>
    <w:rsid w:val="00B8134E"/>
    <w:rsid w:val="00B81B55"/>
    <w:rsid w:val="00B84613"/>
    <w:rsid w:val="00B85C5A"/>
    <w:rsid w:val="00B87AF0"/>
    <w:rsid w:val="00B9037B"/>
    <w:rsid w:val="00B910BD"/>
    <w:rsid w:val="00B9189C"/>
    <w:rsid w:val="00B93834"/>
    <w:rsid w:val="00B96469"/>
    <w:rsid w:val="00B968BC"/>
    <w:rsid w:val="00B97B5F"/>
    <w:rsid w:val="00BA0DA2"/>
    <w:rsid w:val="00BA2981"/>
    <w:rsid w:val="00BA2BB7"/>
    <w:rsid w:val="00BA37B8"/>
    <w:rsid w:val="00BA42EE"/>
    <w:rsid w:val="00BA48F9"/>
    <w:rsid w:val="00BB0DCA"/>
    <w:rsid w:val="00BB1F54"/>
    <w:rsid w:val="00BB2666"/>
    <w:rsid w:val="00BB6B80"/>
    <w:rsid w:val="00BC11E8"/>
    <w:rsid w:val="00BC3773"/>
    <w:rsid w:val="00BC381A"/>
    <w:rsid w:val="00BD0962"/>
    <w:rsid w:val="00BD1EED"/>
    <w:rsid w:val="00BD368C"/>
    <w:rsid w:val="00BE1D1C"/>
    <w:rsid w:val="00BE338A"/>
    <w:rsid w:val="00BE6FE7"/>
    <w:rsid w:val="00BF0DA2"/>
    <w:rsid w:val="00BF109C"/>
    <w:rsid w:val="00BF34FA"/>
    <w:rsid w:val="00BF73DB"/>
    <w:rsid w:val="00BF79FE"/>
    <w:rsid w:val="00C004B6"/>
    <w:rsid w:val="00C047A7"/>
    <w:rsid w:val="00C05DE5"/>
    <w:rsid w:val="00C12784"/>
    <w:rsid w:val="00C174BF"/>
    <w:rsid w:val="00C326BC"/>
    <w:rsid w:val="00C33027"/>
    <w:rsid w:val="00C3640B"/>
    <w:rsid w:val="00C37667"/>
    <w:rsid w:val="00C41935"/>
    <w:rsid w:val="00C435DB"/>
    <w:rsid w:val="00C44D73"/>
    <w:rsid w:val="00C50948"/>
    <w:rsid w:val="00C50B42"/>
    <w:rsid w:val="00C516FF"/>
    <w:rsid w:val="00C52BFA"/>
    <w:rsid w:val="00C53D1D"/>
    <w:rsid w:val="00C53F26"/>
    <w:rsid w:val="00C540BC"/>
    <w:rsid w:val="00C5499D"/>
    <w:rsid w:val="00C54DD0"/>
    <w:rsid w:val="00C62A29"/>
    <w:rsid w:val="00C64F7D"/>
    <w:rsid w:val="00C67309"/>
    <w:rsid w:val="00C74DC1"/>
    <w:rsid w:val="00C7614E"/>
    <w:rsid w:val="00C77BF1"/>
    <w:rsid w:val="00C80D60"/>
    <w:rsid w:val="00C82FBD"/>
    <w:rsid w:val="00C84E51"/>
    <w:rsid w:val="00C85267"/>
    <w:rsid w:val="00C85D37"/>
    <w:rsid w:val="00C860E3"/>
    <w:rsid w:val="00C8721B"/>
    <w:rsid w:val="00C9372C"/>
    <w:rsid w:val="00C9470E"/>
    <w:rsid w:val="00C95CEB"/>
    <w:rsid w:val="00CA010D"/>
    <w:rsid w:val="00CA1054"/>
    <w:rsid w:val="00CA1F47"/>
    <w:rsid w:val="00CA63EB"/>
    <w:rsid w:val="00CA69F1"/>
    <w:rsid w:val="00CB6991"/>
    <w:rsid w:val="00CC6194"/>
    <w:rsid w:val="00CC6305"/>
    <w:rsid w:val="00CC78A5"/>
    <w:rsid w:val="00CD0516"/>
    <w:rsid w:val="00CD33D2"/>
    <w:rsid w:val="00CD756B"/>
    <w:rsid w:val="00CE734F"/>
    <w:rsid w:val="00CF112E"/>
    <w:rsid w:val="00CF2AA5"/>
    <w:rsid w:val="00CF478C"/>
    <w:rsid w:val="00CF5F4F"/>
    <w:rsid w:val="00CF71CF"/>
    <w:rsid w:val="00D02A1A"/>
    <w:rsid w:val="00D069DD"/>
    <w:rsid w:val="00D13E7B"/>
    <w:rsid w:val="00D176F0"/>
    <w:rsid w:val="00D2098D"/>
    <w:rsid w:val="00D218DC"/>
    <w:rsid w:val="00D24E56"/>
    <w:rsid w:val="00D31643"/>
    <w:rsid w:val="00D31AEB"/>
    <w:rsid w:val="00D32DEC"/>
    <w:rsid w:val="00D32ECD"/>
    <w:rsid w:val="00D361E4"/>
    <w:rsid w:val="00D37187"/>
    <w:rsid w:val="00D40224"/>
    <w:rsid w:val="00D42A8F"/>
    <w:rsid w:val="00D439F6"/>
    <w:rsid w:val="00D4488B"/>
    <w:rsid w:val="00D459C6"/>
    <w:rsid w:val="00D50729"/>
    <w:rsid w:val="00D50C19"/>
    <w:rsid w:val="00D5379E"/>
    <w:rsid w:val="00D62643"/>
    <w:rsid w:val="00D64C0F"/>
    <w:rsid w:val="00D702D1"/>
    <w:rsid w:val="00D72EFE"/>
    <w:rsid w:val="00D7507B"/>
    <w:rsid w:val="00D76227"/>
    <w:rsid w:val="00D77BE2"/>
    <w:rsid w:val="00D77DF1"/>
    <w:rsid w:val="00D86AFF"/>
    <w:rsid w:val="00D94D09"/>
    <w:rsid w:val="00D95A44"/>
    <w:rsid w:val="00D95D16"/>
    <w:rsid w:val="00D97C76"/>
    <w:rsid w:val="00DA33B8"/>
    <w:rsid w:val="00DA54F7"/>
    <w:rsid w:val="00DB0139"/>
    <w:rsid w:val="00DB02B4"/>
    <w:rsid w:val="00DB07C6"/>
    <w:rsid w:val="00DB13D9"/>
    <w:rsid w:val="00DB36B5"/>
    <w:rsid w:val="00DB538D"/>
    <w:rsid w:val="00DC275C"/>
    <w:rsid w:val="00DC4B0D"/>
    <w:rsid w:val="00DC5265"/>
    <w:rsid w:val="00DC7FE1"/>
    <w:rsid w:val="00DD38E8"/>
    <w:rsid w:val="00DD3F3F"/>
    <w:rsid w:val="00DD5572"/>
    <w:rsid w:val="00DE5D80"/>
    <w:rsid w:val="00DF584D"/>
    <w:rsid w:val="00DF58CD"/>
    <w:rsid w:val="00DF65DE"/>
    <w:rsid w:val="00E019A5"/>
    <w:rsid w:val="00E02EC8"/>
    <w:rsid w:val="00E037F5"/>
    <w:rsid w:val="00E04ECB"/>
    <w:rsid w:val="00E05288"/>
    <w:rsid w:val="00E05A09"/>
    <w:rsid w:val="00E063F5"/>
    <w:rsid w:val="00E06CA1"/>
    <w:rsid w:val="00E16EC4"/>
    <w:rsid w:val="00E172B8"/>
    <w:rsid w:val="00E17FB4"/>
    <w:rsid w:val="00E20685"/>
    <w:rsid w:val="00E20B75"/>
    <w:rsid w:val="00E214F2"/>
    <w:rsid w:val="00E2371E"/>
    <w:rsid w:val="00E24BD7"/>
    <w:rsid w:val="00E24C6D"/>
    <w:rsid w:val="00E253E3"/>
    <w:rsid w:val="00E26523"/>
    <w:rsid w:val="00E26809"/>
    <w:rsid w:val="00E3397D"/>
    <w:rsid w:val="00E3412D"/>
    <w:rsid w:val="00E454DA"/>
    <w:rsid w:val="00E53F00"/>
    <w:rsid w:val="00E555F2"/>
    <w:rsid w:val="00E566C6"/>
    <w:rsid w:val="00E57322"/>
    <w:rsid w:val="00E625FD"/>
    <w:rsid w:val="00E628CB"/>
    <w:rsid w:val="00E62AD9"/>
    <w:rsid w:val="00E638C8"/>
    <w:rsid w:val="00E7509B"/>
    <w:rsid w:val="00E803AB"/>
    <w:rsid w:val="00E86590"/>
    <w:rsid w:val="00E907FF"/>
    <w:rsid w:val="00EA2458"/>
    <w:rsid w:val="00EA42D1"/>
    <w:rsid w:val="00EA42EF"/>
    <w:rsid w:val="00EA7B18"/>
    <w:rsid w:val="00EB2DD1"/>
    <w:rsid w:val="00EB6B37"/>
    <w:rsid w:val="00EC29FE"/>
    <w:rsid w:val="00EC3C70"/>
    <w:rsid w:val="00ED3A3D"/>
    <w:rsid w:val="00ED529F"/>
    <w:rsid w:val="00ED538A"/>
    <w:rsid w:val="00ED6FBC"/>
    <w:rsid w:val="00ED79DE"/>
    <w:rsid w:val="00EE2F16"/>
    <w:rsid w:val="00EE2F2E"/>
    <w:rsid w:val="00EE3861"/>
    <w:rsid w:val="00EF290C"/>
    <w:rsid w:val="00EF2E73"/>
    <w:rsid w:val="00EF7683"/>
    <w:rsid w:val="00EF7A2D"/>
    <w:rsid w:val="00F025D6"/>
    <w:rsid w:val="00F04F8D"/>
    <w:rsid w:val="00F10AD0"/>
    <w:rsid w:val="00F116CC"/>
    <w:rsid w:val="00F1191F"/>
    <w:rsid w:val="00F12BD1"/>
    <w:rsid w:val="00F15327"/>
    <w:rsid w:val="00F168CF"/>
    <w:rsid w:val="00F2555C"/>
    <w:rsid w:val="00F31DF3"/>
    <w:rsid w:val="00F33AE5"/>
    <w:rsid w:val="00F3597D"/>
    <w:rsid w:val="00F40E82"/>
    <w:rsid w:val="00F4376D"/>
    <w:rsid w:val="00F43EFF"/>
    <w:rsid w:val="00F440C2"/>
    <w:rsid w:val="00F45399"/>
    <w:rsid w:val="00F465EA"/>
    <w:rsid w:val="00F54E7B"/>
    <w:rsid w:val="00F55901"/>
    <w:rsid w:val="00F55A88"/>
    <w:rsid w:val="00F71217"/>
    <w:rsid w:val="00F725C6"/>
    <w:rsid w:val="00F72B3C"/>
    <w:rsid w:val="00F74005"/>
    <w:rsid w:val="00F76884"/>
    <w:rsid w:val="00F777D6"/>
    <w:rsid w:val="00F83D24"/>
    <w:rsid w:val="00F83DD9"/>
    <w:rsid w:val="00F83F40"/>
    <w:rsid w:val="00F86EA5"/>
    <w:rsid w:val="00FA117A"/>
    <w:rsid w:val="00FA5A75"/>
    <w:rsid w:val="00FA6BA6"/>
    <w:rsid w:val="00FB0112"/>
    <w:rsid w:val="00FB386A"/>
    <w:rsid w:val="00FB6C6F"/>
    <w:rsid w:val="00FC0786"/>
    <w:rsid w:val="00FC28B3"/>
    <w:rsid w:val="00FC49EF"/>
    <w:rsid w:val="00FC6059"/>
    <w:rsid w:val="00FD123A"/>
    <w:rsid w:val="00FD61C2"/>
    <w:rsid w:val="00FE36E2"/>
    <w:rsid w:val="00FE4E9A"/>
    <w:rsid w:val="00FE74C8"/>
    <w:rsid w:val="00FF11AD"/>
    <w:rsid w:val="00FF2971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F56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character" w:styleId="Tekstzastpczy">
    <w:name w:val="Placeholder Text"/>
    <w:basedOn w:val="Domylnaczcionkaakapitu"/>
    <w:uiPriority w:val="99"/>
    <w:semiHidden/>
    <w:rsid w:val="00EF290C"/>
    <w:rPr>
      <w:color w:val="808080"/>
    </w:rPr>
  </w:style>
  <w:style w:type="table" w:styleId="Jasnecieniowanieakcent5">
    <w:name w:val="Light Shading Accent 5"/>
    <w:basedOn w:val="Standardowy"/>
    <w:uiPriority w:val="60"/>
    <w:rsid w:val="004C3F6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character" w:styleId="Tekstzastpczy">
    <w:name w:val="Placeholder Text"/>
    <w:basedOn w:val="Domylnaczcionkaakapitu"/>
    <w:uiPriority w:val="99"/>
    <w:semiHidden/>
    <w:rsid w:val="00EF290C"/>
    <w:rPr>
      <w:color w:val="808080"/>
    </w:rPr>
  </w:style>
  <w:style w:type="table" w:styleId="Jasnecieniowanieakcent5">
    <w:name w:val="Light Shading Accent 5"/>
    <w:basedOn w:val="Standardowy"/>
    <w:uiPriority w:val="60"/>
    <w:rsid w:val="004C3F6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wiktoria.machnik@m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tarzyna.szpot-prusak@mr.gov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DC878-6BF1-4BEF-BF44-5BC76C6CD293}"/>
      </w:docPartPr>
      <w:docPartBody>
        <w:p w:rsidR="00F523DD" w:rsidRDefault="00AD66A9">
          <w:r w:rsidRPr="008D2484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BFA08-CA9F-4AF9-91D6-5D6458516FEB}"/>
      </w:docPartPr>
      <w:docPartBody>
        <w:p w:rsidR="00F523DD" w:rsidRDefault="00AD66A9">
          <w:r w:rsidRPr="008D248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D66A9"/>
    <w:rsid w:val="00012E8C"/>
    <w:rsid w:val="000F09E3"/>
    <w:rsid w:val="001522A9"/>
    <w:rsid w:val="001C555E"/>
    <w:rsid w:val="00327A6F"/>
    <w:rsid w:val="0035426D"/>
    <w:rsid w:val="004B2940"/>
    <w:rsid w:val="004B3AA3"/>
    <w:rsid w:val="004B7F8D"/>
    <w:rsid w:val="004F0705"/>
    <w:rsid w:val="0050126C"/>
    <w:rsid w:val="00551F98"/>
    <w:rsid w:val="00553156"/>
    <w:rsid w:val="005D0837"/>
    <w:rsid w:val="005D3831"/>
    <w:rsid w:val="00716AD7"/>
    <w:rsid w:val="00743317"/>
    <w:rsid w:val="008C7CA2"/>
    <w:rsid w:val="009E30FC"/>
    <w:rsid w:val="00AD66A9"/>
    <w:rsid w:val="00B02F42"/>
    <w:rsid w:val="00B3230C"/>
    <w:rsid w:val="00C145ED"/>
    <w:rsid w:val="00C23029"/>
    <w:rsid w:val="00C55005"/>
    <w:rsid w:val="00C94ED2"/>
    <w:rsid w:val="00C97CDD"/>
    <w:rsid w:val="00CA4E64"/>
    <w:rsid w:val="00CD6EFE"/>
    <w:rsid w:val="00CE23BC"/>
    <w:rsid w:val="00D00503"/>
    <w:rsid w:val="00D15A14"/>
    <w:rsid w:val="00E22CED"/>
    <w:rsid w:val="00E31338"/>
    <w:rsid w:val="00E476B0"/>
    <w:rsid w:val="00E81330"/>
    <w:rsid w:val="00F040D5"/>
    <w:rsid w:val="00F523DD"/>
    <w:rsid w:val="00F96B06"/>
    <w:rsid w:val="00FC112A"/>
    <w:rsid w:val="00FC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E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66A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BA41-B6B9-4120-A771-FA068D16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5631</Words>
  <Characters>33789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OSR</vt:lpstr>
    </vt:vector>
  </TitlesOfParts>
  <LinksUpToDate>false</LinksUpToDate>
  <CharactersWithSpaces>39342</CharactersWithSpaces>
  <SharedDoc>false</SharedDoc>
  <HLinks>
    <vt:vector size="12" baseType="variant">
      <vt:variant>
        <vt:i4>1638433</vt:i4>
      </vt:variant>
      <vt:variant>
        <vt:i4>103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;jsessionid=1065FD5D001213ECD71FD650347F1674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1%20-%20p_p_id_101_INSTANCE_S0gu_</vt:lpwstr>
      </vt:variant>
      <vt:variant>
        <vt:lpwstr/>
      </vt:variant>
      <vt:variant>
        <vt:i4>8323197</vt:i4>
      </vt:variant>
      <vt:variant>
        <vt:i4>100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</vt:lpwstr>
      </vt:variant>
      <vt:variant>
        <vt:lpwstr>p_p_id_101_INSTANCE_S0gu_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OSR</dc:title>
  <dc:creator/>
  <cp:keywords>ocena skutków regulacji</cp:keywords>
  <cp:lastModifiedBy/>
  <cp:revision>1</cp:revision>
  <dcterms:created xsi:type="dcterms:W3CDTF">2020-07-08T20:26:00Z</dcterms:created>
  <dcterms:modified xsi:type="dcterms:W3CDTF">2020-07-10T10:23:00Z</dcterms:modified>
</cp:coreProperties>
</file>