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B2" w:rsidRPr="00C1586D" w:rsidRDefault="00446CB2" w:rsidP="00446CB2">
      <w:pPr>
        <w:pStyle w:val="Tekstpodstawowy2"/>
        <w:shd w:val="clear" w:color="auto" w:fill="auto"/>
        <w:spacing w:after="0" w:line="414" w:lineRule="exact"/>
        <w:ind w:left="20" w:right="20" w:firstLine="70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C1586D">
        <w:rPr>
          <w:rFonts w:ascii="Times New Roman" w:hAnsi="Times New Roman" w:cs="Times New Roman"/>
          <w:b/>
        </w:rPr>
        <w:t>UZASADNIENIE</w:t>
      </w:r>
    </w:p>
    <w:p w:rsidR="00446CB2" w:rsidRDefault="00446CB2" w:rsidP="00446CB2">
      <w:pPr>
        <w:pStyle w:val="Tekstpodstawowy2"/>
        <w:shd w:val="clear" w:color="auto" w:fill="auto"/>
        <w:spacing w:after="0" w:line="414" w:lineRule="exact"/>
        <w:ind w:left="20" w:right="20" w:firstLine="700"/>
        <w:jc w:val="both"/>
        <w:rPr>
          <w:rFonts w:ascii="Times New Roman" w:hAnsi="Times New Roman" w:cs="Times New Roman"/>
        </w:rPr>
      </w:pPr>
    </w:p>
    <w:p w:rsidR="00474046" w:rsidRPr="00474046" w:rsidRDefault="00474046" w:rsidP="00474046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474046">
        <w:rPr>
          <w:rFonts w:ascii="Times New Roman" w:hAnsi="Times New Roman" w:cs="Times New Roman"/>
        </w:rPr>
        <w:t xml:space="preserve">W związku ze złożeniem wniosku o wprowadzenie projektu uchwały Rady Ministrów w sprawie ustanowienia </w:t>
      </w:r>
      <w:r w:rsidRPr="00474046">
        <w:rPr>
          <w:rFonts w:ascii="Times New Roman" w:hAnsi="Times New Roman" w:cs="Times New Roman"/>
          <w:bCs/>
        </w:rPr>
        <w:t xml:space="preserve">Rządowego programu rozwijania szkolnej infrastruktury oraz kompetencji uczniów i nauczycieli w zakresie technologii informacyjno-komunikacyjnych na lata 2020-2024 – „Aktywna tablica” oraz projektu rozporządzenia Rady Ministrów w sprawie szczegółowych warunków, form i trybu realizacji Rządowego programu rozwijania szkolnej infrastruktury oraz kompetencji uczniów i nauczycieli w zakresie technologii informacyjno-komunikacyjnych – „Aktywna tablica” na lata 2020-2024 </w:t>
      </w:r>
      <w:r w:rsidRPr="00474046">
        <w:rPr>
          <w:rFonts w:ascii="Times New Roman" w:hAnsi="Times New Roman" w:cs="Times New Roman"/>
        </w:rPr>
        <w:t>do wykazu prac legislacyjnych i programowych Rady Ministrów, poniżej przedstawiam rozstrzygnięcia dotyczące projektowanego rozporządzenia.</w:t>
      </w:r>
    </w:p>
    <w:p w:rsidR="00474046" w:rsidRPr="00474046" w:rsidRDefault="00474046" w:rsidP="00474046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474046">
        <w:rPr>
          <w:rFonts w:ascii="Times New Roman" w:hAnsi="Times New Roman" w:cs="Times New Roman"/>
        </w:rPr>
        <w:lastRenderedPageBreak/>
        <w:t>W projektowanym rozporządzeniu, wydanym na podstawie  upoważnienia zawartego w art. 90u ust. 4 pkt 6 ustawy o systemie oświaty (</w:t>
      </w:r>
      <w:r w:rsidRPr="00474046">
        <w:rPr>
          <w:rFonts w:ascii="Times New Roman" w:hAnsi="Times New Roman" w:cs="Times New Roman"/>
          <w:bCs/>
        </w:rPr>
        <w:t>Dz. U. z 2019 r. poz. 1481, z późn. zm.)</w:t>
      </w:r>
      <w:r w:rsidRPr="00474046">
        <w:rPr>
          <w:rFonts w:ascii="Times New Roman" w:hAnsi="Times New Roman" w:cs="Times New Roman"/>
        </w:rPr>
        <w:t xml:space="preserve"> określa się:</w:t>
      </w:r>
    </w:p>
    <w:p w:rsidR="00474046" w:rsidRPr="00474046" w:rsidRDefault="00474046" w:rsidP="00474046">
      <w:pPr>
        <w:widowControl/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74046">
        <w:rPr>
          <w:rFonts w:ascii="Times New Roman" w:eastAsia="Times New Roman" w:hAnsi="Times New Roman" w:cs="Times New Roman"/>
          <w:bCs/>
          <w:color w:val="auto"/>
          <w:lang w:bidi="ar-SA"/>
        </w:rPr>
        <w:t>1)</w:t>
      </w:r>
      <w:r w:rsidRPr="00474046">
        <w:rPr>
          <w:rFonts w:ascii="Times New Roman" w:eastAsia="Times New Roman" w:hAnsi="Times New Roman" w:cs="Times New Roman"/>
          <w:bCs/>
          <w:color w:val="auto"/>
          <w:lang w:bidi="ar-SA"/>
        </w:rPr>
        <w:tab/>
        <w:t>zakres i formę finansowego wspierania organów prowadzących szkoły podstawowe, szkoły ponadpodstawowe dla dzieci i młodzieży (licea ogólnokształcące, technika, branżowe szkoły I stopnia), w tym szkoły za granicą, szkoły artystyczne realizujące kształcenie ogólne w zakresie szkoły podstawowej lub liceum ogólnokształcącego oraz specjalne ośrodki szkolno-wychowawcze</w:t>
      </w:r>
      <w:r w:rsidRPr="00474046">
        <w:rPr>
          <w:rFonts w:ascii="Times" w:eastAsia="Times New Roman" w:hAnsi="Times" w:cs="Arial"/>
          <w:bCs/>
          <w:color w:val="auto"/>
          <w:szCs w:val="20"/>
          <w:lang w:bidi="ar-SA"/>
        </w:rPr>
        <w:t xml:space="preserve"> </w:t>
      </w:r>
      <w:r w:rsidRPr="00474046">
        <w:rPr>
          <w:rFonts w:ascii="Times New Roman" w:eastAsia="Times New Roman" w:hAnsi="Times New Roman" w:cs="Times New Roman"/>
          <w:bCs/>
          <w:color w:val="auto"/>
          <w:lang w:bidi="ar-SA"/>
        </w:rPr>
        <w:t>w obszarze rozwijania szkolnej infrastruktury oraz kompetencji uczniów i nauczycieli w zakresie stosowania technologii informacyjno-ko</w:t>
      </w:r>
      <w:r w:rsidRPr="00474046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munikacyjnych realizowanego na podstawie Rządowego programu rozwijania szkolnej infrastruktury oraz kompetencji uczniów i nauczycieli w zakresie technologii informacyjno-komunikacyjnych na lata 2020-2024 – „Aktywna tablica”, ustanowionego uchwałą nr ……. Rady Ministrów z dnia ………… 2020 r., zwanego dalej „Programem”;</w:t>
      </w:r>
    </w:p>
    <w:p w:rsidR="00474046" w:rsidRPr="00474046" w:rsidRDefault="00474046" w:rsidP="00474046">
      <w:pPr>
        <w:widowControl/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74046">
        <w:rPr>
          <w:rFonts w:ascii="Times New Roman" w:eastAsia="Times New Roman" w:hAnsi="Times New Roman" w:cs="Times New Roman"/>
          <w:bCs/>
          <w:color w:val="auto"/>
          <w:lang w:bidi="ar-SA"/>
        </w:rPr>
        <w:t>2)</w:t>
      </w:r>
      <w:r w:rsidRPr="00474046">
        <w:rPr>
          <w:rFonts w:ascii="Times New Roman" w:eastAsia="Times New Roman" w:hAnsi="Times New Roman" w:cs="Times New Roman"/>
          <w:bCs/>
          <w:color w:val="auto"/>
          <w:lang w:bidi="ar-SA"/>
        </w:rPr>
        <w:tab/>
        <w:t>zakres informacji, jakie zawierają wniosek o udział w Programie i wniosek o udzielenie wsparcia finansowego;</w:t>
      </w:r>
    </w:p>
    <w:p w:rsidR="00474046" w:rsidRPr="00474046" w:rsidRDefault="00474046" w:rsidP="00474046">
      <w:pPr>
        <w:widowControl/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74046">
        <w:rPr>
          <w:rFonts w:ascii="Times New Roman" w:eastAsia="Times New Roman" w:hAnsi="Times New Roman" w:cs="Times New Roman"/>
          <w:bCs/>
          <w:color w:val="auto"/>
          <w:lang w:bidi="ar-SA"/>
        </w:rPr>
        <w:t>3)</w:t>
      </w:r>
      <w:r w:rsidRPr="00474046">
        <w:rPr>
          <w:rFonts w:ascii="Times New Roman" w:eastAsia="Times New Roman" w:hAnsi="Times New Roman" w:cs="Times New Roman"/>
          <w:bCs/>
          <w:color w:val="auto"/>
          <w:lang w:bidi="ar-SA"/>
        </w:rPr>
        <w:tab/>
        <w:t>tryb kwalifikacji wniosków, o których mowa w pkt 2;</w:t>
      </w:r>
    </w:p>
    <w:p w:rsidR="00474046" w:rsidRPr="00474046" w:rsidRDefault="00474046" w:rsidP="00474046">
      <w:pPr>
        <w:widowControl/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74046">
        <w:rPr>
          <w:rFonts w:ascii="Times New Roman" w:eastAsia="Times New Roman" w:hAnsi="Times New Roman" w:cs="Times New Roman"/>
          <w:bCs/>
          <w:color w:val="auto"/>
          <w:lang w:bidi="ar-SA"/>
        </w:rPr>
        <w:t>4)</w:t>
      </w:r>
      <w:r w:rsidRPr="00474046">
        <w:rPr>
          <w:rFonts w:ascii="Times New Roman" w:eastAsia="Times New Roman" w:hAnsi="Times New Roman" w:cs="Times New Roman"/>
          <w:bCs/>
          <w:color w:val="auto"/>
          <w:lang w:bidi="ar-SA"/>
        </w:rPr>
        <w:tab/>
        <w:t>sposób podziału środków budżetu państwa przyznanych na realizację Programu;</w:t>
      </w:r>
    </w:p>
    <w:p w:rsidR="00474046" w:rsidRPr="00474046" w:rsidRDefault="00474046" w:rsidP="00474046">
      <w:pPr>
        <w:widowControl/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74046">
        <w:rPr>
          <w:rFonts w:ascii="Times New Roman" w:eastAsia="Times New Roman" w:hAnsi="Times New Roman" w:cs="Times New Roman"/>
          <w:bCs/>
          <w:color w:val="auto"/>
          <w:lang w:bidi="ar-SA"/>
        </w:rPr>
        <w:t>5)</w:t>
      </w:r>
      <w:r w:rsidRPr="00474046">
        <w:rPr>
          <w:rFonts w:ascii="Times New Roman" w:eastAsia="Times New Roman" w:hAnsi="Times New Roman" w:cs="Times New Roman"/>
          <w:bCs/>
          <w:color w:val="auto"/>
          <w:lang w:bidi="ar-SA"/>
        </w:rPr>
        <w:tab/>
        <w:t>sposób monitorowania i oceny realizacji Programu.</w:t>
      </w:r>
    </w:p>
    <w:p w:rsidR="00474046" w:rsidRPr="00474046" w:rsidRDefault="00474046" w:rsidP="00474046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74046" w:rsidRPr="00474046" w:rsidRDefault="00474046" w:rsidP="00474046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74046">
        <w:rPr>
          <w:rFonts w:ascii="Times New Roman" w:eastAsia="Times New Roman" w:hAnsi="Times New Roman" w:cs="Times New Roman"/>
          <w:bCs/>
          <w:color w:val="auto"/>
          <w:lang w:bidi="ar-SA"/>
        </w:rPr>
        <w:t>Jednym z zasadniczych zadań współczesnej szkoły jest rozwijanie kompetencji uczniów przygotowujących ich do życia w społeczeństwie informacyjnym przy założeniu, że rozwój kompetencji uczniów w tym zakresie powinien dokonywać się w nowocześnie wyposażonej szkole przez działania odpowiednio przygotowanych nauczycieli, świadomych korzyści edukacyjnych z wykorzystania technologii informacyjno-komunikacyjnych, zwanych dalej „TIK”. W związku z tym Program przewiduje udzielenie wsparcia finansowego organom prowadzącym szkoły podstawowe, szkoły ponadpodstawowe dla dzieci i młodzieży (licea ogólnokształcące, technika, branżowe szkoły I stopnia), szkoły za gra</w:t>
      </w:r>
      <w:r w:rsidRPr="00474046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 xml:space="preserve">nicą, szkoły artystyczne realizujące kształcenie ogólne w zakresie szkoły podstawowej lub liceum ogólnokształcącego oraz specjalne ośrodki szkolno-wychowawcze (SOSW) na zakup sprzętu, pomocy dydaktycznych i narzędzi do terapii do realizacji programów nauczania z wykorzystaniem TIK. W związku z udzielonym wsparciem szkoła, szkoła za granicą i SOSW będą obowiązane do realizowania zadań określonych w Programie polegających na wdrożeniu TIK w proces nauczania, ponieważ dodatkowym celem Programu jest zmiana sposobu kształcenia lub uczenia się polegająca na wprowadzanie interaktywnych metod pracy na zajęciach edukacyjnych z różnych przedmiotów, a tym samym wspomaganie procesu kształtowania u uczniów i nauczycieli postaw przedsiębiorczych, innowacyjnych, kreatywnych. </w:t>
      </w:r>
    </w:p>
    <w:p w:rsidR="00474046" w:rsidRPr="00474046" w:rsidRDefault="00474046" w:rsidP="00474046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74046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Projektowane rozporządzenie będzie kontynuacją działań podejmowanych w poprzedniej edycji programu na lata 2017–2019 i obejmie:</w:t>
      </w:r>
    </w:p>
    <w:p w:rsidR="00474046" w:rsidRPr="00474046" w:rsidRDefault="00474046" w:rsidP="00474046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474046">
        <w:rPr>
          <w:rFonts w:ascii="Times New Roman" w:eastAsia="Calibri" w:hAnsi="Times New Roman" w:cs="Times New Roman"/>
          <w:lang w:eastAsia="en-US" w:bidi="ar-SA"/>
        </w:rPr>
        <w:t>szkoły podstawowe, które nie otrzymały wsparcia finansowego w poprzedniej edycji programu na lata 2017</w:t>
      </w:r>
      <w:r w:rsidRPr="00474046">
        <w:rPr>
          <w:rFonts w:ascii="Times New Roman" w:eastAsia="Calibri" w:hAnsi="Times New Roman" w:cs="Times New Roman"/>
          <w:bCs/>
          <w:lang w:eastAsia="en-US"/>
        </w:rPr>
        <w:t>–</w:t>
      </w:r>
      <w:r w:rsidRPr="00474046">
        <w:rPr>
          <w:rFonts w:ascii="Times New Roman" w:eastAsia="Calibri" w:hAnsi="Times New Roman" w:cs="Times New Roman"/>
          <w:lang w:eastAsia="en-US" w:bidi="ar-SA"/>
        </w:rPr>
        <w:t>2019;</w:t>
      </w:r>
    </w:p>
    <w:p w:rsidR="00474046" w:rsidRPr="00474046" w:rsidRDefault="00474046" w:rsidP="00474046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474046">
        <w:rPr>
          <w:rFonts w:ascii="Times New Roman" w:eastAsia="Calibri" w:hAnsi="Times New Roman" w:cs="Times New Roman"/>
          <w:lang w:eastAsia="en-US" w:bidi="ar-SA"/>
        </w:rPr>
        <w:t>szkoły ponadpodstawowe dla dzieci i młodzieży;</w:t>
      </w:r>
    </w:p>
    <w:p w:rsidR="00474046" w:rsidRPr="00474046" w:rsidRDefault="00474046" w:rsidP="00474046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474046">
        <w:rPr>
          <w:rFonts w:ascii="Times New Roman" w:eastAsia="Calibri" w:hAnsi="Times New Roman" w:cs="Times New Roman"/>
          <w:lang w:eastAsia="en-US" w:bidi="ar-SA"/>
        </w:rPr>
        <w:t>szkoły podstawowe, w których kształcą się uczniowie ze specjalnymi potrzebami edukacyjnymi, w tym:</w:t>
      </w:r>
    </w:p>
    <w:p w:rsidR="00474046" w:rsidRPr="00474046" w:rsidRDefault="00474046" w:rsidP="00474046">
      <w:pPr>
        <w:widowControl/>
        <w:numPr>
          <w:ilvl w:val="0"/>
          <w:numId w:val="8"/>
        </w:numPr>
        <w:spacing w:line="360" w:lineRule="auto"/>
        <w:ind w:left="1056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  <w:r w:rsidRPr="00474046">
        <w:rPr>
          <w:rFonts w:ascii="Times New Roman" w:eastAsia="Calibri" w:hAnsi="Times New Roman" w:cs="Times New Roman"/>
          <w:lang w:eastAsia="en-US" w:bidi="ar-SA"/>
        </w:rPr>
        <w:t>uczniowie niewidomi,</w:t>
      </w:r>
    </w:p>
    <w:p w:rsidR="00474046" w:rsidRPr="00474046" w:rsidRDefault="00474046" w:rsidP="00474046">
      <w:pPr>
        <w:widowControl/>
        <w:numPr>
          <w:ilvl w:val="0"/>
          <w:numId w:val="8"/>
        </w:numPr>
        <w:spacing w:line="360" w:lineRule="auto"/>
        <w:ind w:left="1056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  <w:r w:rsidRPr="00474046">
        <w:rPr>
          <w:rFonts w:ascii="Times New Roman" w:eastAsia="Calibri" w:hAnsi="Times New Roman" w:cs="Times New Roman"/>
          <w:lang w:eastAsia="en-US" w:bidi="ar-SA"/>
        </w:rPr>
        <w:t xml:space="preserve">uczniowie z innymi niepełnosprawnościami, </w:t>
      </w:r>
    </w:p>
    <w:p w:rsidR="00474046" w:rsidRPr="00474046" w:rsidRDefault="00474046" w:rsidP="00474046">
      <w:pPr>
        <w:widowControl/>
        <w:numPr>
          <w:ilvl w:val="0"/>
          <w:numId w:val="8"/>
        </w:numPr>
        <w:spacing w:line="360" w:lineRule="auto"/>
        <w:ind w:left="1056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  <w:r w:rsidRPr="00474046">
        <w:rPr>
          <w:rFonts w:ascii="Times New Roman" w:eastAsia="Calibri" w:hAnsi="Times New Roman" w:cs="Times New Roman"/>
          <w:lang w:eastAsia="en-US" w:bidi="ar-SA"/>
        </w:rPr>
        <w:t xml:space="preserve">uczniowie posiadający różnorodne zaburzenia rozwojowe, utrudniające lub uniemożliwiające prawidłowy proces kształcenia i uczenia się; </w:t>
      </w:r>
    </w:p>
    <w:p w:rsidR="00474046" w:rsidRPr="00474046" w:rsidRDefault="00474046" w:rsidP="00474046">
      <w:pPr>
        <w:widowControl/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  <w:r w:rsidRPr="00474046">
        <w:rPr>
          <w:rFonts w:ascii="Times New Roman" w:eastAsia="Calibri" w:hAnsi="Times New Roman" w:cs="Times New Roman"/>
          <w:lang w:eastAsia="en-US" w:bidi="ar-SA"/>
        </w:rPr>
        <w:lastRenderedPageBreak/>
        <w:t>specjalne ośrodki szkolno-wychowawcze.</w:t>
      </w: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474046">
        <w:rPr>
          <w:rFonts w:ascii="Times New Roman" w:eastAsia="Calibri" w:hAnsi="Times New Roman" w:cs="Times New Roman"/>
          <w:lang w:eastAsia="en-US" w:bidi="ar-SA"/>
        </w:rPr>
        <w:t>Ze względu na szacowany zakres wyposażenia szkół, zróżnicowane potrzeby uczniów i nauczycieli w zakresie korzystania ze sprzętu, pomocy dydaktycznych i narzędzi do terapii, nastąpi przebudowa programu w stosunku do poprzedniej edycji programu na lata 2017-2019, m.in. zostaną określone inne progi wsparcia finansowego dla szkół, w których kształcą się uczniowie ze specjalnymi potrzebami edukacyjnymi, w tym uczniowie niewidomi oraz uczniowie z niepełnosprawnościami.</w:t>
      </w: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474046">
        <w:rPr>
          <w:rFonts w:ascii="Times New Roman" w:eastAsia="Calibri" w:hAnsi="Times New Roman" w:cs="Times New Roman"/>
          <w:bCs/>
          <w:lang w:eastAsia="en-US" w:bidi="ar-SA"/>
        </w:rPr>
        <w:t xml:space="preserve">Nowoczesne, otwarte, odpowiedzialne społeczeństwo uwzględnia oczekiwania dzieci i młodzieży ze specjalnymi potrzebami edukacyjnymi, w tym uczniów z niepełnosprawnościami (SPE). Odpowiadając na te potrzeby, nowa edycja </w:t>
      </w:r>
      <w:r w:rsidRPr="00474046">
        <w:rPr>
          <w:rFonts w:ascii="Times New Roman" w:eastAsia="Calibri" w:hAnsi="Times New Roman" w:cs="Times New Roman"/>
          <w:bCs/>
          <w:lang w:eastAsia="en-US" w:bidi="ar-SA"/>
        </w:rPr>
        <w:lastRenderedPageBreak/>
        <w:t xml:space="preserve">programu „Aktywna tablica” na lata 2020–2024 uwzględni w procesie wspierania szkół, również szkoły realizujące kształcenie uczniów o specjalnych potrzebach edukacyjnych, a także sytuację, w której nauczanie i uczenie się jest realizowane w ramach kształcenia na odległość. </w:t>
      </w: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bCs/>
          <w:lang w:eastAsia="en-US" w:bidi="ar-SA"/>
        </w:rPr>
      </w:pPr>
      <w:r w:rsidRPr="00474046">
        <w:rPr>
          <w:rFonts w:ascii="Times New Roman" w:eastAsia="Calibri" w:hAnsi="Times New Roman" w:cs="Times New Roman"/>
          <w:bCs/>
          <w:lang w:eastAsia="en-US" w:bidi="ar-SA"/>
        </w:rPr>
        <w:t xml:space="preserve">W 2020 r. dystrybucja środków finansowych na zakup pomocy dydaktycznych komputerów przenośnych – laptopów obejmie typy szkół określone w Programie oraz tych uczniów i nauczycieli, którym sprzęt jest konieczny do kształcenia na odległość. W 2020 r. będzie możliwy zakup przez organy prowadzące i dyrektorów szkół tylko jeden rodzaj pomocy dydaktycznych – laptopów, do kwoty maksymalnie 14 tys. zł. </w:t>
      </w: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bCs/>
          <w:lang w:eastAsia="en-US" w:bidi="ar-SA"/>
        </w:rPr>
      </w:pP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bCs/>
          <w:lang w:eastAsia="en-US" w:bidi="ar-SA"/>
        </w:rPr>
      </w:pPr>
      <w:r w:rsidRPr="00474046">
        <w:rPr>
          <w:rFonts w:ascii="Times New Roman" w:eastAsia="Calibri" w:hAnsi="Times New Roman" w:cs="Times New Roman"/>
          <w:bCs/>
          <w:lang w:eastAsia="en-US" w:bidi="ar-SA"/>
        </w:rPr>
        <w:t xml:space="preserve">Umożliwi to w sytuacji ponownego wystąpienia zagrożenia epidemicznego realizację kształcenia na odległość, a także realizację w kolejnych latach programu z uwzględnieniem wymaganych od szkół funkcjonalności, ponieważ każda szkoła przystępująca do programu powinna być wyposażona w co najmniej jeden laptop przypadający na jeden wnioskowany sprzęt. Kwota zaplanowana na 2020 r. umożliwi zakup około 10 tys. laptopów dla uczniów i nauczycieli szkół podstawowych i szkół ponadpodstawowych dla dzieci i młodzieży oraz szkół za granicą. </w:t>
      </w: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474046">
        <w:rPr>
          <w:rFonts w:ascii="Times New Roman" w:eastAsia="Calibri" w:hAnsi="Times New Roman" w:cs="Times New Roman"/>
          <w:lang w:eastAsia="en-US" w:bidi="ar-SA"/>
        </w:rPr>
        <w:lastRenderedPageBreak/>
        <w:t>Szkoły podstawowe, które nie otrzymały wsparcia finansowego w edycji 2017–2019, oraz szkoły ponadpodstawowe otrzymają dotację w maksymalnej wysokości do 14 tys. zł, szkoły podstawowe, w których kształcą się uczniowie ze specjalnymi potrzebami edukacyjnymi, otrzymają dotację w maksymalnej wysokości do 35 tys. zł, specjalne ośrodki szkolno-wychowawcze otrzymają dotację w maksymalnej wysokości do 100  tys. zł.</w:t>
      </w: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474046">
        <w:rPr>
          <w:rFonts w:ascii="Times New Roman" w:eastAsia="Calibri" w:hAnsi="Times New Roman" w:cs="Times New Roman"/>
          <w:lang w:eastAsia="en-US" w:bidi="ar-SA"/>
        </w:rPr>
        <w:t xml:space="preserve">Zróżnicowanie to wynika z szacowanej, uśrednionej wyceny specjalistycznego sprzętu do diagnozy i terapii dla uczniów o specjalnych potrzebach oraz wyceny specjalistycznych drukarek druku wypukłego możliwych do zakupu przez specjalne ośrodki szkolno-wychowawcze. </w:t>
      </w: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474046">
        <w:rPr>
          <w:rFonts w:ascii="Times New Roman" w:eastAsia="Calibri" w:hAnsi="Times New Roman" w:cs="Times New Roman"/>
          <w:lang w:eastAsia="en-US" w:bidi="ar-SA"/>
        </w:rPr>
        <w:t>Rozporządzenie w § 2</w:t>
      </w:r>
      <w:r w:rsidRPr="00474046">
        <w:rPr>
          <w:rFonts w:ascii="Times New Roman" w:eastAsia="Calibri" w:hAnsi="Times New Roman" w:cs="Times New Roman"/>
          <w:bCs/>
          <w:lang w:eastAsia="en-US"/>
        </w:rPr>
        <w:t>–</w:t>
      </w:r>
      <w:r w:rsidRPr="00474046">
        <w:rPr>
          <w:rFonts w:ascii="Times New Roman" w:eastAsia="Calibri" w:hAnsi="Times New Roman" w:cs="Times New Roman"/>
          <w:lang w:eastAsia="en-US" w:bidi="ar-SA"/>
        </w:rPr>
        <w:t>5 określa formę realizacji przedsięwzięcia dotyczącego rozwijania kompetencji uczniów i nauczycieli oraz szkolnej infrastruktury w zakresie TIK. Formą realizacji tego przedsięwzięcia będzie udzielenie organom prowadzącym szkoły, szkoły za granicą oraz specjalne ośrodki szkolno-</w:t>
      </w:r>
      <w:r w:rsidRPr="00474046">
        <w:rPr>
          <w:rFonts w:ascii="Times New Roman" w:eastAsia="Calibri" w:hAnsi="Times New Roman" w:cs="Times New Roman"/>
          <w:bCs/>
          <w:lang w:eastAsia="en-US"/>
        </w:rPr>
        <w:t xml:space="preserve">wychowawcze </w:t>
      </w:r>
      <w:r w:rsidRPr="00474046">
        <w:rPr>
          <w:rFonts w:ascii="Times New Roman" w:eastAsia="Calibri" w:hAnsi="Times New Roman" w:cs="Times New Roman"/>
          <w:lang w:eastAsia="en-US" w:bidi="ar-SA"/>
        </w:rPr>
        <w:t xml:space="preserve">wsparcia finansowego na zakup sprzętu, pomocy dydaktycznych i narzędzi do terapii niezbędnych do realizacji programów nauczania z wykorzystaniem TIK. Specyfikacja sprzętu, pomocy dydaktycznych i narzędzi do terapii (§ 2), które mogą być nabywane przez szkoły, szkoły za granicą i SOSW oraz określenie warunków (§ 2 ust. 12) dla zakupionych w ramach udzielonego wsparcia finansowego sprzętu, pomocy dydaktycznych i narzędzi do terapii ma </w:t>
      </w:r>
      <w:r w:rsidRPr="00474046">
        <w:rPr>
          <w:rFonts w:ascii="Times New Roman" w:eastAsia="Calibri" w:hAnsi="Times New Roman" w:cs="Times New Roman"/>
          <w:lang w:eastAsia="en-US" w:bidi="ar-SA"/>
        </w:rPr>
        <w:lastRenderedPageBreak/>
        <w:t>zagwarantować pozyskanie sprzętu, pomocy dydaktycznych i narzędzi do terapii w takiej konfiguracji, aby uzyskać w szkołach optymalne funkcjonalności w zakresie TIK w prowadzeniu zajęć edukacyjnych z różnych przedmiotów.</w:t>
      </w: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474046">
        <w:rPr>
          <w:rFonts w:ascii="Times New Roman" w:eastAsia="Calibri" w:hAnsi="Times New Roman" w:cs="Times New Roman"/>
          <w:lang w:eastAsia="en-US" w:bidi="ar-SA"/>
        </w:rPr>
        <w:t xml:space="preserve">Maksymalna kwota wsparcia finansowego dla szkół podstawowych i szkół ponadpodstawowych oraz szkół za granicą (14 tys. zł) została określona w taki sposób, aby umożliwić zakup przez szkoły i szkoły za granicą sprzętu, pomocy dydaktycznych i narzędzi do terapii o optymalnych dla danej szkoły funkcjonalnościach i zastosowaniach. W ramach przewidywanej łącznej kwoty wsparcia finansowego na realizację zadania będzie możliwy zakup średnio dwóch </w:t>
      </w:r>
      <w:r w:rsidRPr="00474046">
        <w:rPr>
          <w:rFonts w:ascii="Times New Roman" w:eastAsia="Calibri" w:hAnsi="Times New Roman" w:cs="Times New Roman"/>
          <w:lang w:eastAsia="en-US" w:bidi="ar-SA"/>
        </w:rPr>
        <w:lastRenderedPageBreak/>
        <w:t>zestawów zawierających tablicę interaktywną, projektor i głośniki lub jednego zestawu zawierającego interaktywny monitor dotykowy i głośniki.</w:t>
      </w:r>
    </w:p>
    <w:p w:rsidR="00474046" w:rsidRPr="00474046" w:rsidRDefault="00474046" w:rsidP="00474046">
      <w:pPr>
        <w:spacing w:after="123" w:line="418" w:lineRule="exact"/>
        <w:ind w:right="20"/>
        <w:jc w:val="both"/>
        <w:rPr>
          <w:rFonts w:ascii="Times New Roman" w:eastAsia="Microsoft Sans Serif" w:hAnsi="Times New Roman" w:cs="Times New Roman"/>
          <w:color w:val="auto"/>
          <w:lang w:eastAsia="en-US" w:bidi="ar-SA"/>
        </w:rPr>
      </w:pP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 xml:space="preserve">Z przeprowadzonej analizy cen pomocy dydaktycznych wynika, że pomoce kupowane w zestawach są tańsze niż kupowane oddzielnie. W ramach zaproponowanej listy sprzętu, pomocy dydaktycznych i narzędzi do terapii objętych wsparciem finansowym, organy prowadzące szkoły będą podejmowały decyzje co do wyboru sprzętu, pomocy dydaktycznych i narzędzi do terapii, w zależności od potrzeb prowadzonych przez nie szkół. </w:t>
      </w:r>
      <w:r w:rsidRPr="00474046">
        <w:rPr>
          <w:rFonts w:ascii="Times New Roman" w:eastAsia="Microsoft Sans Serif" w:hAnsi="Times New Roman" w:cs="Times New Roman"/>
          <w:color w:val="auto"/>
          <w:sz w:val="23"/>
          <w:szCs w:val="23"/>
          <w:lang w:eastAsia="en-US" w:bidi="ar-SA"/>
        </w:rPr>
        <w:t>W 2020 r. organ prowadzący szkołę lub dyrektor szkoły, będzie mógł zakupić dla jednej szkoły cztery laptopy.</w:t>
      </w:r>
    </w:p>
    <w:p w:rsidR="00474046" w:rsidRPr="00474046" w:rsidRDefault="00474046" w:rsidP="00474046">
      <w:pPr>
        <w:spacing w:after="123" w:line="418" w:lineRule="exact"/>
        <w:ind w:right="20"/>
        <w:jc w:val="both"/>
        <w:rPr>
          <w:rFonts w:ascii="Times New Roman" w:eastAsia="Microsoft Sans Serif" w:hAnsi="Times New Roman" w:cs="Times New Roman"/>
          <w:color w:val="auto"/>
          <w:lang w:eastAsia="en-US" w:bidi="ar-SA"/>
        </w:rPr>
      </w:pP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 xml:space="preserve">Częste wykorzystywanie przez uczniów i nauczycieli sprzętu, pomocy dydaktycznych i narzędzi do terapii, w jakie zostanie wyposażona szkoła, przyczyni się do poznania możliwości ich zastosowania oraz rozwoju kompetencji cyfrowych uczniów i nauczycieli. Należy podkreślić, iż pomimo, że zakres przyznanego wsparcia finansowego zawęża się do wyposażenia lub doposażenia szkół w sprzęt, pomoce dydaktyczne i narzędzia do terapii, to projektowane rozporządzenie (§ 6) przewiduje również realizację zadań nałożonych na szkołę, </w:t>
      </w: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lastRenderedPageBreak/>
        <w:t xml:space="preserve">szkołę za granicą i SOSW uczestniczące w programie dotyczące wdrażania TIK w proces nauczania. Realizacja tych zadań przyczyni się do uzyskania efektu wzrostu kompetencji społeczeństwa informacyjnego u uczniów i nauczycieli, oraz stanowi niezbędny warunek adaptacji szkoły do funkcjonalności szkoły nowoczesnej. Zakup pomocy dydaktycznych w ramach Programu pozwoli osiągnąć efekt synergii z działaniami podejmowanymi m.in. w zakresie </w:t>
      </w:r>
      <w:r w:rsidRPr="00474046">
        <w:rPr>
          <w:rFonts w:ascii="Times New Roman" w:eastAsia="Microsoft Sans Serif" w:hAnsi="Times New Roman" w:cs="Times New Roman"/>
          <w:color w:val="auto"/>
          <w:lang w:eastAsia="en-US"/>
        </w:rPr>
        <w:t xml:space="preserve">Programu Operacyjnego Polska Cyfrowa na lata 2014-2020, którego założeniem jest zapewnienie dostępu do szerokopasmowego Internetu wszystkim szkołom publicznym w Polsce. </w:t>
      </w: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>Technologia w postaci nowoczesnego sprzętu, pomocy dydaktycznych i narzędzi do terapii powinna być wprowadzana do szkoły przez nauczycieli,</w:t>
      </w:r>
      <w:r w:rsidRPr="00474046">
        <w:rPr>
          <w:rFonts w:ascii="Times New Roman" w:eastAsia="Microsoft Sans Serif" w:hAnsi="Times New Roman" w:cs="Times New Roman"/>
          <w:color w:val="auto"/>
          <w:lang w:eastAsia="en-US"/>
        </w:rPr>
        <w:t xml:space="preserve"> </w:t>
      </w: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>stąd potrzeba długookresowego doskonalenia kompetencji nauczycieli w każdej dostępnej formie, także samokształcenia ze szczególnym naciskiem na wymianę doświadczeń i rozwiązań w ramach międzyszkolnych sieci współpracy nauczycieli.</w:t>
      </w:r>
    </w:p>
    <w:p w:rsidR="00474046" w:rsidRPr="00474046" w:rsidRDefault="00474046" w:rsidP="00474046">
      <w:pPr>
        <w:spacing w:after="123" w:line="418" w:lineRule="exact"/>
        <w:ind w:right="20"/>
        <w:jc w:val="both"/>
        <w:rPr>
          <w:rFonts w:ascii="Times New Roman" w:eastAsia="Times New Roman" w:hAnsi="Times New Roman" w:cs="Arial"/>
          <w:color w:val="auto"/>
          <w:szCs w:val="20"/>
          <w:lang w:bidi="ar-SA"/>
        </w:rPr>
      </w:pP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 xml:space="preserve">Zgodnie z art. 128 ust. 2 ustawy </w:t>
      </w:r>
      <w:r w:rsidRPr="00474046">
        <w:rPr>
          <w:rFonts w:ascii="Times New Roman" w:eastAsia="Microsoft Sans Serif" w:hAnsi="Times New Roman" w:cs="Times New Roman"/>
          <w:bCs/>
          <w:color w:val="auto"/>
          <w:lang w:eastAsia="en-US"/>
        </w:rPr>
        <w:t xml:space="preserve">z dnia 27 sierpnia 2009 r. o finansach publicznych (Dz.U. z 2019 r. poz. 869, z późn. zm.), wysokość dotacji celowej z budżetu państwa nie może być wyższa niż 80% kosztów realizacji zadania, w </w:t>
      </w:r>
      <w:r w:rsidRPr="00474046">
        <w:rPr>
          <w:rFonts w:ascii="Times New Roman" w:eastAsia="Microsoft Sans Serif" w:hAnsi="Times New Roman" w:cs="Times New Roman"/>
          <w:bCs/>
          <w:color w:val="auto"/>
          <w:lang w:eastAsia="en-US"/>
        </w:rPr>
        <w:lastRenderedPageBreak/>
        <w:t>związku z tym</w:t>
      </w: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 xml:space="preserve"> w </w:t>
      </w:r>
      <w:r w:rsidRPr="00474046">
        <w:rPr>
          <w:rFonts w:ascii="Times New Roman" w:eastAsia="Microsoft Sans Serif" w:hAnsi="Times New Roman" w:cs="Times New Roman"/>
          <w:color w:val="auto"/>
          <w:lang w:eastAsia="en-US"/>
        </w:rPr>
        <w:t>§</w:t>
      </w: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 xml:space="preserve"> 3 ust. 3 rozporządzenia określono konieczną (procentowo) strukturę wspierania zadania wkładem własnym organu prowadzącego, który może być zarówno finansowy jak i rzeczowy. Warunkiem udzielenia dotacji organom prowadzącym jest zapewnienie przez organ prowadzący w odniesieniu do każdej szkoły podstawowej, szkoły ponadpodstawowej i SOSW wnioskujących o udział w Programie wkładu własnego w wysokości co najmniej 20 % zadania objętego wsparciem finansowym. Zakwalifikowanie do wkładu własnego wydatków poniesionych </w:t>
      </w:r>
      <w:r w:rsidRPr="00474046">
        <w:rPr>
          <w:rFonts w:ascii="Times New Roman" w:eastAsia="Microsoft Sans Serif" w:hAnsi="Times New Roman" w:cs="Times New Roman"/>
          <w:color w:val="auto"/>
          <w:lang w:eastAsia="en-US"/>
        </w:rPr>
        <w:t xml:space="preserve">przez organ prowadzący na zakup sprzętu, pomocy dydaktycznych i narzędzi do terapii </w:t>
      </w:r>
      <w:r w:rsidRPr="0047404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objętych wnioskiem o udział w Programie, wydatkowanych w roku złożenia wniosku o udział w Programie oraz </w:t>
      </w:r>
      <w:r w:rsidRPr="00474046">
        <w:rPr>
          <w:rFonts w:ascii="Times New Roman" w:eastAsia="Times New Roman" w:hAnsi="Times New Roman" w:cs="Arial"/>
          <w:color w:val="auto"/>
          <w:szCs w:val="20"/>
        </w:rPr>
        <w:t>sprzętu komputerowego i innych urządzeń TIK wykorzystywanych jako inne pomoce dydaktyczne, zakupionych w roku złożenia wniosku o udział w Programie, ale nie później niż do dnia złożenia wniosku o udział w Programie</w:t>
      </w:r>
      <w:r w:rsidRPr="0047404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, </w:t>
      </w: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>ma na celu obniżenie finansowej bariery partycypacji organów prowadzących w Programie, jak również docenienie dotychczasowych wysiłków szkół na rzecz modernizacji technologicznej.</w:t>
      </w:r>
      <w:r w:rsidRPr="0047404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 </w:t>
      </w: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>Obowiązek zapewnienia wkładu własnego nie dotyczy szkół, dla których organem prowadzącym jest właściwy minister.</w:t>
      </w: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br/>
      </w:r>
    </w:p>
    <w:p w:rsidR="00474046" w:rsidRPr="00474046" w:rsidRDefault="00474046" w:rsidP="00474046">
      <w:pPr>
        <w:widowControl/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="Times" w:eastAsia="Times New Roman" w:hAnsi="Times" w:cs="Arial"/>
          <w:color w:val="auto"/>
          <w:szCs w:val="20"/>
          <w:lang w:bidi="ar-SA"/>
        </w:rPr>
      </w:pPr>
      <w:r w:rsidRPr="00474046">
        <w:rPr>
          <w:rFonts w:ascii="Times New Roman" w:eastAsia="Times New Roman" w:hAnsi="Times New Roman" w:cs="Times New Roman"/>
          <w:color w:val="auto"/>
          <w:lang w:bidi="ar-SA"/>
        </w:rPr>
        <w:t xml:space="preserve">W § 7 projektowanego rozporządzenia został określony sposób podziału środków </w:t>
      </w:r>
      <w:r w:rsidRPr="0047404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na zakup sprzętu, pomocy dydaktycznych i narzędzi do terapii dla poszczególnych województw oraz ministrów prowadzących szkoły. </w:t>
      </w:r>
      <w:r w:rsidRPr="00474046">
        <w:rPr>
          <w:rFonts w:ascii="Times" w:eastAsia="Times New Roman" w:hAnsi="Times" w:cs="Arial"/>
          <w:color w:val="auto"/>
          <w:szCs w:val="20"/>
        </w:rPr>
        <w:t xml:space="preserve">Środki budżetu państwa na wsparcie finansowe minister właściwy do spraw oświaty i wychowania w danym roku budżetowym dla poszczególnych województw </w:t>
      </w:r>
      <w:r w:rsidRPr="00474046">
        <w:rPr>
          <w:rFonts w:ascii="Times" w:eastAsia="Times New Roman" w:hAnsi="Times" w:cs="Arial"/>
          <w:color w:val="auto"/>
          <w:szCs w:val="20"/>
          <w:lang w:bidi="ar-SA"/>
        </w:rPr>
        <w:t>dzieli</w:t>
      </w:r>
      <w:r w:rsidRPr="00474046">
        <w:rPr>
          <w:rFonts w:ascii="Times" w:eastAsia="Times New Roman" w:hAnsi="Times" w:cs="Arial"/>
          <w:color w:val="auto"/>
          <w:szCs w:val="20"/>
        </w:rPr>
        <w:t xml:space="preserve"> proporcjonalnie do liczby szkół podstawowych, szkół ponadpodstawowych i SOSW w województwie oraz liczby szkół prowadzonych przez właściwego ministra.</w:t>
      </w:r>
    </w:p>
    <w:p w:rsidR="00474046" w:rsidRPr="00474046" w:rsidRDefault="00474046" w:rsidP="00474046">
      <w:pPr>
        <w:spacing w:after="123" w:line="418" w:lineRule="exact"/>
        <w:ind w:left="20" w:right="20"/>
        <w:jc w:val="both"/>
        <w:rPr>
          <w:rFonts w:ascii="Times New Roman" w:eastAsia="Arial" w:hAnsi="Times New Roman" w:cs="Times New Roman"/>
          <w:color w:val="auto"/>
          <w:sz w:val="23"/>
          <w:szCs w:val="23"/>
          <w:lang w:eastAsia="en-US" w:bidi="ar-SA"/>
        </w:rPr>
      </w:pPr>
      <w:r w:rsidRPr="00474046">
        <w:rPr>
          <w:rFonts w:ascii="Times New Roman" w:eastAsia="Arial" w:hAnsi="Times New Roman" w:cs="Times New Roman"/>
          <w:bCs/>
          <w:iCs/>
          <w:color w:val="auto"/>
          <w:sz w:val="23"/>
          <w:szCs w:val="23"/>
          <w:lang w:eastAsia="en-US" w:bidi="ar-SA"/>
        </w:rPr>
        <w:t xml:space="preserve">Jeśli wnioskowana, łączna kwota wsparcia finansowego dla wszystkich szkół, szkół za granicą i specjalnych ośrodków szkolno-wychowawczych jest wyższa niż kwota przyznana przez ministra właściwego do spraw o światy i wychowania, zespół dokonuje kwalifikacji w taki sposób, że w pierwszej kolejności wsparcie </w:t>
      </w:r>
      <w:r w:rsidRPr="00474046">
        <w:rPr>
          <w:rFonts w:ascii="Times New Roman" w:eastAsia="Arial" w:hAnsi="Times New Roman" w:cs="Times New Roman"/>
          <w:bCs/>
          <w:iCs/>
          <w:color w:val="auto"/>
          <w:sz w:val="23"/>
          <w:szCs w:val="23"/>
          <w:lang w:eastAsia="en-US" w:bidi="ar-SA"/>
        </w:rPr>
        <w:lastRenderedPageBreak/>
        <w:t xml:space="preserve">otrzymuje szkoła, która brała udział w projektach </w:t>
      </w:r>
      <w:r w:rsidRPr="00474046">
        <w:rPr>
          <w:rFonts w:ascii="Times New Roman" w:eastAsia="Arial" w:hAnsi="Times New Roman" w:cs="Times New Roman"/>
          <w:color w:val="auto"/>
          <w:sz w:val="23"/>
          <w:szCs w:val="23"/>
          <w:lang w:eastAsia="en-US" w:bidi="ar-SA"/>
        </w:rPr>
        <w:t xml:space="preserve">na rzecz rozwoju kompetencji kluczowych i umiejętności uniwersalnych, w tym kompetencji cyfrowych, realizowanych w ramach Programu Operacyjnego Wiedza Edukacja Rozwój (w ramach projektów o zasięgu krajowym) – Priorytet inwestycyjny 10i, cel szczegółowy 1 - Poprawa funkcjonowania i zwiększenie wykorzystania systemu wspomagania szkół w zakresie rozwoju u uczniów kompetencji kluczowych i umiejętności uniwersalnych tzw. transversal skills niezbędnych na rynku pracy, obejmujących: umiejętności matematyczno-przyrodnicze, umiejętności posługiwania się językami obcymi (w tym język polski dla cudzoziemców i osób powracających do Polski oraz ich rodzin), ICT, umiejętność rozumienia (ang. literacy), kreatywność, innowacyjność, przedsiębiorczość, krytyczne myślenie, rozwiązywanie problemów, umiejętność uczenia się, umiejętność pracy zespołowej w kontekście środowiska pracy, jak również nauczania eksperymentalnego oraz metod zindywidualizowanego podejścia do ucznia  lub Programu Operacyjnego Polska Cyfrowa – III oś priorytetowa Cyfrowe kompetencje społeczeństwa, działanie 3.1 „Działania szkoleniowe na rzecz rozwoju kompetencji cyfrowych” i działanie 3.2 „Innowacyjne rozwiązania na rzecz aktywizacji cyfrowej”, w szczególności w projekcie </w:t>
      </w:r>
      <w:r w:rsidRPr="00474046">
        <w:rPr>
          <w:rFonts w:ascii="Times New Roman" w:eastAsia="Arial" w:hAnsi="Times New Roman" w:cs="Times New Roman"/>
          <w:color w:val="auto"/>
          <w:sz w:val="23"/>
          <w:szCs w:val="23"/>
          <w:lang w:eastAsia="en-US" w:bidi="ar-SA"/>
        </w:rPr>
        <w:lastRenderedPageBreak/>
        <w:t xml:space="preserve">„Lekcja: Enter”. </w:t>
      </w:r>
    </w:p>
    <w:p w:rsidR="00474046" w:rsidRPr="00474046" w:rsidRDefault="00474046" w:rsidP="00474046">
      <w:pPr>
        <w:shd w:val="clear" w:color="auto" w:fill="FFFFFF"/>
        <w:spacing w:after="123" w:line="418" w:lineRule="exact"/>
        <w:jc w:val="both"/>
        <w:rPr>
          <w:rFonts w:ascii="Times New Roman" w:eastAsia="Microsoft Sans Serif" w:hAnsi="Times New Roman" w:cs="Times New Roman"/>
          <w:color w:val="auto"/>
          <w:lang w:eastAsia="en-US" w:bidi="ar-SA"/>
        </w:rPr>
      </w:pP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>W § 8-14 rozporządzenia reguluje się</w:t>
      </w:r>
      <w:r w:rsidRPr="00474046">
        <w:rPr>
          <w:rFonts w:ascii="Times New Roman" w:hAnsi="Times New Roman" w:cs="Times New Roman"/>
        </w:rPr>
        <w:t xml:space="preserve"> tryb</w:t>
      </w:r>
      <w:r w:rsidRPr="00474046">
        <w:rPr>
          <w:rFonts w:ascii="Calibri" w:hAnsi="Calibri"/>
        </w:rPr>
        <w:t xml:space="preserve"> </w:t>
      </w:r>
      <w:r w:rsidRPr="00474046">
        <w:rPr>
          <w:rFonts w:ascii="Times New Roman" w:eastAsia="Microsoft Sans Serif" w:hAnsi="Times New Roman" w:cs="Times New Roman"/>
          <w:color w:val="auto"/>
          <w:lang w:eastAsia="en-US"/>
        </w:rPr>
        <w:t>udzielenia wsparcia organom prowadzącym w realizacji przedsięwzięcia dotyczącego</w:t>
      </w: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 xml:space="preserve"> rozwijania szkolnej infrastruktury oraz kompetencji uczniów i nauczycieli w zakresie TIK.</w:t>
      </w:r>
    </w:p>
    <w:p w:rsidR="00474046" w:rsidRPr="00474046" w:rsidRDefault="00474046" w:rsidP="00474046">
      <w:pPr>
        <w:spacing w:line="360" w:lineRule="auto"/>
        <w:jc w:val="both"/>
        <w:rPr>
          <w:rFonts w:ascii="Times New Roman" w:hAnsi="Times New Roman" w:cs="Times New Roman"/>
        </w:rPr>
      </w:pP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 xml:space="preserve">W </w:t>
      </w:r>
      <w:r w:rsidRPr="00474046">
        <w:rPr>
          <w:rFonts w:ascii="Times New Roman" w:hAnsi="Times New Roman" w:cs="Times New Roman"/>
          <w:lang w:bidi="ar-SA"/>
        </w:rPr>
        <w:t xml:space="preserve">§ 8 </w:t>
      </w:r>
      <w:r w:rsidRPr="00474046">
        <w:rPr>
          <w:rFonts w:ascii="Times New Roman" w:hAnsi="Times New Roman" w:cs="Times New Roman"/>
        </w:rPr>
        <w:t xml:space="preserve">ust. 2 projektowanego rozporządzenia zostały określone dane, które zawiera wniosek </w:t>
      </w:r>
      <w:r w:rsidRPr="00474046">
        <w:rPr>
          <w:rFonts w:ascii="Times New Roman" w:hAnsi="Times New Roman" w:cs="Times New Roman"/>
        </w:rPr>
        <w:br/>
        <w:t xml:space="preserve">o udział w Programie oraz terminy złożenia tego wniosku w kolejnych latach realizacji Programu, natomiast w </w:t>
      </w:r>
      <w:r w:rsidRPr="00474046">
        <w:rPr>
          <w:rFonts w:ascii="Times New Roman" w:hAnsi="Times New Roman" w:cs="Times New Roman"/>
          <w:lang w:bidi="ar-SA"/>
        </w:rPr>
        <w:t xml:space="preserve">§ 8 </w:t>
      </w:r>
      <w:r w:rsidRPr="00474046">
        <w:rPr>
          <w:rFonts w:ascii="Times New Roman" w:hAnsi="Times New Roman" w:cs="Times New Roman"/>
        </w:rPr>
        <w:t>ust. 3 nałożono na organy prowadzące obowiązek weryfikacji tych wniosków pod względem prawidłowości i kompletności danych.</w:t>
      </w:r>
      <w:r w:rsidRPr="00474046">
        <w:rPr>
          <w:rFonts w:ascii="Times New Roman" w:eastAsia="Arial" w:hAnsi="Times New Roman" w:cs="Times New Roman"/>
          <w:bCs/>
          <w:iCs/>
          <w:color w:val="auto"/>
          <w:lang w:eastAsia="en-US" w:bidi="ar-SA"/>
        </w:rPr>
        <w:t xml:space="preserve"> </w:t>
      </w:r>
    </w:p>
    <w:p w:rsidR="00474046" w:rsidRPr="00474046" w:rsidRDefault="00474046" w:rsidP="00474046">
      <w:pPr>
        <w:spacing w:line="360" w:lineRule="auto"/>
        <w:jc w:val="both"/>
        <w:rPr>
          <w:rFonts w:ascii="Times New Roman" w:hAnsi="Times New Roman" w:cs="Times New Roman"/>
        </w:rPr>
      </w:pPr>
    </w:p>
    <w:p w:rsidR="00474046" w:rsidRPr="00474046" w:rsidRDefault="00474046" w:rsidP="00474046">
      <w:pPr>
        <w:spacing w:line="360" w:lineRule="auto"/>
        <w:jc w:val="both"/>
        <w:rPr>
          <w:rFonts w:ascii="Times New Roman" w:hAnsi="Times New Roman" w:cs="Times New Roman"/>
        </w:rPr>
      </w:pPr>
      <w:r w:rsidRPr="00474046">
        <w:rPr>
          <w:rFonts w:ascii="Times New Roman" w:hAnsi="Times New Roman" w:cs="Times New Roman"/>
        </w:rPr>
        <w:t xml:space="preserve">Zespoły powołane odpowiednio przez wojewodę oraz właściwych ministrów </w:t>
      </w:r>
      <w:r w:rsidRPr="00474046">
        <w:rPr>
          <w:rFonts w:ascii="Times New Roman" w:hAnsi="Times New Roman" w:cs="Times New Roman"/>
        </w:rPr>
        <w:lastRenderedPageBreak/>
        <w:t>kwalifikują do objęcia wsparciem finansowym odpowiednio wnioski o udzielenie wsparcia finansowego oraz wnioski o udział w Programie (zadania i skład zespołu określają § 10 i 11 projektowanego rozporządzenia).</w:t>
      </w:r>
      <w:r w:rsidRPr="00474046">
        <w:rPr>
          <w:rFonts w:ascii="Times New Roman" w:hAnsi="Times New Roman" w:cs="Times New Roman"/>
          <w:bCs/>
          <w:iCs/>
        </w:rPr>
        <w:t xml:space="preserve"> Zespół dokonujący kwalifikacji wniosków może dokonać kwalifikacji z uwzględnieniem daty złożenia wniosku o udzielnie wsparcia finansowego w Programie.  </w:t>
      </w:r>
    </w:p>
    <w:p w:rsidR="00474046" w:rsidRPr="00474046" w:rsidRDefault="00474046" w:rsidP="00474046">
      <w:pPr>
        <w:spacing w:line="360" w:lineRule="auto"/>
        <w:jc w:val="both"/>
        <w:rPr>
          <w:rFonts w:ascii="Times New Roman" w:hAnsi="Times New Roman" w:cs="Times New Roman"/>
        </w:rPr>
      </w:pPr>
    </w:p>
    <w:p w:rsidR="00474046" w:rsidRPr="00474046" w:rsidRDefault="00474046" w:rsidP="00474046">
      <w:pPr>
        <w:spacing w:line="360" w:lineRule="auto"/>
        <w:jc w:val="both"/>
        <w:rPr>
          <w:rFonts w:ascii="Times New Roman" w:hAnsi="Times New Roman" w:cs="Times New Roman"/>
        </w:rPr>
      </w:pPr>
      <w:r w:rsidRPr="00474046">
        <w:rPr>
          <w:rFonts w:ascii="Times New Roman" w:hAnsi="Times New Roman" w:cs="Times New Roman"/>
        </w:rPr>
        <w:t xml:space="preserve">W § 11 projektowanego rozporządzenia została określona procedura kwalifikacji wniosków organów prowadzących oraz wniosków o udział w Programie oraz sposób wyliczenia kwoty na obsługę zadań bezpośrednio związanych z realizacją Programu przez wojewodów. Jednocześnie zagwarantowano, że </w:t>
      </w:r>
      <w:r w:rsidRPr="0047404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szkoły </w:t>
      </w:r>
      <w:r w:rsidRPr="00474046">
        <w:rPr>
          <w:rFonts w:ascii="Times New Roman" w:eastAsia="Times New Roman" w:hAnsi="Times New Roman" w:cs="Arial"/>
          <w:color w:val="auto"/>
          <w:szCs w:val="20"/>
        </w:rPr>
        <w:t>(§ 11 ust. 9)</w:t>
      </w:r>
      <w:r w:rsidRPr="0047404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, które złożyły wnioski o udział w Programie i nie zostały </w:t>
      </w:r>
      <w:r w:rsidRPr="00474046">
        <w:rPr>
          <w:rFonts w:ascii="Times New Roman" w:eastAsia="Times New Roman" w:hAnsi="Times New Roman" w:cs="Arial"/>
          <w:color w:val="auto"/>
          <w:szCs w:val="20"/>
          <w:lang w:bidi="ar-SA"/>
        </w:rPr>
        <w:lastRenderedPageBreak/>
        <w:t>zakwalifikowane do objęcia wsparciem finansowym w danym roku, mogą ponownie złożyć wnioski w kolejnych latach realizacji Programu.</w:t>
      </w:r>
    </w:p>
    <w:p w:rsidR="00474046" w:rsidRPr="00474046" w:rsidRDefault="00474046" w:rsidP="00474046">
      <w:pPr>
        <w:shd w:val="clear" w:color="auto" w:fill="FFFFFF"/>
        <w:spacing w:after="123" w:line="418" w:lineRule="exact"/>
        <w:ind w:right="20"/>
        <w:jc w:val="both"/>
        <w:rPr>
          <w:rFonts w:ascii="Times New Roman" w:eastAsia="Microsoft Sans Serif" w:hAnsi="Times New Roman" w:cs="Times New Roman"/>
          <w:color w:val="auto"/>
          <w:lang w:eastAsia="en-US" w:bidi="ar-SA"/>
        </w:rPr>
      </w:pP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 xml:space="preserve">W § 12-14 projektowanego rozporządzenia określono czynności wojewody oraz właściwych </w:t>
      </w:r>
      <w:r w:rsidRPr="00474046">
        <w:rPr>
          <w:rFonts w:ascii="Times New Roman" w:eastAsia="Microsoft Sans Serif" w:hAnsi="Times New Roman" w:cs="Times New Roman"/>
          <w:color w:val="auto"/>
          <w:lang w:eastAsia="en-US"/>
        </w:rPr>
        <w:t xml:space="preserve">ministrów </w:t>
      </w: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 xml:space="preserve">dotyczące udzielenia dotacji organom prowadzącym lub przekazania wsparcia szkołom, wykonywane po zakończeniu prac przez zespół dokonujący kwalifikacji wniosków. </w:t>
      </w:r>
    </w:p>
    <w:p w:rsidR="00474046" w:rsidRPr="00474046" w:rsidRDefault="00474046" w:rsidP="00474046">
      <w:pPr>
        <w:shd w:val="clear" w:color="auto" w:fill="FFFFFF"/>
        <w:spacing w:after="123" w:line="418" w:lineRule="exact"/>
        <w:ind w:right="20"/>
        <w:jc w:val="both"/>
        <w:rPr>
          <w:rFonts w:ascii="Times New Roman" w:eastAsia="Microsoft Sans Serif" w:hAnsi="Times New Roman" w:cs="Times New Roman"/>
          <w:color w:val="auto"/>
          <w:lang w:eastAsia="en-US" w:bidi="ar-SA"/>
        </w:rPr>
      </w:pP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 xml:space="preserve">W § 13 projektowanego rozporządzenia wskazuje się na konieczność zawarcia umowy o udzielenie dotacji, a także obowiązki wojewody w zakresie kontroli sposobu i terminowości wykonywania zadań </w:t>
      </w:r>
      <w:r w:rsidRPr="00474046">
        <w:rPr>
          <w:rFonts w:ascii="Times New Roman" w:eastAsia="Microsoft Sans Serif" w:hAnsi="Times New Roman" w:cs="Times New Roman"/>
          <w:color w:val="auto"/>
          <w:lang w:eastAsia="en-US"/>
        </w:rPr>
        <w:t>mając na uwadze postanowienia umowy o udzielenie dotacji</w:t>
      </w: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 xml:space="preserve">. Ze względu na konieczność wydatkowania środków w danym roku budżetowym, termin wykorzystania dotacji w zakresie zakupu sprzętu, pomocy dydaktycznych i narzędzi do terapii upływa z dniem 31 grudnia każdego roku, natomiast ze względu na konieczność realizacji przez szkoły zadań dotyczących wdrożenia TIK w nauczaniu, termin złożenia przez szkoły sprawozdania merytorycznego i finansowego ustalono do dnia 15 </w:t>
      </w: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lastRenderedPageBreak/>
        <w:t xml:space="preserve">czerwca każdego roku następującego po roku udzielenia wsparcia finansowego (§ 15). </w:t>
      </w:r>
    </w:p>
    <w:p w:rsidR="00474046" w:rsidRPr="00474046" w:rsidRDefault="00474046" w:rsidP="00474046">
      <w:pPr>
        <w:shd w:val="clear" w:color="auto" w:fill="FFFFFF"/>
        <w:spacing w:after="123" w:line="418" w:lineRule="exact"/>
        <w:jc w:val="both"/>
        <w:rPr>
          <w:rFonts w:ascii="Times New Roman" w:eastAsia="Microsoft Sans Serif" w:hAnsi="Times New Roman" w:cs="Times New Roman"/>
          <w:color w:val="auto"/>
          <w:lang w:eastAsia="en-US" w:bidi="ar-SA"/>
        </w:rPr>
      </w:pPr>
      <w:r w:rsidRPr="00474046">
        <w:rPr>
          <w:rFonts w:ascii="Times New Roman" w:eastAsia="Microsoft Sans Serif" w:hAnsi="Times New Roman" w:cs="Times New Roman"/>
          <w:color w:val="auto"/>
          <w:lang w:eastAsia="en-US" w:bidi="ar-SA"/>
        </w:rPr>
        <w:t xml:space="preserve">W § 15-19 projektowanego rozporządzenia zostały określone obowiązki szkół, organów prowadzących i wojewodów oraz właściwych ministrów w zakresie sprawozdawczości. Uzyskane tą drogą dane będą jednym ze źródeł informacji dla potrzeb ewaluacji i monitoringu Programu. </w:t>
      </w: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hAnsi="Times New Roman" w:cs="Times New Roman"/>
        </w:rPr>
      </w:pPr>
      <w:r w:rsidRPr="00474046">
        <w:rPr>
          <w:rFonts w:ascii="Times New Roman" w:hAnsi="Times New Roman" w:cs="Times New Roman"/>
        </w:rPr>
        <w:t xml:space="preserve">Wsparcie zakupu sprzętu, pomocy dydaktycznych i narzędzi do terapii dla uczniów będzie dotyczyło </w:t>
      </w:r>
      <w:r w:rsidRPr="00474046">
        <w:rPr>
          <w:rFonts w:ascii="Times New Roman" w:hAnsi="Times New Roman" w:cs="Times New Roman"/>
          <w:b/>
        </w:rPr>
        <w:t>5870</w:t>
      </w:r>
      <w:r w:rsidRPr="00474046">
        <w:rPr>
          <w:rFonts w:ascii="Times New Roman" w:hAnsi="Times New Roman" w:cs="Times New Roman"/>
        </w:rPr>
        <w:t xml:space="preserve"> szkół ponadpodstawowych oraz </w:t>
      </w:r>
      <w:r w:rsidRPr="00474046">
        <w:rPr>
          <w:rFonts w:ascii="Times New Roman" w:hAnsi="Times New Roman" w:cs="Times New Roman"/>
          <w:b/>
        </w:rPr>
        <w:t>2670</w:t>
      </w:r>
      <w:r w:rsidRPr="00474046">
        <w:rPr>
          <w:rFonts w:ascii="Times New Roman" w:hAnsi="Times New Roman" w:cs="Times New Roman"/>
        </w:rPr>
        <w:t xml:space="preserve"> szkół podstawowych. Dofinansowanie zakupu drukarek będzie dotyczyło </w:t>
      </w:r>
      <w:r w:rsidRPr="00474046">
        <w:rPr>
          <w:rFonts w:ascii="Times New Roman" w:hAnsi="Times New Roman" w:cs="Times New Roman"/>
          <w:b/>
        </w:rPr>
        <w:t>11</w:t>
      </w:r>
      <w:r w:rsidRPr="00474046">
        <w:rPr>
          <w:rFonts w:ascii="Times New Roman" w:hAnsi="Times New Roman" w:cs="Times New Roman"/>
        </w:rPr>
        <w:t xml:space="preserve"> specjalnych ośrodków szkolno-wychowawczych, sprzęt dla uczniów niewidomych zostanie zakupiony pojedynczo lub w zestawach, w liczbie odpowiadającej szacowanej liczbie uczniów niewidomych (</w:t>
      </w:r>
      <w:r w:rsidRPr="00474046">
        <w:rPr>
          <w:rFonts w:ascii="Times New Roman" w:hAnsi="Times New Roman" w:cs="Times New Roman"/>
          <w:b/>
        </w:rPr>
        <w:t>267</w:t>
      </w:r>
      <w:r w:rsidRPr="00474046">
        <w:rPr>
          <w:rFonts w:ascii="Times New Roman" w:hAnsi="Times New Roman" w:cs="Times New Roman"/>
        </w:rPr>
        <w:t xml:space="preserve">), a wsparcie finansowe na zakup </w:t>
      </w:r>
      <w:r w:rsidRPr="00474046">
        <w:rPr>
          <w:rFonts w:ascii="Times New Roman" w:hAnsi="Times New Roman" w:cs="Times New Roman"/>
        </w:rPr>
        <w:lastRenderedPageBreak/>
        <w:t xml:space="preserve">sprzętu, pomocy dydaktycznych i narzędzi do terapii dla uczniów posiadających różnorodne zaburzenia rozwojowe, utrudniające lub uniemożliwiające prawidłowy proces kształcenia i uczenia się, dotyczy </w:t>
      </w:r>
      <w:r w:rsidRPr="00474046">
        <w:rPr>
          <w:rFonts w:ascii="Times New Roman" w:hAnsi="Times New Roman" w:cs="Times New Roman"/>
          <w:b/>
        </w:rPr>
        <w:t>4 530</w:t>
      </w:r>
      <w:r w:rsidRPr="00474046">
        <w:rPr>
          <w:rFonts w:ascii="Times New Roman" w:hAnsi="Times New Roman" w:cs="Times New Roman"/>
        </w:rPr>
        <w:t xml:space="preserve"> szkół. Przewiduje się, że w 2020 r. do szkół podstawowych i szkół ponadpodstawowych dla dzieci i młodzieży oraz szkół za granicą trafi około</w:t>
      </w:r>
      <w:r w:rsidRPr="00474046">
        <w:rPr>
          <w:rFonts w:ascii="Times New Roman" w:hAnsi="Times New Roman" w:cs="Times New Roman"/>
          <w:b/>
        </w:rPr>
        <w:t xml:space="preserve"> 10 000 laptopów.</w:t>
      </w: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hAnsi="Times New Roman" w:cs="Times New Roman"/>
        </w:rPr>
      </w:pPr>
      <w:r w:rsidRPr="00474046">
        <w:rPr>
          <w:rFonts w:ascii="Times New Roman" w:hAnsi="Times New Roman" w:cs="Times New Roman"/>
        </w:rPr>
        <w:t xml:space="preserve">W celu realizacji zadań określonych w harmonogramie Programu proponuje się, aby rozporządzenie weszło w życie z dniem następującym po dniu ogłoszenia. Taki termin wejścia w życie jest uzasadniony koniecznością stworzenia </w:t>
      </w:r>
      <w:r w:rsidRPr="00474046">
        <w:rPr>
          <w:rFonts w:ascii="Times New Roman" w:hAnsi="Times New Roman" w:cs="Times New Roman"/>
        </w:rPr>
        <w:lastRenderedPageBreak/>
        <w:t xml:space="preserve">jak najbardziej realnej i efektywnej możliwości dokonania przez organy prowadzące analizy potrzeb w zakresie zakupu pomocy dydaktycznych oraz realizacji tych potrzeb do końca roku budżetowego. </w:t>
      </w: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74046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Projekt rozporządzenia zostanie udostępniony w Biuletynie Informacji Publicznej Ministerstwa Edukacji Narodowej, zgodnie z art. 5 ustawy z dnia 7 lipca 2005 r. o działalności lobbingowej w procesie stanowienia prawa (Dz. U. z 2017 r. poz. 248) oraz w Biuletynie Informacji Publicznej Rządowego Centrum Legislacji w zakładce Rządowy Proces Legislacyjny, zgodnie z § 52 ust. 1 uchwały nr 190 Rady Ministrów z dnia 29 października 2013 r. – Regulamin pracy Rady Ministrów (M.P. z 2016 r. poz. 1006, z późn. zm.). </w:t>
      </w: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474046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Rozporządzenie nie zawiera przepisów technicznych w rozumieniu rozporządzenia Rady Ministrów z dnia 23 grudnia 2002 r. w sprawie sposobu funkcjonowania krajowego systemu notyfikacji norm i aktów prawnych (Dz. U. poz. 2039 oraz z 2004 r. poz. 597) i w związku z tym nie podlega notyfikacji.</w:t>
      </w: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74046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Rozporządzenie nie jest sprzeczne z prawem Unii Europejskiej</w:t>
      </w:r>
      <w:r w:rsidRPr="00474046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474046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Projekt rozporządzenia nie wymaga przedstawienia właściwym organom i instytucjom Unii Europejskiej, w tym Europejskiemu Bankowi Centralnemu, w celu uzyskania opinii, dokonania powiadomienia, konsultacji albo uzgodnienia.</w:t>
      </w:r>
    </w:p>
    <w:p w:rsidR="00474046" w:rsidRPr="00474046" w:rsidRDefault="00474046" w:rsidP="00474046">
      <w:pPr>
        <w:widowControl/>
        <w:spacing w:line="360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74046">
        <w:rPr>
          <w:rFonts w:ascii="Times New Roman" w:eastAsia="Calibri" w:hAnsi="Times New Roman" w:cs="Times New Roman"/>
          <w:color w:val="auto"/>
          <w:lang w:eastAsia="en-US" w:bidi="ar-SA"/>
        </w:rPr>
        <w:t xml:space="preserve">Rozporządzenie będzie miało wpływ na działalność mikroprzedsiębiorców, małych i średnich przedsiębiorców polegający na tym, że w sposób zauważalny wzrośnie sprzedaż sprzętu, pomocy dydaktycznych i narzędzi do terapii, a tym samym mogą wzrosnąć zyski małych i średnich przedsiębiorstw. </w:t>
      </w:r>
      <w:r w:rsidRPr="00474046">
        <w:rPr>
          <w:rFonts w:ascii="Times New Roman" w:hAnsi="Times New Roman"/>
          <w:spacing w:val="-2"/>
        </w:rPr>
        <w:t xml:space="preserve">Ponadto należy podkreślić, że szybki rozwój sektora nowych technologii powoduje wzrost zapotrzebowania na określone kompetencje na rynku pracy, przy czym rozwój oraz upowszechnienie nowych technologii stanowią dla każdego pracodawcy ułatwienie i jednocześnie wyzwanie. Zmieniające się oprogramowanie oraz pojawianie się coraz to nowych urządzeń TIK wymaga umiejętności, które będą pozwalały na korzystanie z rozmaitych funkcjonalności oprogramowania i </w:t>
      </w:r>
      <w:r w:rsidRPr="00474046">
        <w:rPr>
          <w:rFonts w:ascii="Times New Roman" w:hAnsi="Times New Roman"/>
          <w:spacing w:val="-2"/>
        </w:rPr>
        <w:lastRenderedPageBreak/>
        <w:t>sprzętu TIK. Są to kompetencje informatyczne, które definiuje się jako techniczną umiejętność obsługi sprzętu i oprogramowania komputerowego oraz innych narzędzi komunikacji elektronicznej. Jednym z kluczowych problemów, przed którym stają przedsiębiorstwa, jest znalezienie kompetentnych pracowników wyposażonych w cyfrowe kompetencje, potrafiących nie tylko obsłużyć istniejące systemy, ale także projektować i tworzyć nowe rozwiązania i innowacje. W związku z powyższym, należy stwierdzić, że poszerzenie przez uczniów umiejętności z zakresu TIK, pozytywnie wpłynie na ich efektywność jako pracowników, a tym samym będzie ułatwieniem dla przyszłych pracodawców.</w:t>
      </w:r>
    </w:p>
    <w:p w:rsidR="00474046" w:rsidRPr="00474046" w:rsidRDefault="00474046" w:rsidP="004740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632EBF" w:rsidRPr="00985A91" w:rsidRDefault="00474046" w:rsidP="00474046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74046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Jednocześnie należy wskazać, że nie ma możliwości podjęcia alternatywnych w stosunku do projektowanego rozporządzenia środków umożliwiających osiągnięcie zamierzone</w:t>
      </w:r>
      <w:r w:rsidR="00CF187C" w:rsidRPr="00CF187C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sectPr w:rsidR="00632EBF" w:rsidRPr="00985A9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D3" w:rsidRDefault="00534BD3">
      <w:r>
        <w:separator/>
      </w:r>
    </w:p>
  </w:endnote>
  <w:endnote w:type="continuationSeparator" w:id="0">
    <w:p w:rsidR="00534BD3" w:rsidRDefault="005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70" w:rsidRDefault="00446C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EA7474E" wp14:editId="32674930">
              <wp:simplePos x="0" y="0"/>
              <wp:positionH relativeFrom="page">
                <wp:posOffset>3826510</wp:posOffset>
              </wp:positionH>
              <wp:positionV relativeFrom="page">
                <wp:posOffset>10059035</wp:posOffset>
              </wp:positionV>
              <wp:extent cx="57785" cy="131445"/>
              <wp:effectExtent l="0" t="635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470" w:rsidRDefault="00446CB2">
                          <w:r>
                            <w:rPr>
                              <w:rFonts w:ascii="Microsoft Sans Serif" w:hAnsi="Microsoft Sans Serif" w:cs="Microsoft Sans Serif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Microsoft Sans Serif" w:hAnsi="Microsoft Sans Serif" w:cs="Microsoft Sans Serif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CB5F85">
                            <w:rPr>
                              <w:rStyle w:val="HeaderorfooterTimesNewRoman9pt"/>
                              <w:rFonts w:eastAsia="Microsoft Sans Serif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TimesNewRoman9pt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7474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01.3pt;margin-top:792.05pt;width:4.5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" filled="f" stroked="f">
              <v:textbox style="mso-fit-shape-to-text:t" inset="0,0,0,0">
                <w:txbxContent>
                  <w:p w:rsidR="00AD1470" w:rsidRDefault="00446CB2">
                    <w:r>
                      <w:rPr>
                        <w:rFonts w:ascii="Microsoft Sans Serif" w:hAnsi="Microsoft Sans Serif" w:cs="Microsoft Sans Serif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Microsoft Sans Serif" w:hAnsi="Microsoft Sans Serif" w:cs="Microsoft Sans Serif"/>
                        <w:sz w:val="22"/>
                        <w:szCs w:val="22"/>
                      </w:rPr>
                      <w:fldChar w:fldCharType="separate"/>
                    </w:r>
                    <w:r w:rsidRPr="00CB5F85">
                      <w:rPr>
                        <w:rStyle w:val="HeaderorfooterTimesNewRoman9pt"/>
                        <w:rFonts w:eastAsia="Microsoft Sans Serif"/>
                        <w:noProof/>
                      </w:rPr>
                      <w:t>4</w:t>
                    </w:r>
                    <w:r>
                      <w:rPr>
                        <w:rStyle w:val="HeaderorfooterTimesNewRoman9pt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133081"/>
      <w:docPartObj>
        <w:docPartGallery w:val="Page Numbers (Bottom of Page)"/>
        <w:docPartUnique/>
      </w:docPartObj>
    </w:sdtPr>
    <w:sdtEndPr/>
    <w:sdtContent>
      <w:p w:rsidR="000D21D1" w:rsidRDefault="000D21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B2F">
          <w:rPr>
            <w:noProof/>
          </w:rPr>
          <w:t>1</w:t>
        </w:r>
        <w:r>
          <w:fldChar w:fldCharType="end"/>
        </w:r>
      </w:p>
    </w:sdtContent>
  </w:sdt>
  <w:p w:rsidR="00AD1470" w:rsidRDefault="00534BD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D3" w:rsidRDefault="00534BD3">
      <w:r>
        <w:separator/>
      </w:r>
    </w:p>
  </w:footnote>
  <w:footnote w:type="continuationSeparator" w:id="0">
    <w:p w:rsidR="00534BD3" w:rsidRDefault="005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762B"/>
    <w:multiLevelType w:val="hybridMultilevel"/>
    <w:tmpl w:val="5A0E4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27"/>
    <w:multiLevelType w:val="hybridMultilevel"/>
    <w:tmpl w:val="E9563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B1E91"/>
    <w:multiLevelType w:val="hybridMultilevel"/>
    <w:tmpl w:val="A3E40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D5C"/>
    <w:multiLevelType w:val="hybridMultilevel"/>
    <w:tmpl w:val="C3A89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32174"/>
    <w:multiLevelType w:val="hybridMultilevel"/>
    <w:tmpl w:val="424CD154"/>
    <w:lvl w:ilvl="0" w:tplc="F0EE83F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77150E9"/>
    <w:multiLevelType w:val="hybridMultilevel"/>
    <w:tmpl w:val="A762F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B2"/>
    <w:rsid w:val="000043BE"/>
    <w:rsid w:val="0001206B"/>
    <w:rsid w:val="000216AF"/>
    <w:rsid w:val="00023BFC"/>
    <w:rsid w:val="00030C1D"/>
    <w:rsid w:val="0003116C"/>
    <w:rsid w:val="000B2CBD"/>
    <w:rsid w:val="000B6762"/>
    <w:rsid w:val="000C323C"/>
    <w:rsid w:val="000D21D1"/>
    <w:rsid w:val="000D6991"/>
    <w:rsid w:val="000E6D0F"/>
    <w:rsid w:val="000F0895"/>
    <w:rsid w:val="000F20B3"/>
    <w:rsid w:val="000F5FA1"/>
    <w:rsid w:val="00103161"/>
    <w:rsid w:val="00110A98"/>
    <w:rsid w:val="00124ADE"/>
    <w:rsid w:val="00131461"/>
    <w:rsid w:val="00140221"/>
    <w:rsid w:val="00142BF2"/>
    <w:rsid w:val="001A35DD"/>
    <w:rsid w:val="001E7A82"/>
    <w:rsid w:val="001F2525"/>
    <w:rsid w:val="00217946"/>
    <w:rsid w:val="00237F67"/>
    <w:rsid w:val="0025152F"/>
    <w:rsid w:val="00251F03"/>
    <w:rsid w:val="00262900"/>
    <w:rsid w:val="0028439F"/>
    <w:rsid w:val="00293FEB"/>
    <w:rsid w:val="002967CA"/>
    <w:rsid w:val="002978A2"/>
    <w:rsid w:val="002B0B0D"/>
    <w:rsid w:val="002B366A"/>
    <w:rsid w:val="002B466B"/>
    <w:rsid w:val="002B5799"/>
    <w:rsid w:val="002B5A9D"/>
    <w:rsid w:val="002D6697"/>
    <w:rsid w:val="002D7773"/>
    <w:rsid w:val="002E7E97"/>
    <w:rsid w:val="002F3067"/>
    <w:rsid w:val="00302F78"/>
    <w:rsid w:val="00315C07"/>
    <w:rsid w:val="00325081"/>
    <w:rsid w:val="003270D4"/>
    <w:rsid w:val="003363F9"/>
    <w:rsid w:val="003659F5"/>
    <w:rsid w:val="00367700"/>
    <w:rsid w:val="0039740B"/>
    <w:rsid w:val="003B4FDB"/>
    <w:rsid w:val="003D5155"/>
    <w:rsid w:val="003D72C3"/>
    <w:rsid w:val="003E0CE9"/>
    <w:rsid w:val="003E44F9"/>
    <w:rsid w:val="003F7DD7"/>
    <w:rsid w:val="00404726"/>
    <w:rsid w:val="004076B5"/>
    <w:rsid w:val="004157C0"/>
    <w:rsid w:val="00423A1A"/>
    <w:rsid w:val="00446CB2"/>
    <w:rsid w:val="004507D6"/>
    <w:rsid w:val="00455E7B"/>
    <w:rsid w:val="00474046"/>
    <w:rsid w:val="00483823"/>
    <w:rsid w:val="004912A0"/>
    <w:rsid w:val="004C5F31"/>
    <w:rsid w:val="004D2DCA"/>
    <w:rsid w:val="004D4CEE"/>
    <w:rsid w:val="0050589D"/>
    <w:rsid w:val="00505911"/>
    <w:rsid w:val="00524661"/>
    <w:rsid w:val="00530E13"/>
    <w:rsid w:val="00534BD3"/>
    <w:rsid w:val="00553E26"/>
    <w:rsid w:val="00561E46"/>
    <w:rsid w:val="00593828"/>
    <w:rsid w:val="005B6D59"/>
    <w:rsid w:val="005D199E"/>
    <w:rsid w:val="005D7D5A"/>
    <w:rsid w:val="00632EBF"/>
    <w:rsid w:val="00647230"/>
    <w:rsid w:val="0065563D"/>
    <w:rsid w:val="00667126"/>
    <w:rsid w:val="00684B1E"/>
    <w:rsid w:val="00686FCB"/>
    <w:rsid w:val="006931B8"/>
    <w:rsid w:val="006B1DA5"/>
    <w:rsid w:val="006B742F"/>
    <w:rsid w:val="006C31EB"/>
    <w:rsid w:val="006D53C2"/>
    <w:rsid w:val="006D7E49"/>
    <w:rsid w:val="006E5D92"/>
    <w:rsid w:val="006F3EE6"/>
    <w:rsid w:val="006F49FD"/>
    <w:rsid w:val="006F51E7"/>
    <w:rsid w:val="006F7913"/>
    <w:rsid w:val="00722227"/>
    <w:rsid w:val="007323F4"/>
    <w:rsid w:val="00742961"/>
    <w:rsid w:val="007454BE"/>
    <w:rsid w:val="007537C4"/>
    <w:rsid w:val="0075630C"/>
    <w:rsid w:val="00765F24"/>
    <w:rsid w:val="007703F5"/>
    <w:rsid w:val="00773F0A"/>
    <w:rsid w:val="0078796A"/>
    <w:rsid w:val="007A08E7"/>
    <w:rsid w:val="007A3604"/>
    <w:rsid w:val="007A6B2F"/>
    <w:rsid w:val="007B0FF2"/>
    <w:rsid w:val="007B7D6F"/>
    <w:rsid w:val="007C182C"/>
    <w:rsid w:val="007D617B"/>
    <w:rsid w:val="007E4AB8"/>
    <w:rsid w:val="007F3972"/>
    <w:rsid w:val="007F53BA"/>
    <w:rsid w:val="00800EE6"/>
    <w:rsid w:val="00853D12"/>
    <w:rsid w:val="00883000"/>
    <w:rsid w:val="00885F2B"/>
    <w:rsid w:val="00893696"/>
    <w:rsid w:val="008A3FFE"/>
    <w:rsid w:val="008C51DB"/>
    <w:rsid w:val="008D0617"/>
    <w:rsid w:val="008D13BB"/>
    <w:rsid w:val="008F0AD6"/>
    <w:rsid w:val="00902094"/>
    <w:rsid w:val="009055B4"/>
    <w:rsid w:val="00916CEE"/>
    <w:rsid w:val="009279F4"/>
    <w:rsid w:val="00935E70"/>
    <w:rsid w:val="00936625"/>
    <w:rsid w:val="0094096D"/>
    <w:rsid w:val="00946C30"/>
    <w:rsid w:val="00951F2C"/>
    <w:rsid w:val="009547AC"/>
    <w:rsid w:val="00955E1A"/>
    <w:rsid w:val="00957C10"/>
    <w:rsid w:val="00964255"/>
    <w:rsid w:val="00982908"/>
    <w:rsid w:val="00985A91"/>
    <w:rsid w:val="00987FD9"/>
    <w:rsid w:val="00990B87"/>
    <w:rsid w:val="009A6974"/>
    <w:rsid w:val="009B023D"/>
    <w:rsid w:val="00A14C2B"/>
    <w:rsid w:val="00A16FBE"/>
    <w:rsid w:val="00A22B8C"/>
    <w:rsid w:val="00A52AF7"/>
    <w:rsid w:val="00A67798"/>
    <w:rsid w:val="00A766CE"/>
    <w:rsid w:val="00A96C2D"/>
    <w:rsid w:val="00AB347B"/>
    <w:rsid w:val="00AB5544"/>
    <w:rsid w:val="00AC0720"/>
    <w:rsid w:val="00AD108F"/>
    <w:rsid w:val="00AD7307"/>
    <w:rsid w:val="00AF17CD"/>
    <w:rsid w:val="00AF3FEB"/>
    <w:rsid w:val="00B01E36"/>
    <w:rsid w:val="00B124DA"/>
    <w:rsid w:val="00B14AC3"/>
    <w:rsid w:val="00B225D2"/>
    <w:rsid w:val="00B27D14"/>
    <w:rsid w:val="00B31444"/>
    <w:rsid w:val="00B41262"/>
    <w:rsid w:val="00B41FDA"/>
    <w:rsid w:val="00B457ED"/>
    <w:rsid w:val="00B539C9"/>
    <w:rsid w:val="00B5723A"/>
    <w:rsid w:val="00B6516E"/>
    <w:rsid w:val="00B758B1"/>
    <w:rsid w:val="00BA1FFD"/>
    <w:rsid w:val="00BB228E"/>
    <w:rsid w:val="00BE0627"/>
    <w:rsid w:val="00BE43FA"/>
    <w:rsid w:val="00BF6E70"/>
    <w:rsid w:val="00BF7979"/>
    <w:rsid w:val="00C01050"/>
    <w:rsid w:val="00C042A8"/>
    <w:rsid w:val="00C1586D"/>
    <w:rsid w:val="00C20D6D"/>
    <w:rsid w:val="00C36D07"/>
    <w:rsid w:val="00C43A69"/>
    <w:rsid w:val="00C458A6"/>
    <w:rsid w:val="00C47F39"/>
    <w:rsid w:val="00C5730E"/>
    <w:rsid w:val="00C64D81"/>
    <w:rsid w:val="00C7147E"/>
    <w:rsid w:val="00C77BC3"/>
    <w:rsid w:val="00CA22DC"/>
    <w:rsid w:val="00CF187C"/>
    <w:rsid w:val="00CF7786"/>
    <w:rsid w:val="00D20B63"/>
    <w:rsid w:val="00D2118E"/>
    <w:rsid w:val="00D504A5"/>
    <w:rsid w:val="00D536DE"/>
    <w:rsid w:val="00D62E81"/>
    <w:rsid w:val="00D667C4"/>
    <w:rsid w:val="00D6749B"/>
    <w:rsid w:val="00D703D4"/>
    <w:rsid w:val="00DA15C6"/>
    <w:rsid w:val="00DB763D"/>
    <w:rsid w:val="00DD2340"/>
    <w:rsid w:val="00DE5B4A"/>
    <w:rsid w:val="00E02186"/>
    <w:rsid w:val="00E50591"/>
    <w:rsid w:val="00E532DA"/>
    <w:rsid w:val="00E542C2"/>
    <w:rsid w:val="00E67952"/>
    <w:rsid w:val="00E875CE"/>
    <w:rsid w:val="00E96539"/>
    <w:rsid w:val="00E97EE8"/>
    <w:rsid w:val="00ED2FB7"/>
    <w:rsid w:val="00ED49E1"/>
    <w:rsid w:val="00ED72F5"/>
    <w:rsid w:val="00EE3FB3"/>
    <w:rsid w:val="00EE74BE"/>
    <w:rsid w:val="00EF3101"/>
    <w:rsid w:val="00F150E8"/>
    <w:rsid w:val="00F1796D"/>
    <w:rsid w:val="00F63F31"/>
    <w:rsid w:val="00FB2700"/>
    <w:rsid w:val="00FB5E9C"/>
    <w:rsid w:val="00FC618C"/>
    <w:rsid w:val="00FD05D6"/>
    <w:rsid w:val="00FE1C99"/>
    <w:rsid w:val="00FE2118"/>
    <w:rsid w:val="00FF6D13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9F996-D1E7-48CF-B11B-B8EBC400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6C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2"/>
    <w:rsid w:val="00446CB2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HeaderorfooterTimesNewRoman9pt">
    <w:name w:val="Header or footer + Times New Roman;9 pt"/>
    <w:basedOn w:val="Domylnaczcionkaakapitu"/>
    <w:rsid w:val="00446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">
    <w:name w:val="Tekst podstawowy2"/>
    <w:basedOn w:val="Normalny"/>
    <w:link w:val="Bodytext"/>
    <w:rsid w:val="00446CB2"/>
    <w:pPr>
      <w:shd w:val="clear" w:color="auto" w:fill="FFFFFF"/>
      <w:spacing w:after="360" w:line="0" w:lineRule="atLeast"/>
      <w:ind w:hanging="360"/>
      <w:jc w:val="right"/>
    </w:pPr>
    <w:rPr>
      <w:rFonts w:ascii="Microsoft Sans Serif" w:eastAsia="Microsoft Sans Serif" w:hAnsi="Microsoft Sans Serif" w:cs="Microsoft Sans Serif"/>
      <w:color w:val="auto"/>
      <w:sz w:val="23"/>
      <w:szCs w:val="23"/>
      <w:lang w:eastAsia="en-US" w:bidi="ar-SA"/>
    </w:rPr>
  </w:style>
  <w:style w:type="character" w:styleId="Odwoaniedokomentarza">
    <w:name w:val="annotation reference"/>
    <w:basedOn w:val="Domylnaczcionkaakapitu"/>
    <w:uiPriority w:val="99"/>
    <w:unhideWhenUsed/>
    <w:rsid w:val="00AD7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3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307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307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307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530E13"/>
    <w:pPr>
      <w:ind w:left="720"/>
      <w:contextualSpacing/>
    </w:pPr>
  </w:style>
  <w:style w:type="paragraph" w:customStyle="1" w:styleId="menfont">
    <w:name w:val="men font"/>
    <w:basedOn w:val="Normalny"/>
    <w:rsid w:val="003E44F9"/>
    <w:pPr>
      <w:widowControl/>
    </w:pPr>
    <w:rPr>
      <w:rFonts w:ascii="Arial" w:eastAsia="Times New Roman" w:hAnsi="Arial" w:cs="Arial"/>
      <w:color w:val="auto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B31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44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314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44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Poprawka">
    <w:name w:val="Revision"/>
    <w:hidden/>
    <w:uiPriority w:val="99"/>
    <w:semiHidden/>
    <w:rsid w:val="00FD05D6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PKTpunkt">
    <w:name w:val="PKT – punkt"/>
    <w:uiPriority w:val="13"/>
    <w:qFormat/>
    <w:rsid w:val="004C5F3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457E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7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B457ED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553E2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E995-A3E0-4D45-815A-829F82F7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2913</Words>
  <Characters>17479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Mokrogulska Agnieszka</dc:creator>
  <cp:lastModifiedBy>Mokrogulska Agnieszka</cp:lastModifiedBy>
  <cp:revision>2</cp:revision>
  <cp:lastPrinted>2017-07-06T15:00:00Z</cp:lastPrinted>
  <dcterms:created xsi:type="dcterms:W3CDTF">2020-08-03T10:14:00Z</dcterms:created>
  <dcterms:modified xsi:type="dcterms:W3CDTF">2020-08-03T10:14:00Z</dcterms:modified>
</cp:coreProperties>
</file>